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8D9B7">
      <w:pPr>
        <w:widowControl/>
        <w:adjustRightInd w:val="0"/>
        <w:snapToGrid w:val="0"/>
        <w:spacing w:line="600" w:lineRule="exact"/>
        <w:jc w:val="left"/>
        <w:outlineLvl w:val="1"/>
        <w:rPr>
          <w:rFonts w:hint="eastAsia"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67C53BFC">
      <w:pPr>
        <w:pStyle w:val="3"/>
        <w:spacing w:before="0" w:after="0" w:line="360" w:lineRule="auto"/>
        <w:rPr>
          <w:rFonts w:hint="eastAsia"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149B3227">
      <w:pPr>
        <w:pStyle w:val="3"/>
        <w:spacing w:before="0" w:after="0" w:line="360" w:lineRule="auto"/>
        <w:jc w:val="center"/>
        <w:rPr>
          <w:rFonts w:hint="eastAsia" w:ascii="宋体" w:hAnsi="宋体"/>
          <w:szCs w:val="28"/>
        </w:rPr>
      </w:pPr>
    </w:p>
    <w:p w14:paraId="20DFC275">
      <w:pPr>
        <w:pStyle w:val="3"/>
        <w:spacing w:before="0" w:after="0" w:line="360" w:lineRule="auto"/>
        <w:jc w:val="center"/>
        <w:rPr>
          <w:rFonts w:hint="eastAsia" w:ascii="宋体" w:hAnsi="宋体"/>
          <w:szCs w:val="28"/>
        </w:rPr>
      </w:pPr>
    </w:p>
    <w:p w14:paraId="4333D680"/>
    <w:p w14:paraId="36B8B7BB">
      <w:pPr>
        <w:rPr>
          <w:rFonts w:hint="eastAsia" w:ascii="宋体" w:hAnsi="宋体"/>
          <w:szCs w:val="28"/>
        </w:rPr>
      </w:pPr>
    </w:p>
    <w:p w14:paraId="676D427E">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659CD980"/>
    <w:p w14:paraId="4D50FBC2">
      <w:pPr>
        <w:ind w:firstLine="1044" w:firstLineChars="400"/>
        <w:rPr>
          <w:rFonts w:hint="eastAsia" w:ascii="仿宋" w:hAnsi="仿宋" w:eastAsia="仿宋" w:cs="仿宋"/>
          <w:b/>
          <w:bCs/>
          <w:color w:val="000000"/>
          <w:kern w:val="0"/>
          <w:sz w:val="26"/>
          <w:szCs w:val="26"/>
          <w:shd w:val="clear" w:color="auto" w:fill="FFFFFF"/>
        </w:rPr>
      </w:pPr>
    </w:p>
    <w:p w14:paraId="36D72FC6">
      <w:pPr>
        <w:ind w:firstLine="1044" w:firstLineChars="400"/>
        <w:rPr>
          <w:rFonts w:hint="eastAsia" w:ascii="仿宋" w:hAnsi="仿宋" w:eastAsia="仿宋" w:cs="仿宋"/>
          <w:b/>
          <w:bCs/>
          <w:color w:val="000000"/>
          <w:kern w:val="0"/>
          <w:sz w:val="26"/>
          <w:szCs w:val="26"/>
          <w:shd w:val="clear" w:color="auto" w:fill="FFFFFF"/>
        </w:rPr>
      </w:pPr>
    </w:p>
    <w:p w14:paraId="785080CA">
      <w:pPr>
        <w:ind w:firstLine="1044" w:firstLineChars="400"/>
        <w:rPr>
          <w:rFonts w:hint="eastAsia" w:ascii="仿宋" w:hAnsi="仿宋" w:eastAsia="仿宋" w:cs="仿宋"/>
          <w:b/>
          <w:bCs/>
          <w:color w:val="000000"/>
          <w:kern w:val="0"/>
          <w:sz w:val="26"/>
          <w:szCs w:val="26"/>
          <w:shd w:val="clear" w:color="auto" w:fill="FFFFFF"/>
        </w:rPr>
      </w:pPr>
    </w:p>
    <w:p w14:paraId="33ABB6FE">
      <w:pPr>
        <w:spacing w:line="720" w:lineRule="auto"/>
        <w:ind w:firstLine="2108" w:firstLineChars="659"/>
        <w:rPr>
          <w:rFonts w:ascii="Cambria" w:hAnsi="Cambria" w:eastAsia="方正小标宋简体" w:cs="Cambria"/>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中国地质大学（武汉）</w:t>
      </w:r>
      <w:r>
        <w:rPr>
          <w:rFonts w:ascii="Cambria" w:hAnsi="Cambria" w:eastAsia="方正小标宋简体" w:cs="Cambria"/>
          <w:color w:val="000000"/>
          <w:kern w:val="0"/>
          <w:sz w:val="32"/>
          <w:szCs w:val="32"/>
          <w:u w:val="single"/>
          <w:shd w:val="clear" w:color="auto" w:fill="FFFFFF"/>
        </w:rPr>
        <w:t>激光</w:t>
      </w:r>
    </w:p>
    <w:p w14:paraId="4369B89F">
      <w:pPr>
        <w:spacing w:line="720" w:lineRule="auto"/>
        <w:ind w:firstLine="2108" w:firstLineChars="659"/>
        <w:rPr>
          <w:rFonts w:hint="default" w:ascii="方正小标宋简体" w:hAnsi="方正小标宋简体" w:eastAsia="方正小标宋简体" w:cs="Calibri"/>
          <w:color w:val="000000"/>
          <w:kern w:val="0"/>
          <w:sz w:val="32"/>
          <w:szCs w:val="32"/>
          <w:u w:val="single"/>
          <w:shd w:val="clear" w:color="auto" w:fill="FFFFFF"/>
          <w:lang w:val="en-US" w:eastAsia="zh-CN"/>
        </w:rPr>
      </w:pPr>
      <w:r>
        <w:rPr>
          <w:rFonts w:ascii="Cambria" w:hAnsi="Cambria" w:eastAsia="方正小标宋简体" w:cs="Cambria"/>
          <w:color w:val="000000"/>
          <w:kern w:val="0"/>
          <w:sz w:val="32"/>
          <w:szCs w:val="32"/>
          <w:u w:val="single"/>
          <w:shd w:val="clear" w:color="auto" w:fill="FFFFFF"/>
        </w:rPr>
        <w:t>微区剥蚀设备</w:t>
      </w:r>
      <w:r>
        <w:rPr>
          <w:rFonts w:hint="eastAsia" w:ascii="Cambria" w:hAnsi="Cambria" w:eastAsia="方正小标宋简体" w:cs="Cambria"/>
          <w:color w:val="000000"/>
          <w:kern w:val="0"/>
          <w:sz w:val="32"/>
          <w:szCs w:val="32"/>
          <w:u w:val="single"/>
          <w:shd w:val="clear" w:color="auto" w:fill="FFFFFF"/>
          <w:lang w:val="en-US" w:eastAsia="zh-CN"/>
        </w:rPr>
        <w:t xml:space="preserve">购置                   </w:t>
      </w:r>
    </w:p>
    <w:p w14:paraId="49DC93B0">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中国地质大学（武汉）</w:t>
      </w:r>
      <w:r>
        <w:rPr>
          <w:rFonts w:ascii="Cambria" w:hAnsi="Cambria" w:eastAsia="方正小标宋简体" w:cs="Cambria"/>
          <w:color w:val="000000"/>
          <w:kern w:val="0"/>
          <w:sz w:val="32"/>
          <w:szCs w:val="32"/>
          <w:u w:val="single"/>
          <w:shd w:val="clear" w:color="auto" w:fill="FFFFFF"/>
        </w:rPr>
        <w:t>    </w:t>
      </w:r>
    </w:p>
    <w:p w14:paraId="2E1A9E4E">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2026年8月21日</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 xml:space="preserve">   </w:t>
      </w:r>
      <w:r>
        <w:rPr>
          <w:rFonts w:ascii="Cambria" w:hAnsi="Cambria" w:eastAsia="方正小标宋简体" w:cs="Cambria"/>
          <w:color w:val="000000"/>
          <w:kern w:val="0"/>
          <w:sz w:val="32"/>
          <w:szCs w:val="32"/>
          <w:u w:val="single"/>
          <w:shd w:val="clear" w:color="auto" w:fill="FFFFFF"/>
        </w:rPr>
        <w:t>   </w:t>
      </w:r>
      <w:bookmarkStart w:id="1" w:name="_GoBack"/>
      <w:bookmarkEnd w:id="1"/>
    </w:p>
    <w:p w14:paraId="4E37E83B">
      <w:pPr>
        <w:rPr>
          <w:rFonts w:hint="eastAsia" w:ascii="宋体" w:hAnsi="宋体"/>
          <w:color w:val="FF0000"/>
          <w:sz w:val="28"/>
          <w:szCs w:val="28"/>
        </w:rPr>
      </w:pPr>
    </w:p>
    <w:p w14:paraId="51D50DBA">
      <w:pPr>
        <w:rPr>
          <w:rFonts w:hint="eastAsia" w:ascii="宋体" w:hAnsi="宋体"/>
          <w:color w:val="FF0000"/>
          <w:sz w:val="28"/>
          <w:szCs w:val="28"/>
        </w:rPr>
      </w:pPr>
    </w:p>
    <w:p w14:paraId="757C80CB">
      <w:pPr>
        <w:rPr>
          <w:rFonts w:hint="eastAsia" w:ascii="宋体" w:hAnsi="宋体"/>
          <w:color w:val="FF0000"/>
          <w:sz w:val="28"/>
          <w:szCs w:val="28"/>
        </w:rPr>
      </w:pPr>
    </w:p>
    <w:p w14:paraId="4465DEFC">
      <w:pPr>
        <w:rPr>
          <w:rFonts w:hint="eastAsia" w:ascii="宋体" w:hAnsi="宋体"/>
          <w:color w:val="FF0000"/>
          <w:sz w:val="28"/>
          <w:szCs w:val="28"/>
        </w:rPr>
      </w:pPr>
    </w:p>
    <w:p w14:paraId="1328517A">
      <w:pPr>
        <w:jc w:val="center"/>
        <w:rPr>
          <w:rFonts w:hint="eastAsia" w:ascii="方正小标宋简体" w:hAnsi="方正小标宋简体" w:eastAsia="方正小标宋简体" w:cs="仿宋"/>
          <w:color w:val="000000"/>
          <w:kern w:val="0"/>
          <w:sz w:val="32"/>
          <w:szCs w:val="32"/>
          <w:shd w:val="clear" w:color="auto" w:fill="FFFFFF"/>
        </w:rPr>
      </w:pPr>
    </w:p>
    <w:p w14:paraId="0CCA6654">
      <w:pPr>
        <w:widowControl/>
        <w:jc w:val="left"/>
        <w:rPr>
          <w:rFonts w:hint="eastAsia"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4BC4500C">
      <w:pPr>
        <w:jc w:val="center"/>
        <w:rPr>
          <w:rFonts w:hint="eastAsia"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453FCAA7">
      <w:pPr>
        <w:widowControl/>
        <w:spacing w:line="560" w:lineRule="atLeast"/>
        <w:ind w:firstLine="640"/>
        <w:jc w:val="left"/>
        <w:rPr>
          <w:rFonts w:hint="eastAsia" w:ascii="宋体" w:hAnsi="宋体" w:cs="仿宋"/>
          <w:color w:val="000000"/>
          <w:kern w:val="0"/>
          <w:sz w:val="28"/>
          <w:szCs w:val="28"/>
          <w:shd w:val="clear" w:color="auto" w:fill="FFFFFF"/>
        </w:rPr>
      </w:pPr>
    </w:p>
    <w:p w14:paraId="3B4E50E5">
      <w:pPr>
        <w:widowControl/>
        <w:spacing w:line="560" w:lineRule="atLeast"/>
        <w:ind w:firstLine="640"/>
        <w:jc w:val="left"/>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46822E11">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0B2E29F4">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050C3F13">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41DC6FAE"/>
    <w:p w14:paraId="40B52D65">
      <w:pPr>
        <w:spacing w:line="360" w:lineRule="auto"/>
      </w:pPr>
    </w:p>
    <w:p w14:paraId="019B449A">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CA3714E">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653EA15D">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2EC164E6">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C48858C">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15383C54">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296F2EA5">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295D3866">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8496D54">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3F42C46">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9533D8A">
      <w:pPr>
        <w:widowControl/>
        <w:shd w:val="clear" w:color="auto" w:fill="FFFFFF"/>
        <w:spacing w:line="360" w:lineRule="auto"/>
        <w:jc w:val="left"/>
        <w:rPr>
          <w:rFonts w:hint="eastAsia" w:ascii="宋体" w:hAnsi="宋体" w:cs="Arial"/>
          <w:b/>
          <w:color w:val="333333"/>
          <w:kern w:val="0"/>
          <w:sz w:val="28"/>
          <w:szCs w:val="28"/>
        </w:rPr>
      </w:pPr>
    </w:p>
    <w:p w14:paraId="496CB53E">
      <w:pPr>
        <w:widowControl/>
        <w:ind w:firstLine="482" w:firstLineChars="200"/>
        <w:jc w:val="left"/>
        <w:rPr>
          <w:rFonts w:hint="eastAsia"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宋体" w:hAnsi="宋体" w:cs="Arial"/>
          <w:b/>
          <w:color w:val="333333"/>
          <w:kern w:val="0"/>
          <w:sz w:val="24"/>
          <w:szCs w:val="24"/>
        </w:rPr>
        <w:t xml:space="preserve">  </w:t>
      </w:r>
      <w:r>
        <w:rPr>
          <w:rFonts w:hint="eastAsia" w:ascii="仿宋_GB2312" w:hAnsi="宋体" w:eastAsia="仿宋_GB2312" w:cs="仿宋"/>
          <w:b/>
          <w:color w:val="000000"/>
          <w:kern w:val="0"/>
          <w:sz w:val="32"/>
          <w:szCs w:val="28"/>
          <w:shd w:val="clear" w:color="auto" w:fill="FFFFFF"/>
        </w:rPr>
        <w:t>一、项目概况</w:t>
      </w:r>
    </w:p>
    <w:p w14:paraId="648B0ADE">
      <w:pPr>
        <w:widowControl/>
        <w:ind w:firstLine="560" w:firstLineChars="200"/>
        <w:jc w:val="left"/>
        <w:rPr>
          <w:rFonts w:hint="eastAsia" w:ascii="仿宋_GB2312" w:hAnsi="宋体" w:eastAsia="仿宋_GB2312" w:cs="仿宋"/>
          <w:color w:val="000000"/>
          <w:kern w:val="0"/>
          <w:sz w:val="28"/>
          <w:szCs w:val="28"/>
          <w:shd w:val="clear" w:color="auto" w:fill="FFFFFF"/>
        </w:rPr>
      </w:pPr>
      <w:r>
        <w:rPr>
          <w:rFonts w:ascii="仿宋_GB2312" w:hAnsi="宋体" w:eastAsia="仿宋_GB2312" w:cs="仿宋"/>
          <w:color w:val="000000"/>
          <w:kern w:val="0"/>
          <w:sz w:val="28"/>
          <w:szCs w:val="28"/>
          <w:shd w:val="clear" w:color="auto" w:fill="FFFFFF"/>
        </w:rPr>
        <w:t>（一）项目背景</w:t>
      </w:r>
    </w:p>
    <w:p w14:paraId="452CD791">
      <w:pPr>
        <w:widowControl/>
        <w:ind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地质学与地球生物学是探索地球历史演化、生物与环境协同演变的核心基础学科，前沿且稳定的实验教学硬件设施是拔尖创新人才培养的核心支撑。当前本单位地学院和全国重点实验室配属的激光剥蚀系统普遍购置</w:t>
      </w:r>
      <w:r>
        <w:rPr>
          <w:rFonts w:hint="eastAsia" w:ascii="仿宋_GB2312" w:hAnsi="宋体" w:eastAsia="仿宋_GB2312" w:cs="仿宋"/>
          <w:bCs/>
          <w:color w:val="000000"/>
          <w:kern w:val="0"/>
          <w:sz w:val="28"/>
          <w:szCs w:val="28"/>
          <w:shd w:val="clear" w:color="auto" w:fill="FFFFFF"/>
        </w:rPr>
        <w:t>于</w:t>
      </w:r>
      <w:r>
        <w:rPr>
          <w:rFonts w:ascii="仿宋_GB2312" w:hAnsi="宋体" w:eastAsia="仿宋_GB2312" w:cs="仿宋"/>
          <w:bCs/>
          <w:color w:val="000000"/>
          <w:kern w:val="0"/>
          <w:sz w:val="28"/>
          <w:szCs w:val="28"/>
          <w:shd w:val="clear" w:color="auto" w:fill="FFFFFF"/>
        </w:rPr>
        <w:t>2015年前，持续服役</w:t>
      </w:r>
      <w:r>
        <w:rPr>
          <w:rFonts w:hint="eastAsia" w:ascii="仿宋_GB2312" w:hAnsi="宋体" w:eastAsia="仿宋_GB2312" w:cs="仿宋"/>
          <w:bCs/>
          <w:color w:val="000000"/>
          <w:kern w:val="0"/>
          <w:sz w:val="28"/>
          <w:szCs w:val="28"/>
          <w:shd w:val="clear" w:color="auto" w:fill="FFFFFF"/>
        </w:rPr>
        <w:t>超</w:t>
      </w:r>
      <w:r>
        <w:rPr>
          <w:rFonts w:ascii="仿宋_GB2312" w:hAnsi="宋体" w:eastAsia="仿宋_GB2312" w:cs="仿宋"/>
          <w:bCs/>
          <w:color w:val="000000"/>
          <w:kern w:val="0"/>
          <w:sz w:val="28"/>
          <w:szCs w:val="28"/>
          <w:shd w:val="clear" w:color="auto" w:fill="FFFFFF"/>
        </w:rPr>
        <w:t>10年，核心光学镜片、激光功率等部件磨损老化严重，运行效率低下；同时控制系统基于老旧软件架构，故障率高且无法支撑现代微米尺度前沿实验教学，软硬件短板已严重制约教学质量与科研能力提升。</w:t>
      </w:r>
    </w:p>
    <w:p w14:paraId="6456A53F">
      <w:pPr>
        <w:widowControl/>
        <w:ind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为响应国家高校设备更新</w:t>
      </w:r>
      <w:r>
        <w:rPr>
          <w:rFonts w:hint="eastAsia" w:ascii="仿宋_GB2312" w:hAnsi="宋体" w:eastAsia="仿宋_GB2312" w:cs="仿宋"/>
          <w:bCs/>
          <w:color w:val="000000"/>
          <w:kern w:val="0"/>
          <w:sz w:val="28"/>
          <w:szCs w:val="28"/>
          <w:shd w:val="clear" w:color="auto" w:fill="FFFFFF"/>
        </w:rPr>
        <w:t>与</w:t>
      </w:r>
      <w:r>
        <w:rPr>
          <w:rFonts w:ascii="仿宋_GB2312" w:hAnsi="宋体" w:eastAsia="仿宋_GB2312" w:cs="仿宋"/>
          <w:bCs/>
          <w:color w:val="000000"/>
          <w:kern w:val="0"/>
          <w:sz w:val="28"/>
          <w:szCs w:val="28"/>
          <w:shd w:val="clear" w:color="auto" w:fill="FFFFFF"/>
        </w:rPr>
        <w:t>“以旧换新”战略部署，满足多维度原位微区分析的教学与科研需求，本项目拟配置两套差异化定位的激光微区剥蚀设备：一套高分辨激光剥蚀系统，重点支撑本科与研究生基础实验教学，适配轻稳定同位素原位分析；一套点阵飞秒激光剥蚀系统，覆盖高阶科研实训与前沿研究，适配多类型质谱联用的元素成像、同位素定年等场景，全面提升激光剥蚀效率、三维定位精度与显微成像水平。</w:t>
      </w:r>
    </w:p>
    <w:p w14:paraId="6B0E5E57">
      <w:pPr>
        <w:widowControl/>
        <w:ind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（二）立项目的</w:t>
      </w:r>
    </w:p>
    <w:p w14:paraId="2146247F">
      <w:pPr>
        <w:widowControl/>
        <w:ind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本项目</w:t>
      </w:r>
      <w:r>
        <w:rPr>
          <w:rFonts w:hint="eastAsia" w:ascii="仿宋_GB2312" w:hAnsi="宋体" w:eastAsia="仿宋_GB2312" w:cs="仿宋"/>
          <w:bCs/>
          <w:color w:val="000000"/>
          <w:kern w:val="0"/>
          <w:sz w:val="28"/>
          <w:szCs w:val="28"/>
          <w:shd w:val="clear" w:color="auto" w:fill="FFFFFF"/>
        </w:rPr>
        <w:t>围绕</w:t>
      </w:r>
      <w:r>
        <w:rPr>
          <w:rFonts w:ascii="仿宋_GB2312" w:hAnsi="宋体" w:eastAsia="仿宋_GB2312" w:cs="仿宋"/>
          <w:bCs/>
          <w:color w:val="000000"/>
          <w:kern w:val="0"/>
          <w:sz w:val="28"/>
          <w:szCs w:val="28"/>
          <w:shd w:val="clear" w:color="auto" w:fill="FFFFFF"/>
        </w:rPr>
        <w:t>“突出教学使用、强化实践育人、兼顾科研支撑”的核心导向，通过引进先进激光微区剥蚀设备，升级优化地学高水平人才实践培养体系，具体目标如下：</w:t>
      </w:r>
    </w:p>
    <w:p w14:paraId="1AF2DD67">
      <w:pPr>
        <w:widowControl/>
        <w:numPr>
          <w:ilvl w:val="0"/>
          <w:numId w:val="1"/>
        </w:numPr>
        <w:ind w:left="-10" w:leftChars="-5" w:firstLine="8" w:firstLineChars="3"/>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升级基础实验教学体系：服务《仪器分析》《地质分析》《地球生物学》等课程群与实践教学任务，将原位微区分析前沿技术转化为标准化教学实验，推动教学内容同步学术前沿。</w:t>
      </w:r>
    </w:p>
    <w:p w14:paraId="722473E9">
      <w:pPr>
        <w:widowControl/>
        <w:numPr>
          <w:ilvl w:val="0"/>
          <w:numId w:val="1"/>
        </w:numPr>
        <w:ind w:left="-10" w:leftChars="-5" w:firstLine="8" w:firstLineChars="3"/>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建立微区示踪教学新方法：依托高分辨激光剥蚀系统的同轴观测与精准剥蚀能力，突破传统全岩溶解分析的教学局限，帮助学生建立微米尺度轻稳定同位素（CNOS）原位微区示踪的系统认知。</w:t>
      </w:r>
    </w:p>
    <w:p w14:paraId="7B7F9406">
      <w:pPr>
        <w:widowControl/>
        <w:numPr>
          <w:ilvl w:val="0"/>
          <w:numId w:val="1"/>
        </w:numPr>
        <w:ind w:left="-10" w:leftChars="-5" w:firstLine="8" w:firstLineChars="3"/>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拓展前沿科研与实训能力：依托点阵飞秒激光剥蚀系统，开展矿物高空间分辨率成像、副矿物原位定年、金属稳定同位素分析等前沿研究，支撑研究生创新实训与重大科研课题实施。</w:t>
      </w:r>
    </w:p>
    <w:p w14:paraId="685E970C">
      <w:pPr>
        <w:widowControl/>
        <w:numPr>
          <w:ilvl w:val="0"/>
          <w:numId w:val="1"/>
        </w:numPr>
        <w:ind w:left="-10" w:leftChars="-5" w:firstLine="8" w:firstLineChars="3"/>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保障高强度教学实训覆盖：支撑年均百余人规模的实验教学与科研实训任务，通过多批次轮转教学模式保障学生动手操作时长，兼顾科研服务效能。</w:t>
      </w:r>
    </w:p>
    <w:p w14:paraId="0FD5A4B8">
      <w:pPr>
        <w:widowControl/>
        <w:ind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（三）现有环境和条件</w:t>
      </w:r>
    </w:p>
    <w:p w14:paraId="121CD5E7">
      <w:pPr>
        <w:widowControl/>
        <w:ind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硬件配套条件完备：依托全国重点实验室及地学院现有分析测试平台，实验室具备完善的水、电、气路及特种气体防护设施，现有同位素质谱仪、电感耦合等离子体质谱等多类型后端分析设备，可与两套激光剥蚀系统无缝对接，实现前端进样与后端分析的一体化联动。</w:t>
      </w:r>
    </w:p>
    <w:p w14:paraId="7746B517">
      <w:pPr>
        <w:widowControl/>
        <w:ind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教学科研团队成熟：项目由高水平教学与科研团队负责实施，在地球生物学课程群、多批次轮转教学、原位微区分析科研应用中积累了丰富经验，已建立适配大规模学生操作的开放共享与安全管理机制。</w:t>
      </w:r>
    </w:p>
    <w:p w14:paraId="6E9E19B4">
      <w:pPr>
        <w:widowControl/>
        <w:ind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配置测算科学合理：结合人才培养目标与教学科研负荷，本项目共配置高分辨激光剥蚀</w:t>
      </w:r>
      <w:r>
        <w:rPr>
          <w:rFonts w:hint="eastAsia" w:ascii="仿宋_GB2312" w:hAnsi="宋体" w:eastAsia="仿宋_GB2312" w:cs="仿宋"/>
          <w:bCs/>
          <w:color w:val="000000"/>
          <w:kern w:val="0"/>
          <w:sz w:val="28"/>
          <w:szCs w:val="28"/>
          <w:shd w:val="clear" w:color="auto" w:fill="FFFFFF"/>
        </w:rPr>
        <w:t>系统</w:t>
      </w:r>
      <w:r>
        <w:rPr>
          <w:rFonts w:ascii="仿宋_GB2312" w:hAnsi="宋体" w:eastAsia="仿宋_GB2312" w:cs="仿宋"/>
          <w:bCs/>
          <w:color w:val="000000"/>
          <w:kern w:val="0"/>
          <w:sz w:val="28"/>
          <w:szCs w:val="28"/>
          <w:shd w:val="clear" w:color="auto" w:fill="FFFFFF"/>
        </w:rPr>
        <w:t>1台、点阵飞秒激光剥蚀系统 1 台，分别对齐基础教学与前沿科研的差异化需求。</w:t>
      </w:r>
    </w:p>
    <w:p w14:paraId="424D1363">
      <w:pPr>
        <w:widowControl/>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（四）需要与其他项目配合情况</w:t>
      </w:r>
    </w:p>
    <w:p w14:paraId="21EDA6B1">
      <w:pPr>
        <w:widowControl/>
        <w:numPr>
          <w:ilvl w:val="0"/>
          <w:numId w:val="2"/>
        </w:numPr>
        <w:ind w:left="-10" w:leftChars="-5"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与质谱分析平台升级项目配合：两套激光剥蚀系统分别作为同位素质谱、电感耦合等离子体质谱的前端固体进样装置，数据接口与联动控制需与现有质谱分析平台升级项目协同，实现全流程一体化控制与教学科研数据实时共享。</w:t>
      </w:r>
    </w:p>
    <w:p w14:paraId="35209317">
      <w:pPr>
        <w:widowControl/>
        <w:numPr>
          <w:ilvl w:val="0"/>
          <w:numId w:val="2"/>
        </w:numPr>
        <w:ind w:left="-10" w:leftChars="-5"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与前沿科研项目配合：在保障教学任务的前提下兼顾科研服务，配合全国重点实验室重大前沿课题，将原位微区同位素、元素示踪等科研成果转化为教学案例，推行研究型实验教学模式。</w:t>
      </w:r>
    </w:p>
    <w:p w14:paraId="6A71EAC1">
      <w:pPr>
        <w:widowControl/>
        <w:jc w:val="left"/>
        <w:rPr>
          <w:rFonts w:hint="eastAsia" w:ascii="仿宋_GB2312" w:hAnsi="宋体" w:eastAsia="仿宋_GB2312" w:cs="仿宋"/>
          <w:bCs/>
          <w:color w:val="000000"/>
          <w:kern w:val="0"/>
          <w:sz w:val="28"/>
          <w:szCs w:val="28"/>
          <w:shd w:val="clear" w:color="auto" w:fill="FFFFFF"/>
        </w:rPr>
      </w:pPr>
    </w:p>
    <w:p w14:paraId="2F47E926">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3AB4ED04">
      <w:pPr>
        <w:spacing w:after="156" w:afterLines="5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√是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否</w:t>
      </w:r>
    </w:p>
    <w:tbl>
      <w:tblPr>
        <w:tblStyle w:val="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840"/>
        <w:gridCol w:w="1388"/>
        <w:gridCol w:w="933"/>
        <w:gridCol w:w="814"/>
        <w:gridCol w:w="1603"/>
        <w:gridCol w:w="865"/>
        <w:gridCol w:w="1229"/>
      </w:tblGrid>
      <w:tr w14:paraId="14FF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6" w:type="pct"/>
            <w:vAlign w:val="center"/>
          </w:tcPr>
          <w:p w14:paraId="49F58D31">
            <w:pPr>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493" w:type="pct"/>
            <w:vAlign w:val="center"/>
          </w:tcPr>
          <w:p w14:paraId="6C36695D">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货物</w:t>
            </w:r>
          </w:p>
          <w:p w14:paraId="7E750972">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名称</w:t>
            </w:r>
          </w:p>
        </w:tc>
        <w:tc>
          <w:tcPr>
            <w:tcW w:w="815" w:type="pct"/>
            <w:vAlign w:val="center"/>
          </w:tcPr>
          <w:p w14:paraId="6AF85392">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是否接受进口产品</w:t>
            </w:r>
          </w:p>
        </w:tc>
        <w:tc>
          <w:tcPr>
            <w:tcW w:w="548" w:type="pct"/>
            <w:vAlign w:val="center"/>
          </w:tcPr>
          <w:p w14:paraId="53AAFD4D">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单位</w:t>
            </w:r>
          </w:p>
        </w:tc>
        <w:tc>
          <w:tcPr>
            <w:tcW w:w="478" w:type="pct"/>
            <w:vAlign w:val="center"/>
          </w:tcPr>
          <w:p w14:paraId="61C45726">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数量</w:t>
            </w:r>
          </w:p>
        </w:tc>
        <w:tc>
          <w:tcPr>
            <w:tcW w:w="941" w:type="pct"/>
            <w:vAlign w:val="center"/>
          </w:tcPr>
          <w:p w14:paraId="44504763">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主要规格/性能</w:t>
            </w:r>
          </w:p>
        </w:tc>
        <w:tc>
          <w:tcPr>
            <w:tcW w:w="508" w:type="pct"/>
            <w:vAlign w:val="center"/>
          </w:tcPr>
          <w:p w14:paraId="56CF8119">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交货期</w:t>
            </w:r>
          </w:p>
        </w:tc>
        <w:tc>
          <w:tcPr>
            <w:tcW w:w="721" w:type="pct"/>
            <w:vAlign w:val="center"/>
          </w:tcPr>
          <w:p w14:paraId="719877A4">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是否为</w:t>
            </w:r>
          </w:p>
          <w:p w14:paraId="0132CD70">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核心产品</w:t>
            </w:r>
          </w:p>
        </w:tc>
      </w:tr>
      <w:tr w14:paraId="237B5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6" w:type="pct"/>
          </w:tcPr>
          <w:p w14:paraId="37A9FDBF">
            <w:pPr>
              <w:spacing w:line="360" w:lineRule="auto"/>
              <w:jc w:val="center"/>
              <w:rPr>
                <w:rFonts w:hint="eastAsia" w:ascii="仿宋_GB2312" w:hAnsi="宋体" w:eastAsia="仿宋_GB2312"/>
                <w:sz w:val="24"/>
                <w:szCs w:val="24"/>
              </w:rPr>
            </w:pPr>
            <w:r>
              <w:rPr>
                <w:rFonts w:hint="eastAsia"/>
              </w:rPr>
              <w:t>1</w:t>
            </w:r>
          </w:p>
        </w:tc>
        <w:tc>
          <w:tcPr>
            <w:tcW w:w="493" w:type="pct"/>
          </w:tcPr>
          <w:p w14:paraId="0F785741">
            <w:pPr>
              <w:widowControl/>
              <w:spacing w:line="360" w:lineRule="auto"/>
              <w:jc w:val="center"/>
              <w:rPr>
                <w:rFonts w:hint="eastAsia" w:ascii="仿宋_GB2312" w:hAnsi="宋体" w:eastAsia="仿宋_GB2312"/>
                <w:sz w:val="24"/>
                <w:szCs w:val="24"/>
              </w:rPr>
            </w:pPr>
            <w:r>
              <w:rPr>
                <w:rFonts w:hint="eastAsia"/>
              </w:rPr>
              <w:t>高分辨激光剥蚀系统</w:t>
            </w:r>
          </w:p>
        </w:tc>
        <w:tc>
          <w:tcPr>
            <w:tcW w:w="815" w:type="pct"/>
          </w:tcPr>
          <w:p w14:paraId="16B7FFBB">
            <w:pPr>
              <w:widowControl/>
              <w:spacing w:line="360" w:lineRule="auto"/>
              <w:jc w:val="center"/>
              <w:rPr>
                <w:rFonts w:hint="eastAsia" w:ascii="仿宋_GB2312" w:hAnsi="宋体" w:eastAsia="仿宋_GB2312"/>
                <w:sz w:val="24"/>
                <w:szCs w:val="24"/>
              </w:rPr>
            </w:pPr>
            <w:r>
              <w:rPr>
                <w:rFonts w:hint="eastAsia"/>
              </w:rPr>
              <w:t>否</w:t>
            </w:r>
          </w:p>
        </w:tc>
        <w:tc>
          <w:tcPr>
            <w:tcW w:w="548" w:type="pct"/>
          </w:tcPr>
          <w:p w14:paraId="2BDA555E">
            <w:pPr>
              <w:widowControl/>
              <w:spacing w:line="360" w:lineRule="auto"/>
              <w:jc w:val="center"/>
              <w:rPr>
                <w:rFonts w:hint="eastAsia" w:ascii="仿宋_GB2312" w:hAnsi="宋体" w:eastAsia="仿宋_GB2312"/>
                <w:sz w:val="24"/>
                <w:szCs w:val="24"/>
              </w:rPr>
            </w:pPr>
            <w:r>
              <w:rPr>
                <w:rFonts w:hint="eastAsia"/>
              </w:rPr>
              <w:t>台</w:t>
            </w:r>
          </w:p>
        </w:tc>
        <w:tc>
          <w:tcPr>
            <w:tcW w:w="478" w:type="pct"/>
          </w:tcPr>
          <w:p w14:paraId="7209C5F8">
            <w:pPr>
              <w:widowControl/>
              <w:spacing w:line="360" w:lineRule="auto"/>
              <w:jc w:val="center"/>
              <w:rPr>
                <w:rFonts w:hint="eastAsia" w:ascii="仿宋_GB2312" w:hAnsi="宋体" w:eastAsia="仿宋_GB2312"/>
                <w:sz w:val="24"/>
                <w:szCs w:val="24"/>
              </w:rPr>
            </w:pPr>
            <w:r>
              <w:rPr>
                <w:rFonts w:hint="eastAsia"/>
              </w:rPr>
              <w:t>1</w:t>
            </w:r>
          </w:p>
        </w:tc>
        <w:tc>
          <w:tcPr>
            <w:tcW w:w="941" w:type="pct"/>
          </w:tcPr>
          <w:p w14:paraId="21203FFE">
            <w:pPr>
              <w:widowControl/>
              <w:spacing w:line="360" w:lineRule="auto"/>
              <w:jc w:val="center"/>
            </w:pPr>
            <w:r>
              <w:t>激光</w:t>
            </w:r>
            <w:r>
              <w:rPr>
                <w:rFonts w:hint="eastAsia"/>
              </w:rPr>
              <w:t>器：紫外激光器，波长</w:t>
            </w:r>
            <w:r>
              <w:t>355+/- 2nm</w:t>
            </w:r>
            <w:r>
              <w:rPr>
                <w:rFonts w:hint="eastAsia"/>
              </w:rPr>
              <w:t>；输出功率≥</w:t>
            </w:r>
            <w:r>
              <w:t xml:space="preserve"> 3W @400kHz</w:t>
            </w:r>
            <w:r>
              <w:rPr>
                <w:rFonts w:hint="eastAsia"/>
              </w:rPr>
              <w:t>；</w:t>
            </w:r>
          </w:p>
          <w:p w14:paraId="6D43AB2B">
            <w:pPr>
              <w:widowControl/>
              <w:spacing w:line="360" w:lineRule="auto"/>
            </w:pPr>
            <w:r>
              <w:t>光学</w:t>
            </w:r>
            <w:r>
              <w:rPr>
                <w:rFonts w:hint="eastAsia"/>
              </w:rPr>
              <w:t>平台：高稳定性减震光学剥蚀平台；</w:t>
            </w:r>
          </w:p>
          <w:p w14:paraId="580A7DCA">
            <w:pPr>
              <w:widowControl/>
              <w:spacing w:line="360" w:lineRule="auto"/>
              <w:jc w:val="center"/>
            </w:pPr>
            <w:r>
              <w:t>样品</w:t>
            </w:r>
            <w:r>
              <w:rPr>
                <w:rFonts w:hint="eastAsia"/>
              </w:rPr>
              <w:t>池：定制低本底小体积样品池，高吹扫效率；</w:t>
            </w:r>
          </w:p>
          <w:p w14:paraId="2588A140">
            <w:pPr>
              <w:widowControl/>
              <w:spacing w:line="360" w:lineRule="auto"/>
              <w:jc w:val="center"/>
            </w:pPr>
            <w:r>
              <w:t>光斑</w:t>
            </w:r>
            <w:r>
              <w:rPr>
                <w:rFonts w:hint="eastAsia"/>
              </w:rPr>
              <w:t>控制：软件可设置圆形，矩形或其他形状，</w:t>
            </w:r>
            <w:r>
              <w:t xml:space="preserve">1-600μm </w:t>
            </w:r>
            <w:r>
              <w:rPr>
                <w:rFonts w:hint="eastAsia"/>
              </w:rPr>
              <w:t>范围内任意形状光斑可调；</w:t>
            </w:r>
          </w:p>
          <w:p w14:paraId="059ED930">
            <w:pPr>
              <w:widowControl/>
              <w:spacing w:line="360" w:lineRule="auto"/>
              <w:jc w:val="center"/>
            </w:pPr>
            <w:r>
              <w:t>显微</w:t>
            </w:r>
            <w:r>
              <w:rPr>
                <w:rFonts w:hint="eastAsia"/>
              </w:rPr>
              <w:t>成像系统：</w:t>
            </w:r>
            <w:r>
              <w:t xml:space="preserve">5MP </w:t>
            </w:r>
            <w:r>
              <w:rPr>
                <w:rFonts w:hint="eastAsia"/>
              </w:rPr>
              <w:t>高分辨率同轴数字彩色</w:t>
            </w:r>
            <w:r>
              <w:t xml:space="preserve"> CCD</w:t>
            </w:r>
            <w:r>
              <w:rPr>
                <w:rFonts w:hint="eastAsia"/>
              </w:rPr>
              <w:t>，光学分辨率≤</w:t>
            </w:r>
            <w:r>
              <w:t>1μm</w:t>
            </w:r>
            <w:r>
              <w:rPr>
                <w:rFonts w:hint="eastAsia"/>
              </w:rPr>
              <w:t>，物镜放大倍数可选</w:t>
            </w:r>
            <w:r>
              <w:t>(5x</w:t>
            </w:r>
            <w:r>
              <w:rPr>
                <w:rFonts w:hint="eastAsia"/>
              </w:rPr>
              <w:t>，</w:t>
            </w:r>
            <w:r>
              <w:t>8x</w:t>
            </w:r>
            <w:r>
              <w:rPr>
                <w:rFonts w:hint="eastAsia"/>
              </w:rPr>
              <w:t>，</w:t>
            </w:r>
            <w:r>
              <w:t>10x</w:t>
            </w:r>
            <w:r>
              <w:rPr>
                <w:rFonts w:hint="eastAsia"/>
              </w:rPr>
              <w:t>，</w:t>
            </w:r>
            <w:r>
              <w:t>20x</w:t>
            </w:r>
            <w:r>
              <w:rPr>
                <w:rFonts w:hint="eastAsia"/>
              </w:rPr>
              <w:t>）；</w:t>
            </w:r>
          </w:p>
          <w:p w14:paraId="39FEBE1C">
            <w:pPr>
              <w:widowControl/>
              <w:spacing w:line="360" w:lineRule="auto"/>
              <w:jc w:val="center"/>
            </w:pPr>
            <w:r>
              <w:t>照明</w:t>
            </w:r>
            <w:r>
              <w:rPr>
                <w:rFonts w:hint="eastAsia"/>
              </w:rPr>
              <w:t>系统：高亮度</w:t>
            </w:r>
            <w:r>
              <w:t xml:space="preserve"> LED </w:t>
            </w:r>
            <w:r>
              <w:rPr>
                <w:rFonts w:hint="eastAsia"/>
              </w:rPr>
              <w:t>光源，共轴反射光和透射光照明可选，软件直接控制亮度，</w:t>
            </w:r>
            <w:r>
              <w:t>0-100%可</w:t>
            </w:r>
            <w:r>
              <w:rPr>
                <w:rFonts w:hint="eastAsia"/>
              </w:rPr>
              <w:t>独立调节；</w:t>
            </w:r>
          </w:p>
          <w:p w14:paraId="7CD0106F">
            <w:pPr>
              <w:widowControl/>
              <w:spacing w:line="360" w:lineRule="auto"/>
              <w:jc w:val="center"/>
            </w:pPr>
            <w:r>
              <w:t>软件</w:t>
            </w:r>
            <w:r>
              <w:rPr>
                <w:rFonts w:hint="eastAsia"/>
              </w:rPr>
              <w:t>控制系统：基于</w:t>
            </w:r>
            <w:r>
              <w:t xml:space="preserve"> C#语言</w:t>
            </w:r>
            <w:r>
              <w:rPr>
                <w:rFonts w:hint="eastAsia"/>
              </w:rPr>
              <w:t>和</w:t>
            </w:r>
            <w:r>
              <w:t xml:space="preserve"> wpf </w:t>
            </w:r>
            <w:r>
              <w:rPr>
                <w:rFonts w:hint="eastAsia"/>
              </w:rPr>
              <w:t>框架设计的操作软件，软件实时显示剥蚀状态、激光能量、剥蚀频率；</w:t>
            </w:r>
          </w:p>
          <w:p w14:paraId="0581BB86">
            <w:pPr>
              <w:widowControl/>
              <w:spacing w:line="360" w:lineRule="auto"/>
              <w:jc w:val="center"/>
            </w:pPr>
            <w:r>
              <w:t>工业</w:t>
            </w:r>
            <w:r>
              <w:rPr>
                <w:rFonts w:hint="eastAsia"/>
              </w:rPr>
              <w:t>级仪器控制计算机：正版</w:t>
            </w:r>
            <w:r>
              <w:t>Win10</w:t>
            </w:r>
            <w:r>
              <w:rPr>
                <w:rFonts w:hint="eastAsia"/>
              </w:rPr>
              <w:t>操作系统，配置不低于</w:t>
            </w:r>
            <w:r>
              <w:t xml:space="preserve"> CPU </w:t>
            </w:r>
            <w:r>
              <w:rPr>
                <w:rFonts w:hint="eastAsia"/>
              </w:rPr>
              <w:t>处理器≥</w:t>
            </w:r>
            <w:r>
              <w:t>Intel i5</w:t>
            </w:r>
            <w:r>
              <w:rPr>
                <w:rFonts w:hint="eastAsia"/>
              </w:rPr>
              <w:t>；内存≥</w:t>
            </w:r>
            <w:r>
              <w:t>32GB DDR4</w:t>
            </w:r>
            <w:r>
              <w:rPr>
                <w:rFonts w:hint="eastAsia"/>
              </w:rPr>
              <w:t>；固态硬盘≥</w:t>
            </w:r>
            <w:r>
              <w:t>256G</w:t>
            </w:r>
            <w:r>
              <w:rPr>
                <w:rFonts w:hint="eastAsia"/>
              </w:rPr>
              <w:t>；机械硬盘≥</w:t>
            </w:r>
            <w:r>
              <w:t>1T</w:t>
            </w:r>
            <w:r>
              <w:rPr>
                <w:rFonts w:hint="eastAsia"/>
              </w:rPr>
              <w:t>；显卡</w:t>
            </w:r>
            <w:r>
              <w:t>4G</w:t>
            </w:r>
            <w:r>
              <w:rPr>
                <w:rFonts w:hint="eastAsia"/>
              </w:rPr>
              <w:t>；</w:t>
            </w:r>
            <w:r>
              <w:t xml:space="preserve">USB3.0 </w:t>
            </w:r>
            <w:r>
              <w:rPr>
                <w:rFonts w:hint="eastAsia"/>
              </w:rPr>
              <w:t>接口≥</w:t>
            </w:r>
            <w:r>
              <w:t xml:space="preserve">4 </w:t>
            </w:r>
            <w:r>
              <w:rPr>
                <w:rFonts w:hint="eastAsia"/>
              </w:rPr>
              <w:t>个；</w:t>
            </w:r>
            <w:r>
              <w:t xml:space="preserve">USB2.0 </w:t>
            </w:r>
            <w:r>
              <w:rPr>
                <w:rFonts w:hint="eastAsia"/>
              </w:rPr>
              <w:t>接口≥</w:t>
            </w:r>
            <w:r>
              <w:t xml:space="preserve">10 </w:t>
            </w:r>
            <w:r>
              <w:rPr>
                <w:rFonts w:hint="eastAsia"/>
              </w:rPr>
              <w:t>个；</w:t>
            </w:r>
            <w:r>
              <w:t xml:space="preserve">WiFi6 + </w:t>
            </w:r>
            <w:r>
              <w:rPr>
                <w:rFonts w:hint="eastAsia"/>
              </w:rPr>
              <w:t>蓝牙</w:t>
            </w:r>
            <w:r>
              <w:t xml:space="preserve"> 5.4 900M USB </w:t>
            </w:r>
            <w:r>
              <w:rPr>
                <w:rFonts w:hint="eastAsia"/>
              </w:rPr>
              <w:t>无线网卡</w:t>
            </w:r>
          </w:p>
          <w:p w14:paraId="7BFCBE97">
            <w:pPr>
              <w:tabs>
                <w:tab w:val="left" w:pos="494"/>
              </w:tabs>
            </w:pPr>
            <w:r>
              <w:rPr>
                <w:rFonts w:hint="eastAsia"/>
              </w:rPr>
              <w:tab/>
            </w:r>
          </w:p>
        </w:tc>
        <w:tc>
          <w:tcPr>
            <w:tcW w:w="508" w:type="pct"/>
          </w:tcPr>
          <w:p w14:paraId="2A289EAB">
            <w:pPr>
              <w:widowControl/>
              <w:spacing w:line="360" w:lineRule="auto"/>
              <w:jc w:val="center"/>
              <w:rPr>
                <w:rFonts w:hint="eastAsia" w:ascii="仿宋_GB2312" w:hAnsi="宋体" w:eastAsia="仿宋_GB2312"/>
                <w:sz w:val="24"/>
                <w:szCs w:val="24"/>
              </w:rPr>
            </w:pPr>
            <w:r>
              <w:rPr>
                <w:rFonts w:hint="eastAsia"/>
              </w:rPr>
              <w:t>合同签订后</w:t>
            </w:r>
            <w:r>
              <w:t>90</w:t>
            </w:r>
            <w:r>
              <w:rPr>
                <w:rFonts w:hint="eastAsia"/>
              </w:rPr>
              <w:t>天内交货并完成安装调试</w:t>
            </w:r>
          </w:p>
        </w:tc>
        <w:tc>
          <w:tcPr>
            <w:tcW w:w="721" w:type="pct"/>
          </w:tcPr>
          <w:p w14:paraId="735BCAAD">
            <w:pPr>
              <w:widowControl/>
              <w:spacing w:line="360" w:lineRule="auto"/>
              <w:jc w:val="center"/>
              <w:rPr>
                <w:rFonts w:hint="eastAsia" w:ascii="仿宋_GB2312" w:hAnsi="宋体" w:eastAsia="仿宋_GB2312"/>
                <w:sz w:val="24"/>
                <w:szCs w:val="24"/>
              </w:rPr>
            </w:pPr>
            <w:r>
              <w:rPr>
                <w:rFonts w:hint="eastAsia"/>
              </w:rPr>
              <w:t>是</w:t>
            </w:r>
          </w:p>
        </w:tc>
      </w:tr>
      <w:tr w14:paraId="4748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6" w:type="pct"/>
          </w:tcPr>
          <w:p w14:paraId="4DBC8A39">
            <w:pPr>
              <w:spacing w:line="360" w:lineRule="auto"/>
              <w:jc w:val="center"/>
              <w:rPr>
                <w:rFonts w:hint="eastAsia" w:ascii="仿宋_GB2312" w:hAnsi="宋体" w:eastAsia="仿宋_GB2312"/>
                <w:sz w:val="24"/>
                <w:szCs w:val="24"/>
              </w:rPr>
            </w:pPr>
            <w:r>
              <w:rPr>
                <w:rFonts w:hint="eastAsia"/>
              </w:rPr>
              <w:t>2</w:t>
            </w:r>
          </w:p>
        </w:tc>
        <w:tc>
          <w:tcPr>
            <w:tcW w:w="493" w:type="pct"/>
          </w:tcPr>
          <w:p w14:paraId="550F918F">
            <w:pPr>
              <w:widowControl/>
              <w:spacing w:line="360" w:lineRule="auto"/>
              <w:jc w:val="center"/>
              <w:rPr>
                <w:rFonts w:hint="eastAsia" w:ascii="仿宋_GB2312" w:hAnsi="宋体" w:eastAsia="仿宋_GB2312"/>
                <w:sz w:val="24"/>
                <w:szCs w:val="24"/>
              </w:rPr>
            </w:pPr>
            <w:r>
              <w:rPr>
                <w:rFonts w:hint="eastAsia"/>
              </w:rPr>
              <w:t>点阵飞秒激光剥蚀系统</w:t>
            </w:r>
          </w:p>
        </w:tc>
        <w:tc>
          <w:tcPr>
            <w:tcW w:w="815" w:type="pct"/>
          </w:tcPr>
          <w:p w14:paraId="51500785">
            <w:pPr>
              <w:widowControl/>
              <w:spacing w:line="360" w:lineRule="auto"/>
              <w:jc w:val="center"/>
              <w:rPr>
                <w:rFonts w:hint="eastAsia" w:ascii="仿宋_GB2312" w:hAnsi="宋体" w:eastAsia="仿宋_GB2312"/>
                <w:sz w:val="24"/>
                <w:szCs w:val="24"/>
              </w:rPr>
            </w:pPr>
            <w:r>
              <w:rPr>
                <w:rFonts w:hint="eastAsia"/>
              </w:rPr>
              <w:t>否</w:t>
            </w:r>
          </w:p>
        </w:tc>
        <w:tc>
          <w:tcPr>
            <w:tcW w:w="548" w:type="pct"/>
          </w:tcPr>
          <w:p w14:paraId="063D5ABA">
            <w:pPr>
              <w:widowControl/>
              <w:spacing w:line="360" w:lineRule="auto"/>
              <w:jc w:val="center"/>
              <w:rPr>
                <w:rFonts w:hint="eastAsia" w:ascii="仿宋_GB2312" w:hAnsi="宋体" w:eastAsia="仿宋_GB2312"/>
                <w:sz w:val="24"/>
                <w:szCs w:val="24"/>
              </w:rPr>
            </w:pPr>
            <w:r>
              <w:rPr>
                <w:rFonts w:hint="eastAsia"/>
              </w:rPr>
              <w:t>台</w:t>
            </w:r>
          </w:p>
        </w:tc>
        <w:tc>
          <w:tcPr>
            <w:tcW w:w="478" w:type="pct"/>
          </w:tcPr>
          <w:p w14:paraId="7ACE4A23">
            <w:pPr>
              <w:widowControl/>
              <w:spacing w:line="360" w:lineRule="auto"/>
              <w:jc w:val="center"/>
              <w:rPr>
                <w:rFonts w:hint="eastAsia" w:ascii="仿宋_GB2312" w:hAnsi="宋体" w:eastAsia="仿宋_GB2312"/>
                <w:sz w:val="24"/>
                <w:szCs w:val="24"/>
              </w:rPr>
            </w:pPr>
            <w:r>
              <w:rPr>
                <w:rFonts w:hint="eastAsia"/>
              </w:rPr>
              <w:t>1</w:t>
            </w:r>
          </w:p>
        </w:tc>
        <w:tc>
          <w:tcPr>
            <w:tcW w:w="941" w:type="pct"/>
          </w:tcPr>
          <w:p w14:paraId="56FF263C">
            <w:pPr>
              <w:widowControl/>
              <w:spacing w:line="360" w:lineRule="auto"/>
              <w:jc w:val="center"/>
              <w:rPr>
                <w:rFonts w:hint="eastAsia" w:ascii="仿宋_GB2312" w:hAnsi="宋体" w:eastAsia="仿宋_GB2312"/>
                <w:sz w:val="24"/>
                <w:szCs w:val="24"/>
              </w:rPr>
            </w:pPr>
            <w:r>
              <w:rPr>
                <w:rFonts w:hint="eastAsia"/>
              </w:rPr>
              <w:t>详见技术要求</w:t>
            </w:r>
          </w:p>
        </w:tc>
        <w:tc>
          <w:tcPr>
            <w:tcW w:w="508" w:type="pct"/>
          </w:tcPr>
          <w:p w14:paraId="156AC003">
            <w:pPr>
              <w:widowControl/>
              <w:spacing w:line="360" w:lineRule="auto"/>
              <w:jc w:val="center"/>
              <w:rPr>
                <w:rFonts w:hint="eastAsia" w:ascii="仿宋_GB2312" w:hAnsi="宋体" w:eastAsia="仿宋_GB2312"/>
                <w:sz w:val="24"/>
                <w:szCs w:val="24"/>
              </w:rPr>
            </w:pPr>
            <w:r>
              <w:rPr>
                <w:rFonts w:hint="eastAsia"/>
              </w:rPr>
              <w:t>合同签订后</w:t>
            </w:r>
            <w:r>
              <w:t>3</w:t>
            </w:r>
            <w:r>
              <w:rPr>
                <w:rFonts w:hint="eastAsia"/>
              </w:rPr>
              <w:t>个月内完成供货</w:t>
            </w:r>
          </w:p>
        </w:tc>
        <w:tc>
          <w:tcPr>
            <w:tcW w:w="721" w:type="pct"/>
          </w:tcPr>
          <w:p w14:paraId="3B55025D">
            <w:pPr>
              <w:widowControl/>
              <w:spacing w:line="360" w:lineRule="auto"/>
              <w:jc w:val="center"/>
              <w:rPr>
                <w:rFonts w:hint="eastAsia" w:ascii="仿宋_GB2312" w:hAnsi="宋体" w:eastAsia="仿宋_GB2312"/>
                <w:sz w:val="24"/>
                <w:szCs w:val="24"/>
              </w:rPr>
            </w:pPr>
            <w:r>
              <w:rPr>
                <w:rFonts w:hint="eastAsia"/>
              </w:rPr>
              <w:t>是</w:t>
            </w:r>
          </w:p>
        </w:tc>
      </w:tr>
    </w:tbl>
    <w:p w14:paraId="394CFC2F">
      <w:pPr>
        <w:spacing w:line="360" w:lineRule="auto"/>
        <w:ind w:firstLine="360" w:firstLineChars="150"/>
        <w:rPr>
          <w:rFonts w:hint="eastAsia" w:ascii="仿宋_GB2312" w:hAnsi="宋体" w:eastAsia="仿宋_GB2312"/>
          <w:i/>
          <w:iCs/>
          <w:sz w:val="24"/>
          <w:szCs w:val="24"/>
        </w:rPr>
      </w:pPr>
    </w:p>
    <w:p w14:paraId="59736FDD">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14912C22">
      <w:pPr>
        <w:widowControl/>
        <w:shd w:val="clear" w:color="auto" w:fill="FFFFFF"/>
        <w:spacing w:line="360" w:lineRule="auto"/>
        <w:ind w:firstLine="560" w:firstLineChars="200"/>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w:t>
      </w:r>
      <w:r>
        <w:rPr>
          <w:rFonts w:ascii="仿宋_GB2312" w:hAnsi="宋体" w:eastAsia="仿宋_GB2312" w:cs="仿宋"/>
          <w:color w:val="000000"/>
          <w:kern w:val="0"/>
          <w:sz w:val="28"/>
          <w:szCs w:val="28"/>
          <w:shd w:val="clear" w:color="auto" w:fill="FFFFFF"/>
        </w:rPr>
        <w:t>高分辨激光剥蚀系统（1台）</w:t>
      </w:r>
    </w:p>
    <w:p w14:paraId="4243CFB5">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1.功能要求：</w:t>
      </w:r>
      <w:r>
        <w:rPr>
          <w:rFonts w:ascii="仿宋_GB2312" w:hAnsi="宋体" w:eastAsia="仿宋_GB2312"/>
          <w:sz w:val="24"/>
          <w:szCs w:val="24"/>
        </w:rPr>
        <w:t>作为同位素质谱前端固体进样装置，可对碳酸盐、硫化物、富有机质岩石等各类地质样品开展高空间分辨率精准剥蚀采样；通过亚微米级同轴观测系统实现剥蚀过程可视化，支撑微米尺度轻稳定同位素（CNOS）原位微区分析教学与基础科研实验。</w:t>
      </w:r>
    </w:p>
    <w:p w14:paraId="3F75DC92">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2.应遵循的相关国家标准、行业标准、地方标准等标准、规范：</w:t>
      </w:r>
    </w:p>
    <w:p w14:paraId="6F6D77DD">
      <w:pPr>
        <w:widowControl/>
        <w:shd w:val="clear" w:color="auto" w:fill="FFFFFF"/>
        <w:spacing w:line="360" w:lineRule="auto"/>
        <w:ind w:firstLine="480" w:firstLineChars="200"/>
        <w:jc w:val="left"/>
        <w:rPr>
          <w:rFonts w:hint="eastAsia" w:ascii="仿宋_GB2312" w:hAnsi="宋体" w:eastAsia="仿宋_GB2312" w:cs="Arial"/>
          <w:color w:val="333333"/>
          <w:kern w:val="0"/>
          <w:sz w:val="24"/>
          <w:szCs w:val="24"/>
        </w:rPr>
      </w:pPr>
      <w:r>
        <w:rPr>
          <w:rFonts w:ascii="仿宋_GB2312" w:hAnsi="宋体" w:eastAsia="仿宋_GB2312" w:cs="Arial"/>
          <w:color w:val="333333"/>
          <w:kern w:val="0"/>
          <w:sz w:val="24"/>
          <w:szCs w:val="24"/>
        </w:rPr>
        <w:t>符合国家现行相关标准、行业标准、地方标准或企业标准。</w:t>
      </w:r>
    </w:p>
    <w:p w14:paraId="279BACF3">
      <w:pPr>
        <w:widowControl/>
        <w:shd w:val="clear" w:color="auto" w:fill="FFFFFF"/>
        <w:spacing w:line="360" w:lineRule="auto"/>
        <w:ind w:firstLine="480"/>
        <w:jc w:val="left"/>
        <w:rPr>
          <w:rFonts w:hint="eastAsia" w:ascii="仿宋_GB2312" w:hAnsi="宋体" w:eastAsia="仿宋_GB2312"/>
          <w:sz w:val="24"/>
          <w:szCs w:val="24"/>
        </w:rPr>
      </w:pPr>
      <w:r>
        <w:rPr>
          <w:rFonts w:hint="eastAsia" w:ascii="仿宋_GB2312" w:hAnsi="宋体" w:eastAsia="仿宋_GB2312"/>
          <w:sz w:val="24"/>
          <w:szCs w:val="24"/>
        </w:rPr>
        <w:t>3.后续运营维护、升级更新、备品备件等要求：</w:t>
      </w:r>
    </w:p>
    <w:p w14:paraId="74AA6DD3">
      <w:pPr>
        <w:ind w:firstLine="480"/>
        <w:rPr>
          <w:rFonts w:hint="eastAsia" w:ascii="仿宋_GB2312" w:hAnsi="宋体" w:eastAsia="仿宋_GB2312"/>
          <w:sz w:val="24"/>
          <w:szCs w:val="24"/>
        </w:rPr>
      </w:pPr>
      <w:r>
        <w:rPr>
          <w:rFonts w:hint="eastAsia" w:ascii="仿宋_GB2312" w:hAnsi="宋体" w:eastAsia="仿宋_GB2312"/>
          <w:sz w:val="24"/>
          <w:szCs w:val="24"/>
        </w:rPr>
        <w:t>运维服务：供应商需提供≥</w:t>
      </w:r>
      <w:r>
        <w:rPr>
          <w:rFonts w:ascii="仿宋_GB2312" w:hAnsi="宋体" w:eastAsia="仿宋_GB2312"/>
          <w:sz w:val="24"/>
          <w:szCs w:val="24"/>
        </w:rPr>
        <w:t>2年</w:t>
      </w:r>
      <w:r>
        <w:rPr>
          <w:rFonts w:hint="eastAsia" w:ascii="仿宋_GB2312" w:hAnsi="宋体" w:eastAsia="仿宋_GB2312"/>
          <w:sz w:val="24"/>
          <w:szCs w:val="24"/>
        </w:rPr>
        <w:t>免费整机质保（含激光器、</w:t>
      </w:r>
      <w:r>
        <w:rPr>
          <w:rFonts w:ascii="仿宋_GB2312" w:hAnsi="宋体" w:eastAsia="仿宋_GB2312"/>
          <w:sz w:val="24"/>
          <w:szCs w:val="24"/>
        </w:rPr>
        <w:t xml:space="preserve">CCD </w:t>
      </w:r>
      <w:r>
        <w:rPr>
          <w:rFonts w:hint="eastAsia" w:ascii="仿宋_GB2312" w:hAnsi="宋体" w:eastAsia="仿宋_GB2312"/>
          <w:sz w:val="24"/>
          <w:szCs w:val="24"/>
        </w:rPr>
        <w:t>等核心部件），质保期内每半年开展</w:t>
      </w:r>
      <w:r>
        <w:rPr>
          <w:rFonts w:ascii="仿宋_GB2312" w:hAnsi="宋体" w:eastAsia="仿宋_GB2312"/>
          <w:sz w:val="24"/>
          <w:szCs w:val="24"/>
        </w:rPr>
        <w:t>1</w:t>
      </w:r>
      <w:r>
        <w:rPr>
          <w:rFonts w:hint="eastAsia" w:ascii="仿宋_GB2312" w:hAnsi="宋体" w:eastAsia="仿宋_GB2312"/>
          <w:sz w:val="24"/>
          <w:szCs w:val="24"/>
        </w:rPr>
        <w:t>次现场巡检，故障响应时间≤</w:t>
      </w:r>
      <w:r>
        <w:rPr>
          <w:rFonts w:ascii="仿宋_GB2312" w:hAnsi="宋体" w:eastAsia="仿宋_GB2312"/>
          <w:sz w:val="24"/>
          <w:szCs w:val="24"/>
        </w:rPr>
        <w:t>24小时</w:t>
      </w:r>
      <w:r>
        <w:rPr>
          <w:rFonts w:hint="eastAsia" w:ascii="仿宋_GB2312" w:hAnsi="宋体" w:eastAsia="仿宋_GB2312"/>
          <w:sz w:val="24"/>
          <w:szCs w:val="24"/>
        </w:rPr>
        <w:t>，修复时间≤</w:t>
      </w:r>
      <w:r>
        <w:rPr>
          <w:rFonts w:ascii="仿宋_GB2312" w:hAnsi="宋体" w:eastAsia="仿宋_GB2312"/>
          <w:sz w:val="24"/>
          <w:szCs w:val="24"/>
        </w:rPr>
        <w:t>72小时</w:t>
      </w:r>
      <w:r>
        <w:rPr>
          <w:rFonts w:hint="eastAsia" w:ascii="仿宋_GB2312" w:hAnsi="宋体" w:eastAsia="仿宋_GB2312"/>
          <w:sz w:val="24"/>
          <w:szCs w:val="24"/>
        </w:rPr>
        <w:t>；提供原厂操作培训（不少于</w:t>
      </w:r>
      <w:r>
        <w:rPr>
          <w:rFonts w:ascii="仿宋_GB2312" w:hAnsi="宋体" w:eastAsia="仿宋_GB2312"/>
          <w:sz w:val="24"/>
          <w:szCs w:val="24"/>
        </w:rPr>
        <w:t>4</w:t>
      </w:r>
      <w:r>
        <w:rPr>
          <w:rFonts w:hint="eastAsia" w:ascii="仿宋_GB2312" w:hAnsi="宋体" w:eastAsia="仿宋_GB2312"/>
          <w:sz w:val="24"/>
          <w:szCs w:val="24"/>
        </w:rPr>
        <w:t>人次・天，含理论</w:t>
      </w:r>
      <w:r>
        <w:rPr>
          <w:rFonts w:ascii="仿宋_GB2312" w:hAnsi="宋体" w:eastAsia="仿宋_GB2312"/>
          <w:sz w:val="24"/>
          <w:szCs w:val="24"/>
        </w:rPr>
        <w:t xml:space="preserve"> + </w:t>
      </w:r>
      <w:r>
        <w:rPr>
          <w:rFonts w:hint="eastAsia" w:ascii="仿宋_GB2312" w:hAnsi="宋体" w:eastAsia="仿宋_GB2312"/>
          <w:sz w:val="24"/>
          <w:szCs w:val="24"/>
        </w:rPr>
        <w:t>实操），确保操作人员独立掌握设备使用及基础维护技能。</w:t>
      </w:r>
    </w:p>
    <w:p w14:paraId="49443A41">
      <w:pPr>
        <w:ind w:firstLine="480"/>
        <w:rPr>
          <w:rFonts w:hint="eastAsia" w:ascii="仿宋_GB2312" w:hAnsi="宋体" w:eastAsia="仿宋_GB2312"/>
          <w:sz w:val="24"/>
          <w:szCs w:val="24"/>
        </w:rPr>
      </w:pPr>
      <w:r>
        <w:rPr>
          <w:rFonts w:hint="eastAsia" w:ascii="仿宋_GB2312" w:hAnsi="宋体" w:eastAsia="仿宋_GB2312"/>
          <w:sz w:val="24"/>
          <w:szCs w:val="24"/>
        </w:rPr>
        <w:t>升级更新：设备软件终身免费升级，硬件支持后续功能扩展（如更换样品仓类型、更换镜头、新增气路配置等），供应商需在新技术推出后</w:t>
      </w:r>
      <w:r>
        <w:rPr>
          <w:rFonts w:ascii="仿宋_GB2312" w:hAnsi="宋体" w:eastAsia="仿宋_GB2312"/>
          <w:sz w:val="24"/>
          <w:szCs w:val="24"/>
        </w:rPr>
        <w:t>30</w:t>
      </w:r>
      <w:r>
        <w:rPr>
          <w:rFonts w:hint="eastAsia" w:ascii="仿宋_GB2312" w:hAnsi="宋体" w:eastAsia="仿宋_GB2312"/>
          <w:sz w:val="24"/>
          <w:szCs w:val="24"/>
        </w:rPr>
        <w:t>日内告知用户升级方案。</w:t>
      </w:r>
    </w:p>
    <w:p w14:paraId="26106AC7">
      <w:pPr>
        <w:ind w:firstLine="480"/>
        <w:rPr>
          <w:rFonts w:hint="eastAsia" w:ascii="仿宋_GB2312" w:hAnsi="宋体" w:eastAsia="仿宋_GB2312"/>
          <w:sz w:val="24"/>
          <w:szCs w:val="24"/>
        </w:rPr>
      </w:pPr>
      <w:r>
        <w:rPr>
          <w:rFonts w:hint="eastAsia" w:ascii="仿宋_GB2312" w:hAnsi="宋体" w:eastAsia="仿宋_GB2312"/>
          <w:sz w:val="24"/>
          <w:szCs w:val="24"/>
        </w:rPr>
        <w:t>备品备件：质保期外提供全生命周期备件供应保障（承诺供应周期≥</w:t>
      </w:r>
      <w:r>
        <w:rPr>
          <w:rFonts w:ascii="仿宋_GB2312" w:hAnsi="宋体" w:eastAsia="仿宋_GB2312"/>
          <w:sz w:val="24"/>
          <w:szCs w:val="24"/>
        </w:rPr>
        <w:t>10年</w:t>
      </w:r>
      <w:r>
        <w:rPr>
          <w:rFonts w:hint="eastAsia" w:ascii="仿宋_GB2312" w:hAnsi="宋体" w:eastAsia="仿宋_GB2312"/>
          <w:sz w:val="24"/>
          <w:szCs w:val="24"/>
        </w:rPr>
        <w:t>），常用备件（如激光器窗口片、CCD 制冷模块、物镜等）需在用户提出需求后</w:t>
      </w:r>
      <w:r>
        <w:rPr>
          <w:rFonts w:ascii="仿宋_GB2312" w:hAnsi="宋体" w:eastAsia="仿宋_GB2312"/>
          <w:sz w:val="24"/>
          <w:szCs w:val="24"/>
        </w:rPr>
        <w:t>7</w:t>
      </w:r>
      <w:r>
        <w:rPr>
          <w:rFonts w:hint="eastAsia" w:ascii="仿宋_GB2312" w:hAnsi="宋体" w:eastAsia="仿宋_GB2312"/>
          <w:sz w:val="24"/>
          <w:szCs w:val="24"/>
        </w:rPr>
        <w:t>个工作日内到货；提供备件价格清单，确保价格不高于市场同期水平。</w:t>
      </w:r>
    </w:p>
    <w:p w14:paraId="1A46ACF0">
      <w:pPr>
        <w:spacing w:line="360" w:lineRule="auto"/>
        <w:ind w:firstLine="480" w:firstLineChars="200"/>
        <w:outlineLvl w:val="0"/>
        <w:rPr>
          <w:rFonts w:hint="eastAsia" w:ascii="仿宋_GB2312" w:hAnsi="宋体" w:eastAsia="仿宋_GB2312"/>
          <w:sz w:val="24"/>
          <w:szCs w:val="24"/>
        </w:rPr>
      </w:pPr>
      <w:r>
        <w:rPr>
          <w:rFonts w:hint="eastAsia" w:ascii="仿宋_GB2312" w:hAnsi="宋体" w:eastAsia="仿宋_GB2312"/>
          <w:sz w:val="24"/>
          <w:szCs w:val="24"/>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5BAA0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46531AE">
            <w:pPr>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592FA66B">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14103848">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重要性</w:t>
            </w:r>
          </w:p>
        </w:tc>
        <w:tc>
          <w:tcPr>
            <w:tcW w:w="2864" w:type="dxa"/>
            <w:vAlign w:val="center"/>
          </w:tcPr>
          <w:p w14:paraId="4D4BDABA">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7212F0BA">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证明材料要求</w:t>
            </w:r>
          </w:p>
        </w:tc>
      </w:tr>
      <w:tr w14:paraId="2B621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245A45A1">
            <w:pPr>
              <w:spacing w:line="360" w:lineRule="auto"/>
              <w:jc w:val="center"/>
              <w:rPr>
                <w:rFonts w:hint="eastAsia" w:ascii="仿宋_GB2312" w:hAnsi="宋体" w:eastAsia="仿宋_GB2312"/>
                <w:sz w:val="24"/>
                <w:szCs w:val="24"/>
              </w:rPr>
            </w:pPr>
            <w:r>
              <w:rPr>
                <w:rFonts w:hint="eastAsia"/>
              </w:rPr>
              <w:t>1</w:t>
            </w:r>
          </w:p>
        </w:tc>
        <w:tc>
          <w:tcPr>
            <w:tcW w:w="1134" w:type="dxa"/>
          </w:tcPr>
          <w:p w14:paraId="362DFAEB">
            <w:pPr>
              <w:widowControl/>
              <w:spacing w:line="360" w:lineRule="auto"/>
              <w:jc w:val="center"/>
              <w:rPr>
                <w:rFonts w:hint="eastAsia" w:ascii="仿宋_GB2312" w:hAnsi="宋体" w:eastAsia="仿宋_GB2312"/>
                <w:sz w:val="24"/>
                <w:szCs w:val="24"/>
              </w:rPr>
            </w:pPr>
            <w:r>
              <w:rPr>
                <w:rFonts w:hint="eastAsia"/>
              </w:rPr>
              <w:t>高性能激光器</w:t>
            </w:r>
          </w:p>
        </w:tc>
        <w:tc>
          <w:tcPr>
            <w:tcW w:w="1388" w:type="dxa"/>
          </w:tcPr>
          <w:p w14:paraId="1CFFE383">
            <w:pPr>
              <w:widowControl/>
              <w:spacing w:line="360" w:lineRule="auto"/>
              <w:jc w:val="center"/>
              <w:rPr>
                <w:rFonts w:hint="eastAsia" w:ascii="仿宋_GB2312" w:hAnsi="宋体" w:eastAsia="仿宋_GB2312"/>
                <w:sz w:val="24"/>
                <w:szCs w:val="24"/>
              </w:rPr>
            </w:pPr>
            <w:r>
              <w:rPr>
                <w:rFonts w:hint="eastAsia"/>
              </w:rPr>
              <w:t>★</w:t>
            </w:r>
          </w:p>
        </w:tc>
        <w:tc>
          <w:tcPr>
            <w:tcW w:w="2864" w:type="dxa"/>
          </w:tcPr>
          <w:p w14:paraId="1FC7DFC6">
            <w:pPr>
              <w:widowControl/>
              <w:spacing w:line="360" w:lineRule="auto"/>
              <w:jc w:val="center"/>
              <w:rPr>
                <w:rFonts w:hint="eastAsia" w:ascii="仿宋_GB2312" w:hAnsi="宋体" w:eastAsia="仿宋_GB2312"/>
                <w:sz w:val="24"/>
                <w:szCs w:val="24"/>
              </w:rPr>
            </w:pPr>
            <w:r>
              <w:t>激光脉冲宽度纳秒级或皮秒级；波长&lt;400nm，功率稳定性≤1%RMS@8h；能量密度可达50 J/cm2@样品表面</w:t>
            </w:r>
          </w:p>
        </w:tc>
        <w:tc>
          <w:tcPr>
            <w:tcW w:w="2126" w:type="dxa"/>
          </w:tcPr>
          <w:p w14:paraId="51E077D6">
            <w:pPr>
              <w:widowControl/>
              <w:spacing w:line="360" w:lineRule="auto"/>
              <w:jc w:val="center"/>
              <w:rPr>
                <w:rFonts w:hint="eastAsia" w:ascii="仿宋_GB2312" w:hAnsi="宋体" w:eastAsia="仿宋_GB2312"/>
                <w:sz w:val="24"/>
                <w:szCs w:val="24"/>
              </w:rPr>
            </w:pPr>
            <w:r>
              <w:rPr>
                <w:rFonts w:hint="eastAsia"/>
              </w:rPr>
              <w:t>是</w:t>
            </w:r>
          </w:p>
        </w:tc>
      </w:tr>
      <w:tr w14:paraId="0DD22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6DEAE542">
            <w:pPr>
              <w:spacing w:line="360" w:lineRule="auto"/>
              <w:jc w:val="center"/>
              <w:rPr>
                <w:rFonts w:hint="eastAsia" w:ascii="仿宋_GB2312" w:hAnsi="宋体" w:eastAsia="仿宋_GB2312"/>
                <w:sz w:val="24"/>
                <w:szCs w:val="24"/>
              </w:rPr>
            </w:pPr>
            <w:r>
              <w:rPr>
                <w:rFonts w:hint="eastAsia"/>
              </w:rPr>
              <w:t>2</w:t>
            </w:r>
          </w:p>
        </w:tc>
        <w:tc>
          <w:tcPr>
            <w:tcW w:w="1134" w:type="dxa"/>
          </w:tcPr>
          <w:p w14:paraId="676A019F">
            <w:pPr>
              <w:widowControl/>
              <w:spacing w:line="360" w:lineRule="auto"/>
              <w:jc w:val="center"/>
              <w:rPr>
                <w:rFonts w:hint="eastAsia" w:ascii="仿宋_GB2312" w:hAnsi="宋体" w:eastAsia="仿宋_GB2312"/>
                <w:sz w:val="24"/>
                <w:szCs w:val="24"/>
              </w:rPr>
            </w:pPr>
            <w:r>
              <w:rPr>
                <w:rFonts w:hint="eastAsia"/>
              </w:rPr>
              <w:t>高分辨率光斑控制系统</w:t>
            </w:r>
          </w:p>
        </w:tc>
        <w:tc>
          <w:tcPr>
            <w:tcW w:w="1388" w:type="dxa"/>
          </w:tcPr>
          <w:p w14:paraId="68CD1949">
            <w:pPr>
              <w:widowControl/>
              <w:spacing w:line="360" w:lineRule="auto"/>
              <w:jc w:val="center"/>
              <w:rPr>
                <w:rFonts w:hint="eastAsia" w:ascii="仿宋_GB2312" w:hAnsi="宋体" w:eastAsia="仿宋_GB2312"/>
                <w:sz w:val="24"/>
                <w:szCs w:val="24"/>
              </w:rPr>
            </w:pPr>
            <w:r>
              <w:rPr>
                <w:rFonts w:hint="eastAsia"/>
              </w:rPr>
              <w:t>★</w:t>
            </w:r>
          </w:p>
        </w:tc>
        <w:tc>
          <w:tcPr>
            <w:tcW w:w="2864" w:type="dxa"/>
          </w:tcPr>
          <w:p w14:paraId="1F4FEE46">
            <w:pPr>
              <w:widowControl/>
              <w:spacing w:line="360" w:lineRule="auto"/>
              <w:jc w:val="center"/>
              <w:rPr>
                <w:rFonts w:hint="eastAsia" w:ascii="仿宋_GB2312" w:hAnsi="宋体" w:eastAsia="仿宋_GB2312"/>
                <w:sz w:val="24"/>
                <w:szCs w:val="24"/>
              </w:rPr>
            </w:pPr>
            <w:r>
              <w:t>光斑形状可设定为圆形、矩形以及自定义多边形。光斑直径1-500</w:t>
            </w:r>
            <w:r>
              <w:rPr>
                <w:rFonts w:hint="eastAsia"/>
              </w:rPr>
              <w:t xml:space="preserve"> </w:t>
            </w:r>
            <w:r>
              <w:t>μm，无级连续可调。</w:t>
            </w:r>
          </w:p>
        </w:tc>
        <w:tc>
          <w:tcPr>
            <w:tcW w:w="2126" w:type="dxa"/>
          </w:tcPr>
          <w:p w14:paraId="5874A45B">
            <w:pPr>
              <w:widowControl/>
              <w:spacing w:line="360" w:lineRule="auto"/>
              <w:jc w:val="center"/>
              <w:rPr>
                <w:rFonts w:hint="eastAsia" w:ascii="仿宋_GB2312" w:hAnsi="宋体" w:eastAsia="仿宋_GB2312"/>
                <w:sz w:val="24"/>
                <w:szCs w:val="24"/>
              </w:rPr>
            </w:pPr>
            <w:r>
              <w:rPr>
                <w:rFonts w:hint="eastAsia"/>
              </w:rPr>
              <w:t>是</w:t>
            </w:r>
          </w:p>
        </w:tc>
      </w:tr>
      <w:tr w14:paraId="3EEE7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5262D0BF">
            <w:pPr>
              <w:spacing w:line="360" w:lineRule="auto"/>
              <w:jc w:val="center"/>
              <w:rPr>
                <w:rFonts w:hint="eastAsia" w:ascii="仿宋_GB2312" w:hAnsi="宋体" w:eastAsia="仿宋_GB2312"/>
                <w:sz w:val="24"/>
                <w:szCs w:val="24"/>
              </w:rPr>
            </w:pPr>
            <w:r>
              <w:rPr>
                <w:rFonts w:hint="eastAsia"/>
              </w:rPr>
              <w:t>3</w:t>
            </w:r>
          </w:p>
        </w:tc>
        <w:tc>
          <w:tcPr>
            <w:tcW w:w="1134" w:type="dxa"/>
          </w:tcPr>
          <w:p w14:paraId="33EF173D">
            <w:pPr>
              <w:widowControl/>
              <w:spacing w:line="360" w:lineRule="auto"/>
              <w:jc w:val="center"/>
              <w:rPr>
                <w:rFonts w:hint="eastAsia" w:ascii="仿宋_GB2312" w:hAnsi="宋体" w:eastAsia="仿宋_GB2312"/>
                <w:sz w:val="24"/>
                <w:szCs w:val="24"/>
              </w:rPr>
            </w:pPr>
            <w:r>
              <w:rPr>
                <w:rFonts w:hint="eastAsia"/>
              </w:rPr>
              <w:t>定制低本底小体积样品仓</w:t>
            </w:r>
          </w:p>
        </w:tc>
        <w:tc>
          <w:tcPr>
            <w:tcW w:w="1388" w:type="dxa"/>
          </w:tcPr>
          <w:p w14:paraId="765B4F8E">
            <w:pPr>
              <w:widowControl/>
              <w:spacing w:line="360" w:lineRule="auto"/>
              <w:jc w:val="center"/>
              <w:rPr>
                <w:rFonts w:hint="eastAsia" w:ascii="仿宋_GB2312" w:hAnsi="宋体" w:eastAsia="仿宋_GB2312"/>
                <w:sz w:val="24"/>
                <w:szCs w:val="24"/>
              </w:rPr>
            </w:pPr>
            <w:r>
              <w:rPr>
                <w:rFonts w:hint="eastAsia"/>
              </w:rPr>
              <w:t>#</w:t>
            </w:r>
          </w:p>
        </w:tc>
        <w:tc>
          <w:tcPr>
            <w:tcW w:w="2864" w:type="dxa"/>
          </w:tcPr>
          <w:p w14:paraId="2807F6F8">
            <w:pPr>
              <w:widowControl/>
              <w:spacing w:line="360" w:lineRule="auto"/>
              <w:jc w:val="center"/>
              <w:rPr>
                <w:rFonts w:hint="eastAsia" w:ascii="仿宋_GB2312" w:hAnsi="宋体" w:eastAsia="仿宋_GB2312"/>
                <w:sz w:val="24"/>
                <w:szCs w:val="24"/>
              </w:rPr>
            </w:pPr>
            <w:r>
              <w:t>样品仓内部安装空间适配直径 1 英寸圆形样品靶，可完成该规格样品靶的安置。</w:t>
            </w:r>
          </w:p>
        </w:tc>
        <w:tc>
          <w:tcPr>
            <w:tcW w:w="2126" w:type="dxa"/>
          </w:tcPr>
          <w:p w14:paraId="549A4FA6">
            <w:pPr>
              <w:widowControl/>
              <w:spacing w:line="360" w:lineRule="auto"/>
              <w:jc w:val="center"/>
              <w:rPr>
                <w:rFonts w:hint="eastAsia" w:ascii="仿宋_GB2312" w:hAnsi="宋体" w:eastAsia="仿宋_GB2312"/>
                <w:sz w:val="24"/>
                <w:szCs w:val="24"/>
              </w:rPr>
            </w:pPr>
            <w:r>
              <w:rPr>
                <w:rFonts w:hint="eastAsia"/>
              </w:rPr>
              <w:t>是</w:t>
            </w:r>
          </w:p>
        </w:tc>
      </w:tr>
      <w:tr w14:paraId="22622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5E8CF734">
            <w:pPr>
              <w:spacing w:line="360" w:lineRule="auto"/>
              <w:jc w:val="center"/>
              <w:rPr>
                <w:rFonts w:hint="eastAsia" w:ascii="仿宋_GB2312" w:hAnsi="宋体" w:eastAsia="仿宋_GB2312"/>
                <w:sz w:val="24"/>
                <w:szCs w:val="24"/>
              </w:rPr>
            </w:pPr>
            <w:r>
              <w:rPr>
                <w:rFonts w:hint="eastAsia"/>
              </w:rPr>
              <w:t>4</w:t>
            </w:r>
          </w:p>
        </w:tc>
        <w:tc>
          <w:tcPr>
            <w:tcW w:w="1134" w:type="dxa"/>
          </w:tcPr>
          <w:p w14:paraId="60F46BCB">
            <w:pPr>
              <w:widowControl/>
              <w:spacing w:line="360" w:lineRule="auto"/>
              <w:jc w:val="center"/>
              <w:rPr>
                <w:rFonts w:hint="eastAsia" w:ascii="仿宋_GB2312" w:hAnsi="宋体" w:eastAsia="仿宋_GB2312"/>
                <w:sz w:val="24"/>
                <w:szCs w:val="24"/>
              </w:rPr>
            </w:pPr>
            <w:r>
              <w:rPr>
                <w:rFonts w:hint="eastAsia"/>
              </w:rPr>
              <w:t>集成控制软件</w:t>
            </w:r>
          </w:p>
        </w:tc>
        <w:tc>
          <w:tcPr>
            <w:tcW w:w="1388" w:type="dxa"/>
          </w:tcPr>
          <w:p w14:paraId="1BD825C9">
            <w:pPr>
              <w:widowControl/>
              <w:spacing w:line="360" w:lineRule="auto"/>
              <w:jc w:val="center"/>
              <w:rPr>
                <w:rFonts w:hint="eastAsia" w:ascii="仿宋_GB2312" w:hAnsi="宋体" w:eastAsia="仿宋_GB2312"/>
                <w:sz w:val="24"/>
                <w:szCs w:val="24"/>
              </w:rPr>
            </w:pPr>
            <w:r>
              <w:rPr>
                <w:rFonts w:hint="eastAsia"/>
              </w:rPr>
              <w:t>#</w:t>
            </w:r>
          </w:p>
        </w:tc>
        <w:tc>
          <w:tcPr>
            <w:tcW w:w="2864" w:type="dxa"/>
          </w:tcPr>
          <w:p w14:paraId="4E2E5E18">
            <w:pPr>
              <w:widowControl/>
              <w:spacing w:line="360" w:lineRule="auto"/>
              <w:jc w:val="center"/>
              <w:rPr>
                <w:rFonts w:hint="eastAsia" w:ascii="仿宋_GB2312" w:hAnsi="宋体" w:eastAsia="仿宋_GB2312"/>
                <w:sz w:val="24"/>
                <w:szCs w:val="24"/>
              </w:rPr>
            </w:pPr>
            <w:r>
              <w:t>设备配套操作软件基于 C# 语言与 WPF 框架开发，可对剥蚀状态、激光能量和剥蚀频率进行实时显示。</w:t>
            </w:r>
          </w:p>
        </w:tc>
        <w:tc>
          <w:tcPr>
            <w:tcW w:w="2126" w:type="dxa"/>
          </w:tcPr>
          <w:p w14:paraId="63DCA2E5">
            <w:pPr>
              <w:widowControl/>
              <w:spacing w:line="360" w:lineRule="auto"/>
              <w:jc w:val="center"/>
              <w:rPr>
                <w:rFonts w:hint="eastAsia" w:ascii="仿宋_GB2312" w:hAnsi="宋体" w:eastAsia="仿宋_GB2312"/>
                <w:sz w:val="24"/>
                <w:szCs w:val="24"/>
              </w:rPr>
            </w:pPr>
            <w:r>
              <w:rPr>
                <w:rFonts w:hint="eastAsia"/>
              </w:rPr>
              <w:t>否</w:t>
            </w:r>
          </w:p>
        </w:tc>
      </w:tr>
      <w:tr w14:paraId="73AB8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7581FE26">
            <w:pPr>
              <w:spacing w:line="360" w:lineRule="auto"/>
              <w:jc w:val="center"/>
              <w:rPr>
                <w:rFonts w:hint="eastAsia"/>
              </w:rPr>
            </w:pPr>
            <w:r>
              <w:rPr>
                <w:rFonts w:hint="eastAsia"/>
              </w:rPr>
              <w:t>5</w:t>
            </w:r>
          </w:p>
        </w:tc>
        <w:tc>
          <w:tcPr>
            <w:tcW w:w="1134" w:type="dxa"/>
          </w:tcPr>
          <w:p w14:paraId="16FFE7AD">
            <w:pPr>
              <w:widowControl/>
              <w:spacing w:line="360" w:lineRule="auto"/>
              <w:jc w:val="center"/>
              <w:rPr>
                <w:rFonts w:hint="eastAsia"/>
              </w:rPr>
            </w:pPr>
            <w:r>
              <w:rPr>
                <w:rFonts w:hint="eastAsia"/>
              </w:rPr>
              <w:t>定制样品移动台</w:t>
            </w:r>
          </w:p>
        </w:tc>
        <w:tc>
          <w:tcPr>
            <w:tcW w:w="1388" w:type="dxa"/>
          </w:tcPr>
          <w:p w14:paraId="726792AA">
            <w:pPr>
              <w:widowControl/>
              <w:spacing w:line="360" w:lineRule="auto"/>
              <w:jc w:val="center"/>
              <w:rPr>
                <w:rFonts w:hint="eastAsia"/>
              </w:rPr>
            </w:pPr>
            <w:r>
              <w:rPr>
                <w:rFonts w:hint="eastAsia"/>
              </w:rPr>
              <w:t>#</w:t>
            </w:r>
          </w:p>
        </w:tc>
        <w:tc>
          <w:tcPr>
            <w:tcW w:w="2864" w:type="dxa"/>
          </w:tcPr>
          <w:p w14:paraId="0A727427">
            <w:pPr>
              <w:widowControl/>
              <w:spacing w:line="360" w:lineRule="auto"/>
              <w:jc w:val="center"/>
            </w:pPr>
            <w:r>
              <w:rPr>
                <w:rFonts w:hint="eastAsia"/>
              </w:rPr>
              <w:t>工作面尺寸65x65mm，二维平移±12.5mm</w:t>
            </w:r>
          </w:p>
        </w:tc>
        <w:tc>
          <w:tcPr>
            <w:tcW w:w="2126" w:type="dxa"/>
          </w:tcPr>
          <w:p w14:paraId="63DEC153">
            <w:pPr>
              <w:widowControl/>
              <w:spacing w:line="360" w:lineRule="auto"/>
              <w:jc w:val="center"/>
              <w:rPr>
                <w:rFonts w:hint="eastAsia"/>
              </w:rPr>
            </w:pPr>
            <w:r>
              <w:rPr>
                <w:rFonts w:hint="eastAsia"/>
              </w:rPr>
              <w:t>是</w:t>
            </w:r>
          </w:p>
        </w:tc>
      </w:tr>
    </w:tbl>
    <w:p w14:paraId="2A4FFD10">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59AC2A60">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3CE27D5E">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57F0467B">
      <w:pPr>
        <w:widowControl/>
        <w:shd w:val="clear" w:color="auto" w:fill="FFFFFF"/>
        <w:spacing w:line="360" w:lineRule="auto"/>
        <w:ind w:firstLine="560" w:firstLineChars="200"/>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（二）</w:t>
      </w:r>
      <w:r>
        <w:rPr>
          <w:rFonts w:ascii="仿宋_GB2312" w:hAnsi="宋体" w:eastAsia="仿宋_GB2312" w:cs="仿宋"/>
          <w:color w:val="000000"/>
          <w:kern w:val="0"/>
          <w:sz w:val="28"/>
          <w:szCs w:val="28"/>
          <w:shd w:val="clear" w:color="auto" w:fill="FFFFFF"/>
        </w:rPr>
        <w:t>点阵飞秒激光剥蚀系统（1 台）</w:t>
      </w:r>
    </w:p>
    <w:p w14:paraId="134A7BF8">
      <w:pPr>
        <w:widowControl/>
        <w:shd w:val="clear" w:color="auto" w:fill="FFFFFF"/>
        <w:spacing w:line="360" w:lineRule="auto"/>
        <w:ind w:left="525" w:leftChars="250"/>
        <w:jc w:val="left"/>
        <w:rPr>
          <w:rFonts w:hint="eastAsia" w:ascii="仿宋_GB2312" w:hAnsi="宋体" w:eastAsia="仿宋_GB2312"/>
          <w:sz w:val="24"/>
          <w:szCs w:val="24"/>
        </w:rPr>
      </w:pPr>
      <w:r>
        <w:rPr>
          <w:rFonts w:hint="eastAsia" w:ascii="仿宋_GB2312" w:hAnsi="宋体" w:eastAsia="仿宋_GB2312"/>
          <w:sz w:val="24"/>
          <w:szCs w:val="24"/>
        </w:rPr>
        <w:t>1.功能要求：</w:t>
      </w:r>
      <w:r>
        <w:rPr>
          <w:rFonts w:ascii="仿宋_GB2312" w:hAnsi="宋体" w:eastAsia="仿宋_GB2312"/>
          <w:sz w:val="24"/>
          <w:szCs w:val="24"/>
        </w:rPr>
        <w:t>可与电感耦合等离子体质谱联用，开展单矿物高空间分辨率成像、</w:t>
      </w:r>
      <w:r>
        <w:rPr>
          <w:rFonts w:hint="eastAsia" w:ascii="仿宋_GB2312" w:hAnsi="宋体" w:eastAsia="仿宋_GB2312"/>
          <w:sz w:val="24"/>
          <w:szCs w:val="24"/>
        </w:rPr>
        <w:t>黄铁矿</w:t>
      </w:r>
      <w:r>
        <w:rPr>
          <w:rFonts w:ascii="仿宋_GB2312" w:hAnsi="宋体" w:eastAsia="仿宋_GB2312"/>
          <w:sz w:val="24"/>
          <w:szCs w:val="24"/>
        </w:rPr>
        <w:t>/</w:t>
      </w:r>
      <w:r>
        <w:rPr>
          <w:rFonts w:hint="eastAsia" w:ascii="仿宋_GB2312" w:hAnsi="宋体" w:eastAsia="仿宋_GB2312"/>
          <w:sz w:val="24"/>
          <w:szCs w:val="24"/>
        </w:rPr>
        <w:t>石英</w:t>
      </w:r>
      <w:r>
        <w:rPr>
          <w:rFonts w:ascii="仿宋_GB2312" w:hAnsi="宋体" w:eastAsia="仿宋_GB2312"/>
          <w:sz w:val="24"/>
          <w:szCs w:val="24"/>
        </w:rPr>
        <w:t>/萤石等关键矿产样品快速成像，支撑矿物元素赋存状态研究；与三重四级杆电感耦合等离子体质谱联用，开展原位 Rb-Sr、Lu-Hf 等副矿物定年；与多接收质谱联用，开展原位金属稳定同位素研究。</w:t>
      </w:r>
    </w:p>
    <w:p w14:paraId="43100986">
      <w:pPr>
        <w:widowControl/>
        <w:shd w:val="clear" w:color="auto" w:fill="FFFFFF"/>
        <w:spacing w:line="360" w:lineRule="auto"/>
        <w:ind w:left="525" w:leftChars="250"/>
        <w:jc w:val="left"/>
        <w:rPr>
          <w:rFonts w:hint="eastAsia" w:ascii="仿宋_GB2312" w:hAnsi="宋体" w:eastAsia="仿宋_GB2312"/>
          <w:sz w:val="24"/>
          <w:szCs w:val="24"/>
        </w:rPr>
      </w:pPr>
      <w:r>
        <w:rPr>
          <w:rFonts w:hint="eastAsia" w:ascii="仿宋_GB2312" w:hAnsi="宋体" w:eastAsia="仿宋_GB2312"/>
          <w:sz w:val="24"/>
          <w:szCs w:val="24"/>
        </w:rPr>
        <w:t>2.应遵循的相关国家标准、行业标准、地方标准等标准、规范：</w:t>
      </w:r>
    </w:p>
    <w:p w14:paraId="25987765">
      <w:pPr>
        <w:widowControl/>
        <w:shd w:val="clear" w:color="auto" w:fill="FFFFFF"/>
        <w:spacing w:line="360" w:lineRule="auto"/>
        <w:ind w:left="525" w:leftChars="250"/>
        <w:jc w:val="left"/>
        <w:rPr>
          <w:rFonts w:hint="eastAsia" w:ascii="仿宋_GB2312" w:hAnsi="宋体" w:eastAsia="仿宋_GB2312" w:cs="Arial"/>
          <w:color w:val="333333"/>
          <w:kern w:val="0"/>
          <w:sz w:val="24"/>
          <w:szCs w:val="24"/>
        </w:rPr>
      </w:pPr>
      <w:r>
        <w:rPr>
          <w:rFonts w:ascii="仿宋_GB2312" w:hAnsi="宋体" w:eastAsia="仿宋_GB2312" w:cs="Arial"/>
          <w:color w:val="333333"/>
          <w:kern w:val="0"/>
          <w:sz w:val="24"/>
          <w:szCs w:val="24"/>
        </w:rPr>
        <w:t>符合国家现行相关标准、行业标准、地方标准或企业标准。</w:t>
      </w:r>
    </w:p>
    <w:p w14:paraId="594A3E75">
      <w:pPr>
        <w:pStyle w:val="13"/>
        <w:widowControl/>
        <w:numPr>
          <w:ilvl w:val="0"/>
          <w:numId w:val="2"/>
        </w:numPr>
        <w:shd w:val="clear" w:color="auto" w:fill="FFFFFF"/>
        <w:spacing w:line="360" w:lineRule="auto"/>
        <w:ind w:firstLineChars="0"/>
        <w:jc w:val="left"/>
        <w:rPr>
          <w:rFonts w:hint="eastAsia" w:ascii="仿宋_GB2312" w:hAnsi="宋体" w:eastAsia="仿宋_GB2312"/>
          <w:sz w:val="24"/>
          <w:szCs w:val="24"/>
        </w:rPr>
      </w:pPr>
      <w:r>
        <w:rPr>
          <w:rFonts w:hint="eastAsia" w:ascii="仿宋_GB2312" w:hAnsi="宋体" w:eastAsia="仿宋_GB2312"/>
          <w:sz w:val="24"/>
          <w:szCs w:val="24"/>
        </w:rPr>
        <w:t>后续运营维护、升级更新、备品备件等要求：</w:t>
      </w:r>
    </w:p>
    <w:p w14:paraId="209099F2">
      <w:pPr>
        <w:widowControl/>
        <w:ind w:firstLine="480" w:firstLineChars="200"/>
        <w:jc w:val="left"/>
        <w:rPr>
          <w:rFonts w:hint="eastAsia" w:ascii="仿宋_GB2312" w:hAnsi="宋体" w:eastAsia="仿宋_GB2312" w:cs="Arial"/>
          <w:color w:val="333333"/>
          <w:kern w:val="0"/>
          <w:sz w:val="24"/>
          <w:szCs w:val="24"/>
        </w:rPr>
      </w:pPr>
      <w:r>
        <w:rPr>
          <w:rFonts w:ascii="仿宋_GB2312" w:hAnsi="宋体" w:eastAsia="仿宋_GB2312" w:cs="Arial"/>
          <w:color w:val="333333"/>
          <w:kern w:val="0"/>
          <w:sz w:val="24"/>
          <w:szCs w:val="24"/>
        </w:rPr>
        <w:t>运维服务：供应商需提供≥2年免费整机质保（含激光器等核心部件），质保期内每半年</w:t>
      </w:r>
      <w:r>
        <w:rPr>
          <w:rFonts w:hint="eastAsia" w:ascii="仿宋_GB2312" w:hAnsi="宋体" w:eastAsia="仿宋_GB2312" w:cs="Arial"/>
          <w:color w:val="333333"/>
          <w:kern w:val="0"/>
          <w:sz w:val="24"/>
          <w:szCs w:val="24"/>
        </w:rPr>
        <w:t>开展</w:t>
      </w:r>
      <w:r>
        <w:rPr>
          <w:rFonts w:ascii="仿宋_GB2312" w:hAnsi="宋体" w:eastAsia="仿宋_GB2312" w:cs="Arial"/>
          <w:color w:val="333333"/>
          <w:kern w:val="0"/>
          <w:sz w:val="24"/>
          <w:szCs w:val="24"/>
        </w:rPr>
        <w:t>1次现场巡检，故障响应时间≤24小时，修复时间或找到解决方案≤72小时；提供原厂操作培训（不少</w:t>
      </w:r>
      <w:r>
        <w:rPr>
          <w:rFonts w:hint="eastAsia" w:ascii="仿宋_GB2312" w:hAnsi="宋体" w:eastAsia="仿宋_GB2312" w:cs="Arial"/>
          <w:color w:val="333333"/>
          <w:kern w:val="0"/>
          <w:sz w:val="24"/>
          <w:szCs w:val="24"/>
        </w:rPr>
        <w:t>于</w:t>
      </w:r>
      <w:r>
        <w:rPr>
          <w:rFonts w:ascii="仿宋_GB2312" w:hAnsi="宋体" w:eastAsia="仿宋_GB2312" w:cs="Arial"/>
          <w:color w:val="333333"/>
          <w:kern w:val="0"/>
          <w:sz w:val="24"/>
          <w:szCs w:val="24"/>
        </w:rPr>
        <w:t xml:space="preserve">4人次・天，含理论 + 实操），确保操作人员独立掌握设备使用及基础维护技能。 </w:t>
      </w:r>
    </w:p>
    <w:p w14:paraId="666E8C2A">
      <w:pPr>
        <w:widowControl/>
        <w:ind w:firstLine="480" w:firstLineChars="200"/>
        <w:jc w:val="left"/>
        <w:rPr>
          <w:rFonts w:hint="eastAsia" w:ascii="仿宋_GB2312" w:hAnsi="宋体" w:eastAsia="仿宋_GB2312" w:cs="Arial"/>
          <w:color w:val="333333"/>
          <w:kern w:val="0"/>
          <w:sz w:val="24"/>
          <w:szCs w:val="24"/>
        </w:rPr>
      </w:pPr>
      <w:r>
        <w:rPr>
          <w:rFonts w:ascii="仿宋_GB2312" w:hAnsi="宋体" w:eastAsia="仿宋_GB2312" w:cs="Arial"/>
          <w:color w:val="333333"/>
          <w:kern w:val="0"/>
          <w:sz w:val="24"/>
          <w:szCs w:val="24"/>
        </w:rPr>
        <w:t>升级更新：设备软件终身免费升级，供应商需在新技术推出</w:t>
      </w:r>
      <w:r>
        <w:rPr>
          <w:rFonts w:hint="eastAsia" w:ascii="仿宋_GB2312" w:hAnsi="宋体" w:eastAsia="仿宋_GB2312" w:cs="Arial"/>
          <w:color w:val="333333"/>
          <w:kern w:val="0"/>
          <w:sz w:val="24"/>
          <w:szCs w:val="24"/>
        </w:rPr>
        <w:t>后</w:t>
      </w:r>
      <w:r>
        <w:rPr>
          <w:rFonts w:ascii="仿宋_GB2312" w:hAnsi="宋体" w:eastAsia="仿宋_GB2312" w:cs="Arial"/>
          <w:color w:val="333333"/>
          <w:kern w:val="0"/>
          <w:sz w:val="24"/>
          <w:szCs w:val="24"/>
        </w:rPr>
        <w:t xml:space="preserve">30日内告知用户升级方案。 </w:t>
      </w:r>
    </w:p>
    <w:p w14:paraId="67D54A9B">
      <w:pPr>
        <w:widowControl/>
        <w:shd w:val="clear" w:color="auto" w:fill="FFFFFF"/>
        <w:spacing w:line="360" w:lineRule="auto"/>
        <w:ind w:firstLine="480" w:firstLineChars="200"/>
        <w:jc w:val="left"/>
        <w:rPr>
          <w:rFonts w:hint="eastAsia" w:ascii="仿宋_GB2312" w:hAnsi="宋体" w:eastAsia="仿宋_GB2312" w:cs="Arial"/>
          <w:color w:val="333333"/>
          <w:kern w:val="0"/>
          <w:sz w:val="24"/>
          <w:szCs w:val="24"/>
        </w:rPr>
      </w:pPr>
      <w:r>
        <w:rPr>
          <w:rFonts w:ascii="仿宋_GB2312" w:hAnsi="宋体" w:eastAsia="仿宋_GB2312" w:cs="Arial"/>
          <w:color w:val="333333"/>
          <w:kern w:val="0"/>
          <w:sz w:val="24"/>
          <w:szCs w:val="24"/>
        </w:rPr>
        <w:t>备品备件：质保期外提供全生命周期备件供应保障（承诺供应周期≥10年），常用备件需在用户提出需求</w:t>
      </w:r>
      <w:r>
        <w:rPr>
          <w:rFonts w:hint="eastAsia" w:ascii="仿宋_GB2312" w:hAnsi="宋体" w:eastAsia="仿宋_GB2312" w:cs="Arial"/>
          <w:color w:val="333333"/>
          <w:kern w:val="0"/>
          <w:sz w:val="24"/>
          <w:szCs w:val="24"/>
        </w:rPr>
        <w:t>后</w:t>
      </w:r>
      <w:r>
        <w:rPr>
          <w:rFonts w:ascii="仿宋_GB2312" w:hAnsi="宋体" w:eastAsia="仿宋_GB2312" w:cs="Arial"/>
          <w:color w:val="333333"/>
          <w:kern w:val="0"/>
          <w:sz w:val="24"/>
          <w:szCs w:val="24"/>
        </w:rPr>
        <w:t>7个工作日内到货；提供备件价格清单，确保价格不高于市场同期水平。</w:t>
      </w:r>
    </w:p>
    <w:p w14:paraId="104AF41C">
      <w:pPr>
        <w:widowControl/>
        <w:shd w:val="clear" w:color="auto" w:fill="FFFFFF"/>
        <w:spacing w:line="360" w:lineRule="auto"/>
        <w:ind w:left="525" w:leftChars="250"/>
        <w:jc w:val="left"/>
        <w:rPr>
          <w:rFonts w:hint="eastAsia" w:ascii="仿宋_GB2312" w:hAnsi="宋体" w:eastAsia="仿宋_GB2312"/>
          <w:sz w:val="24"/>
          <w:szCs w:val="24"/>
        </w:rPr>
      </w:pPr>
      <w:r>
        <w:rPr>
          <w:rFonts w:hint="eastAsia" w:ascii="仿宋_GB2312" w:hAnsi="宋体" w:eastAsia="仿宋_GB2312"/>
          <w:sz w:val="24"/>
          <w:szCs w:val="24"/>
        </w:rPr>
        <w:t>4.各项指标要求：</w:t>
      </w:r>
    </w:p>
    <w:tbl>
      <w:tblPr>
        <w:tblStyle w:val="7"/>
        <w:tblW w:w="8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554"/>
        <w:gridCol w:w="622"/>
        <w:gridCol w:w="3818"/>
        <w:gridCol w:w="2257"/>
      </w:tblGrid>
      <w:tr w14:paraId="59682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vAlign w:val="center"/>
          </w:tcPr>
          <w:p w14:paraId="3AADC1C8">
            <w:pPr>
              <w:spacing w:line="360" w:lineRule="auto"/>
              <w:jc w:val="center"/>
              <w:rPr>
                <w:rFonts w:hint="eastAsia" w:ascii="仿宋_GB2312" w:hAnsi="宋体" w:eastAsia="仿宋_GB2312"/>
                <w:b/>
                <w:sz w:val="24"/>
                <w:szCs w:val="24"/>
              </w:rPr>
            </w:pPr>
            <w:r>
              <w:rPr>
                <w:rFonts w:hint="eastAsia" w:ascii="宋体" w:hAnsi="宋体" w:eastAsia="宋体" w:cs="宋体"/>
                <w:b/>
                <w:sz w:val="24"/>
                <w:szCs w:val="24"/>
              </w:rPr>
              <w:t>序号</w:t>
            </w:r>
          </w:p>
        </w:tc>
        <w:tc>
          <w:tcPr>
            <w:tcW w:w="1554" w:type="dxa"/>
            <w:vAlign w:val="center"/>
          </w:tcPr>
          <w:p w14:paraId="36EFE049">
            <w:pPr>
              <w:widowControl/>
              <w:spacing w:line="360" w:lineRule="auto"/>
              <w:jc w:val="center"/>
              <w:rPr>
                <w:rFonts w:hint="eastAsia" w:ascii="仿宋_GB2312" w:hAnsi="宋体" w:eastAsia="仿宋_GB2312"/>
                <w:b/>
                <w:sz w:val="24"/>
                <w:szCs w:val="24"/>
              </w:rPr>
            </w:pPr>
            <w:r>
              <w:rPr>
                <w:rFonts w:hint="eastAsia" w:ascii="宋体" w:hAnsi="宋体" w:eastAsia="宋体" w:cs="宋体"/>
                <w:b/>
                <w:sz w:val="24"/>
                <w:szCs w:val="24"/>
              </w:rPr>
              <w:t>指标项</w:t>
            </w:r>
          </w:p>
        </w:tc>
        <w:tc>
          <w:tcPr>
            <w:tcW w:w="622" w:type="dxa"/>
            <w:vAlign w:val="center"/>
          </w:tcPr>
          <w:p w14:paraId="2B7C2710">
            <w:pPr>
              <w:widowControl/>
              <w:spacing w:line="360" w:lineRule="auto"/>
              <w:jc w:val="center"/>
              <w:rPr>
                <w:rFonts w:hint="eastAsia" w:ascii="仿宋_GB2312" w:hAnsi="宋体" w:eastAsia="仿宋_GB2312"/>
                <w:b/>
                <w:sz w:val="24"/>
                <w:szCs w:val="24"/>
              </w:rPr>
            </w:pPr>
            <w:r>
              <w:rPr>
                <w:rFonts w:hint="eastAsia" w:ascii="宋体" w:hAnsi="宋体" w:eastAsia="宋体" w:cs="宋体"/>
                <w:b/>
                <w:sz w:val="24"/>
                <w:szCs w:val="24"/>
              </w:rPr>
              <w:t>重要性</w:t>
            </w:r>
          </w:p>
        </w:tc>
        <w:tc>
          <w:tcPr>
            <w:tcW w:w="3818" w:type="dxa"/>
            <w:vAlign w:val="center"/>
          </w:tcPr>
          <w:p w14:paraId="54F362C8">
            <w:pPr>
              <w:widowControl/>
              <w:spacing w:line="360" w:lineRule="auto"/>
              <w:jc w:val="center"/>
              <w:rPr>
                <w:rFonts w:hint="eastAsia" w:ascii="仿宋_GB2312" w:hAnsi="宋体" w:eastAsia="仿宋_GB2312"/>
                <w:b/>
                <w:sz w:val="24"/>
                <w:szCs w:val="24"/>
              </w:rPr>
            </w:pPr>
            <w:r>
              <w:rPr>
                <w:rFonts w:hint="eastAsia" w:ascii="宋体" w:hAnsi="宋体" w:eastAsia="宋体" w:cs="宋体"/>
                <w:b/>
                <w:sz w:val="24"/>
                <w:szCs w:val="24"/>
              </w:rPr>
              <w:t>指标要求</w:t>
            </w:r>
          </w:p>
        </w:tc>
        <w:tc>
          <w:tcPr>
            <w:tcW w:w="2257" w:type="dxa"/>
            <w:vAlign w:val="center"/>
          </w:tcPr>
          <w:p w14:paraId="182187EC">
            <w:pPr>
              <w:widowControl/>
              <w:spacing w:line="360" w:lineRule="auto"/>
              <w:jc w:val="center"/>
              <w:rPr>
                <w:rFonts w:hint="eastAsia" w:ascii="仿宋_GB2312" w:hAnsi="宋体" w:eastAsia="仿宋_GB2312"/>
                <w:b/>
                <w:sz w:val="24"/>
                <w:szCs w:val="24"/>
              </w:rPr>
            </w:pPr>
            <w:r>
              <w:rPr>
                <w:rFonts w:hint="eastAsia" w:ascii="宋体" w:hAnsi="宋体" w:eastAsia="宋体" w:cs="宋体"/>
                <w:b/>
                <w:sz w:val="24"/>
                <w:szCs w:val="24"/>
              </w:rPr>
              <w:t>证明材料要求</w:t>
            </w:r>
          </w:p>
        </w:tc>
      </w:tr>
      <w:tr w14:paraId="0C127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vAlign w:val="center"/>
          </w:tcPr>
          <w:p w14:paraId="0B98E393">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554" w:type="dxa"/>
            <w:vAlign w:val="center"/>
          </w:tcPr>
          <w:p w14:paraId="035F3C4C">
            <w:pPr>
              <w:spacing w:line="360" w:lineRule="auto"/>
              <w:jc w:val="left"/>
              <w:rPr>
                <w:rFonts w:hint="eastAsia" w:ascii="仿宋_GB2312" w:hAnsi="宋体" w:eastAsia="仿宋_GB2312"/>
                <w:sz w:val="24"/>
                <w:szCs w:val="24"/>
              </w:rPr>
            </w:pPr>
            <w:r>
              <w:rPr>
                <w:rFonts w:hint="eastAsia" w:ascii="宋体" w:hAnsi="宋体" w:eastAsia="宋体" w:cs="宋体"/>
                <w:sz w:val="24"/>
                <w:szCs w:val="24"/>
              </w:rPr>
              <w:t>飞秒激光源</w:t>
            </w:r>
          </w:p>
        </w:tc>
        <w:tc>
          <w:tcPr>
            <w:tcW w:w="622" w:type="dxa"/>
            <w:vAlign w:val="center"/>
          </w:tcPr>
          <w:p w14:paraId="7798E46E">
            <w:pPr>
              <w:spacing w:line="360" w:lineRule="auto"/>
              <w:jc w:val="center"/>
              <w:rPr>
                <w:rFonts w:hint="eastAsia" w:ascii="仿宋_GB2312" w:hAnsi="宋体" w:eastAsia="仿宋_GB2312"/>
                <w:sz w:val="24"/>
                <w:szCs w:val="24"/>
              </w:rPr>
            </w:pPr>
            <w:r>
              <w:rPr>
                <w:rFonts w:ascii="Segoe UI Symbol" w:hAnsi="Segoe UI Symbol" w:eastAsia="仿宋_GB2312" w:cs="Segoe UI Symbol"/>
                <w:sz w:val="24"/>
                <w:szCs w:val="24"/>
                <w:lang w:val="zh-CN"/>
              </w:rPr>
              <w:t>★</w:t>
            </w:r>
          </w:p>
        </w:tc>
        <w:tc>
          <w:tcPr>
            <w:tcW w:w="3818" w:type="dxa"/>
            <w:vAlign w:val="center"/>
          </w:tcPr>
          <w:p w14:paraId="3F805256">
            <w:pPr>
              <w:spacing w:line="360" w:lineRule="auto"/>
              <w:jc w:val="left"/>
              <w:rPr>
                <w:rFonts w:hint="eastAsia" w:ascii="仿宋_GB2312" w:hAnsi="宋体" w:eastAsia="仿宋_GB2312"/>
                <w:sz w:val="24"/>
                <w:szCs w:val="24"/>
              </w:rPr>
            </w:pPr>
            <w:bookmarkStart w:id="0" w:name="OLE_LINK2"/>
            <w:r>
              <w:rPr>
                <w:rFonts w:hint="eastAsia" w:ascii="宋体" w:hAnsi="宋体" w:eastAsia="宋体" w:cs="宋体"/>
                <w:sz w:val="24"/>
                <w:szCs w:val="24"/>
              </w:rPr>
              <w:t>中心波长</w:t>
            </w:r>
            <w:r>
              <w:rPr>
                <w:rFonts w:hint="eastAsia" w:ascii="仿宋_GB2312" w:hAnsi="宋体" w:eastAsia="仿宋_GB2312"/>
                <w:sz w:val="24"/>
                <w:szCs w:val="24"/>
                <w:lang w:eastAsia="zh-Hans"/>
              </w:rPr>
              <w:t>≤</w:t>
            </w:r>
            <w:r>
              <w:rPr>
                <w:rFonts w:hint="eastAsia" w:ascii="仿宋_GB2312" w:hAnsi="宋体" w:eastAsia="仿宋_GB2312"/>
                <w:sz w:val="24"/>
                <w:szCs w:val="24"/>
              </w:rPr>
              <w:t>515</w:t>
            </w:r>
            <w:r>
              <w:rPr>
                <w:rFonts w:ascii="仿宋_GB2312" w:hAnsi="宋体" w:eastAsia="仿宋_GB2312"/>
                <w:sz w:val="24"/>
                <w:szCs w:val="24"/>
                <w:lang w:eastAsia="zh-Hans"/>
              </w:rPr>
              <w:t>nm</w:t>
            </w:r>
            <w:r>
              <w:rPr>
                <w:rFonts w:hint="eastAsia" w:ascii="宋体" w:hAnsi="宋体" w:eastAsia="宋体" w:cs="宋体"/>
                <w:sz w:val="24"/>
                <w:szCs w:val="24"/>
                <w:lang w:eastAsia="zh-Hans"/>
              </w:rPr>
              <w:t>（</w:t>
            </w:r>
            <w:r>
              <w:rPr>
                <w:rFonts w:hint="eastAsia" w:ascii="仿宋_GB2312" w:hAnsi="宋体" w:eastAsia="仿宋_GB2312"/>
                <w:sz w:val="24"/>
                <w:szCs w:val="24"/>
                <w:lang w:eastAsia="zh-Hans"/>
              </w:rPr>
              <w:t>±2nm</w:t>
            </w:r>
            <w:r>
              <w:rPr>
                <w:rFonts w:hint="eastAsia" w:ascii="宋体" w:hAnsi="宋体" w:eastAsia="宋体" w:cs="宋体"/>
                <w:sz w:val="24"/>
                <w:szCs w:val="24"/>
                <w:lang w:eastAsia="zh-Hans"/>
              </w:rPr>
              <w:t>），脉冲宽度</w:t>
            </w:r>
            <w:r>
              <w:rPr>
                <w:rFonts w:ascii="仿宋_GB2312" w:hAnsi="宋体" w:eastAsia="仿宋_GB2312"/>
                <w:sz w:val="24"/>
                <w:szCs w:val="24"/>
                <w:lang w:eastAsia="zh-Hans"/>
              </w:rPr>
              <w:t>≤</w:t>
            </w:r>
            <w:r>
              <w:rPr>
                <w:rFonts w:hint="eastAsia" w:ascii="仿宋_GB2312" w:hAnsi="宋体" w:eastAsia="仿宋_GB2312"/>
                <w:sz w:val="24"/>
                <w:szCs w:val="24"/>
                <w:lang w:eastAsia="zh-Hans"/>
              </w:rPr>
              <w:t>260fs</w:t>
            </w:r>
            <w:r>
              <w:rPr>
                <w:rFonts w:hint="eastAsia" w:ascii="宋体" w:hAnsi="宋体" w:eastAsia="宋体" w:cs="宋体"/>
                <w:sz w:val="24"/>
                <w:szCs w:val="24"/>
                <w:lang w:eastAsia="zh-Hans"/>
              </w:rPr>
              <w:t>，重复频率可在</w:t>
            </w:r>
            <w:r>
              <w:rPr>
                <w:rFonts w:hint="eastAsia" w:ascii="仿宋_GB2312" w:hAnsi="宋体" w:eastAsia="仿宋_GB2312"/>
                <w:sz w:val="24"/>
                <w:szCs w:val="24"/>
                <w:lang w:eastAsia="zh-Hans"/>
              </w:rPr>
              <w:t>1-1MHz</w:t>
            </w:r>
            <w:r>
              <w:rPr>
                <w:rFonts w:hint="eastAsia" w:ascii="宋体" w:hAnsi="宋体" w:eastAsia="宋体" w:cs="宋体"/>
                <w:sz w:val="24"/>
                <w:szCs w:val="24"/>
                <w:lang w:eastAsia="zh-Hans"/>
              </w:rPr>
              <w:t>范围内连续可调。</w:t>
            </w:r>
            <w:bookmarkEnd w:id="0"/>
          </w:p>
        </w:tc>
        <w:tc>
          <w:tcPr>
            <w:tcW w:w="2257" w:type="dxa"/>
            <w:vAlign w:val="center"/>
          </w:tcPr>
          <w:p w14:paraId="38E3892E">
            <w:pPr>
              <w:spacing w:line="360" w:lineRule="auto"/>
              <w:jc w:val="center"/>
              <w:rPr>
                <w:rFonts w:hint="eastAsia" w:ascii="仿宋_GB2312" w:hAnsi="宋体" w:eastAsia="仿宋_GB2312"/>
                <w:sz w:val="24"/>
                <w:szCs w:val="24"/>
              </w:rPr>
            </w:pPr>
            <w:r>
              <w:rPr>
                <w:rFonts w:hint="eastAsia" w:ascii="宋体" w:hAnsi="宋体" w:eastAsia="宋体" w:cs="宋体"/>
                <w:sz w:val="24"/>
                <w:szCs w:val="24"/>
              </w:rPr>
              <w:t>是</w:t>
            </w:r>
          </w:p>
        </w:tc>
      </w:tr>
      <w:tr w14:paraId="5880A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vAlign w:val="center"/>
          </w:tcPr>
          <w:p w14:paraId="3C92B24D">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554" w:type="dxa"/>
            <w:vAlign w:val="center"/>
          </w:tcPr>
          <w:p w14:paraId="62CF0CB0">
            <w:pPr>
              <w:spacing w:line="360" w:lineRule="auto"/>
              <w:jc w:val="left"/>
              <w:rPr>
                <w:rFonts w:hint="eastAsia" w:ascii="仿宋_GB2312" w:hAnsi="宋体" w:eastAsia="仿宋_GB2312"/>
                <w:sz w:val="24"/>
                <w:szCs w:val="24"/>
              </w:rPr>
            </w:pPr>
            <w:r>
              <w:rPr>
                <w:rFonts w:hint="eastAsia" w:ascii="宋体" w:hAnsi="宋体" w:eastAsia="宋体" w:cs="宋体"/>
                <w:sz w:val="24"/>
                <w:szCs w:val="24"/>
              </w:rPr>
              <w:t>样品表面能量密度</w:t>
            </w:r>
          </w:p>
        </w:tc>
        <w:tc>
          <w:tcPr>
            <w:tcW w:w="622" w:type="dxa"/>
            <w:vAlign w:val="center"/>
          </w:tcPr>
          <w:p w14:paraId="3C26982D">
            <w:pPr>
              <w:spacing w:line="360" w:lineRule="auto"/>
              <w:jc w:val="center"/>
              <w:rPr>
                <w:rFonts w:hint="eastAsia" w:ascii="仿宋_GB2312" w:hAnsi="宋体" w:eastAsia="仿宋_GB2312"/>
                <w:sz w:val="24"/>
                <w:szCs w:val="24"/>
              </w:rPr>
            </w:pPr>
            <w:r>
              <w:rPr>
                <w:rFonts w:ascii="Segoe UI Symbol" w:hAnsi="Segoe UI Symbol" w:eastAsia="仿宋_GB2312" w:cs="Segoe UI Symbol"/>
                <w:sz w:val="24"/>
                <w:szCs w:val="24"/>
                <w:lang w:val="zh-CN"/>
              </w:rPr>
              <w:t>★</w:t>
            </w:r>
          </w:p>
        </w:tc>
        <w:tc>
          <w:tcPr>
            <w:tcW w:w="3818" w:type="dxa"/>
            <w:vAlign w:val="center"/>
          </w:tcPr>
          <w:p w14:paraId="2FA8C0D4">
            <w:pPr>
              <w:spacing w:line="360" w:lineRule="auto"/>
              <w:jc w:val="left"/>
              <w:rPr>
                <w:rFonts w:hint="eastAsia" w:ascii="仿宋_GB2312" w:hAnsi="宋体" w:eastAsia="仿宋_GB2312"/>
                <w:sz w:val="24"/>
                <w:szCs w:val="24"/>
              </w:rPr>
            </w:pPr>
            <w:r>
              <w:rPr>
                <w:rFonts w:hint="eastAsia" w:ascii="宋体" w:hAnsi="宋体" w:eastAsia="宋体" w:cs="宋体"/>
                <w:sz w:val="24"/>
                <w:szCs w:val="24"/>
                <w:lang w:eastAsia="zh-Hans"/>
              </w:rPr>
              <w:t>最大</w:t>
            </w:r>
            <w:r>
              <w:rPr>
                <w:rFonts w:hint="eastAsia" w:ascii="宋体" w:hAnsi="宋体" w:eastAsia="宋体" w:cs="宋体"/>
                <w:sz w:val="24"/>
                <w:szCs w:val="24"/>
              </w:rPr>
              <w:t>值</w:t>
            </w:r>
            <w:r>
              <w:rPr>
                <w:rFonts w:hint="eastAsia" w:ascii="仿宋_GB2312" w:hAnsi="宋体" w:eastAsia="仿宋_GB2312"/>
                <w:sz w:val="24"/>
                <w:szCs w:val="24"/>
                <w:lang w:eastAsia="zh-Hans"/>
              </w:rPr>
              <w:t>≥</w:t>
            </w:r>
            <w:r>
              <w:rPr>
                <w:rFonts w:hint="eastAsia" w:ascii="仿宋_GB2312" w:hAnsi="宋体" w:eastAsia="仿宋_GB2312"/>
                <w:sz w:val="24"/>
                <w:szCs w:val="24"/>
              </w:rPr>
              <w:t>50 J/cm</w:t>
            </w:r>
            <w:r>
              <w:rPr>
                <w:rFonts w:ascii="仿宋_GB2312" w:hAnsi="宋体" w:eastAsia="仿宋_GB2312"/>
                <w:sz w:val="24"/>
                <w:szCs w:val="24"/>
                <w:vertAlign w:val="superscript"/>
              </w:rPr>
              <w:t>2</w:t>
            </w:r>
          </w:p>
        </w:tc>
        <w:tc>
          <w:tcPr>
            <w:tcW w:w="2257" w:type="dxa"/>
            <w:vAlign w:val="center"/>
          </w:tcPr>
          <w:p w14:paraId="77FA4D9E">
            <w:pPr>
              <w:spacing w:line="360" w:lineRule="auto"/>
              <w:jc w:val="center"/>
              <w:rPr>
                <w:rFonts w:hint="eastAsia" w:ascii="仿宋_GB2312" w:hAnsi="宋体" w:eastAsia="仿宋_GB2312"/>
                <w:sz w:val="24"/>
                <w:szCs w:val="24"/>
              </w:rPr>
            </w:pPr>
            <w:r>
              <w:rPr>
                <w:rFonts w:hint="eastAsia" w:ascii="宋体" w:hAnsi="宋体" w:eastAsia="宋体" w:cs="宋体"/>
                <w:sz w:val="24"/>
                <w:szCs w:val="24"/>
              </w:rPr>
              <w:t>是</w:t>
            </w:r>
          </w:p>
        </w:tc>
      </w:tr>
      <w:tr w14:paraId="54AA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04114C9E">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1554" w:type="dxa"/>
            <w:tcBorders>
              <w:top w:val="single" w:color="auto" w:sz="4" w:space="0"/>
              <w:left w:val="single" w:color="auto" w:sz="4" w:space="0"/>
              <w:bottom w:val="single" w:color="auto" w:sz="4" w:space="0"/>
              <w:right w:val="single" w:color="auto" w:sz="4" w:space="0"/>
            </w:tcBorders>
            <w:vAlign w:val="center"/>
          </w:tcPr>
          <w:p w14:paraId="26B4F36F">
            <w:pPr>
              <w:spacing w:line="360" w:lineRule="auto"/>
              <w:jc w:val="left"/>
              <w:rPr>
                <w:rFonts w:hint="eastAsia" w:ascii="宋体" w:hAnsi="宋体" w:eastAsia="宋体" w:cs="宋体"/>
                <w:sz w:val="24"/>
                <w:szCs w:val="24"/>
              </w:rPr>
            </w:pPr>
            <w:r>
              <w:rPr>
                <w:rFonts w:hint="eastAsia" w:ascii="宋体" w:hAnsi="宋体" w:eastAsia="宋体" w:cs="宋体"/>
                <w:sz w:val="24"/>
                <w:szCs w:val="24"/>
              </w:rPr>
              <w:t>光斑尺寸</w:t>
            </w:r>
          </w:p>
        </w:tc>
        <w:tc>
          <w:tcPr>
            <w:tcW w:w="622" w:type="dxa"/>
            <w:tcBorders>
              <w:top w:val="single" w:color="auto" w:sz="4" w:space="0"/>
              <w:left w:val="single" w:color="auto" w:sz="4" w:space="0"/>
              <w:bottom w:val="single" w:color="auto" w:sz="4" w:space="0"/>
              <w:right w:val="single" w:color="auto" w:sz="4" w:space="0"/>
            </w:tcBorders>
            <w:vAlign w:val="center"/>
          </w:tcPr>
          <w:p w14:paraId="06EBBF59">
            <w:pPr>
              <w:spacing w:line="360" w:lineRule="auto"/>
              <w:jc w:val="center"/>
              <w:rPr>
                <w:rFonts w:ascii="Segoe UI Symbol" w:hAnsi="Segoe UI Symbol" w:eastAsia="仿宋_GB2312" w:cs="Segoe UI Symbol"/>
                <w:sz w:val="24"/>
                <w:szCs w:val="24"/>
                <w:lang w:val="zh-CN"/>
              </w:rPr>
            </w:pPr>
            <w:r>
              <w:rPr>
                <w:rFonts w:hint="eastAsia" w:ascii="Segoe UI Symbol" w:hAnsi="Segoe UI Symbol" w:eastAsia="仿宋_GB2312" w:cs="Segoe UI Symbol"/>
                <w:sz w:val="24"/>
                <w:szCs w:val="24"/>
                <w:lang w:val="zh-CN"/>
              </w:rPr>
              <w:t>#</w:t>
            </w:r>
          </w:p>
        </w:tc>
        <w:tc>
          <w:tcPr>
            <w:tcW w:w="3818" w:type="dxa"/>
            <w:tcBorders>
              <w:top w:val="single" w:color="auto" w:sz="4" w:space="0"/>
              <w:left w:val="single" w:color="auto" w:sz="4" w:space="0"/>
              <w:bottom w:val="single" w:color="auto" w:sz="4" w:space="0"/>
              <w:right w:val="single" w:color="auto" w:sz="4" w:space="0"/>
            </w:tcBorders>
            <w:vAlign w:val="center"/>
          </w:tcPr>
          <w:p w14:paraId="1D185A87">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尺寸范围2μm-500μm，具有无级可调圆形和方形光斑，尺寸1μm连续可调</w:t>
            </w:r>
          </w:p>
        </w:tc>
        <w:tc>
          <w:tcPr>
            <w:tcW w:w="2257" w:type="dxa"/>
            <w:tcBorders>
              <w:top w:val="single" w:color="auto" w:sz="4" w:space="0"/>
              <w:left w:val="single" w:color="auto" w:sz="4" w:space="0"/>
              <w:bottom w:val="single" w:color="auto" w:sz="4" w:space="0"/>
              <w:right w:val="single" w:color="auto" w:sz="4" w:space="0"/>
            </w:tcBorders>
            <w:vAlign w:val="center"/>
          </w:tcPr>
          <w:p w14:paraId="4A55B26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tc>
      </w:tr>
      <w:tr w14:paraId="154C7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3A89A22B">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4</w:t>
            </w:r>
          </w:p>
        </w:tc>
        <w:tc>
          <w:tcPr>
            <w:tcW w:w="1554" w:type="dxa"/>
            <w:tcBorders>
              <w:top w:val="single" w:color="auto" w:sz="4" w:space="0"/>
              <w:left w:val="single" w:color="auto" w:sz="4" w:space="0"/>
              <w:bottom w:val="single" w:color="auto" w:sz="4" w:space="0"/>
              <w:right w:val="single" w:color="auto" w:sz="4" w:space="0"/>
            </w:tcBorders>
            <w:vAlign w:val="center"/>
          </w:tcPr>
          <w:p w14:paraId="4D1F26A9">
            <w:pPr>
              <w:spacing w:line="360" w:lineRule="auto"/>
              <w:jc w:val="left"/>
              <w:rPr>
                <w:rFonts w:hint="eastAsia" w:ascii="宋体" w:hAnsi="宋体" w:eastAsia="宋体" w:cs="宋体"/>
                <w:sz w:val="24"/>
                <w:szCs w:val="24"/>
              </w:rPr>
            </w:pPr>
            <w:r>
              <w:rPr>
                <w:rFonts w:hint="eastAsia" w:ascii="宋体" w:hAnsi="宋体" w:eastAsia="宋体" w:cs="宋体"/>
                <w:sz w:val="24"/>
                <w:szCs w:val="24"/>
              </w:rPr>
              <w:t>观察及照明系统</w:t>
            </w:r>
          </w:p>
        </w:tc>
        <w:tc>
          <w:tcPr>
            <w:tcW w:w="622" w:type="dxa"/>
            <w:tcBorders>
              <w:top w:val="single" w:color="auto" w:sz="4" w:space="0"/>
              <w:left w:val="single" w:color="auto" w:sz="4" w:space="0"/>
              <w:bottom w:val="single" w:color="auto" w:sz="4" w:space="0"/>
              <w:right w:val="single" w:color="auto" w:sz="4" w:space="0"/>
            </w:tcBorders>
            <w:vAlign w:val="center"/>
          </w:tcPr>
          <w:p w14:paraId="3F1AEF78">
            <w:pPr>
              <w:spacing w:line="360" w:lineRule="auto"/>
              <w:jc w:val="center"/>
              <w:rPr>
                <w:rFonts w:ascii="Segoe UI Symbol" w:hAnsi="Segoe UI Symbol" w:eastAsia="仿宋_GB2312" w:cs="Segoe UI Symbol"/>
                <w:sz w:val="24"/>
                <w:szCs w:val="24"/>
                <w:lang w:val="zh-CN"/>
              </w:rPr>
            </w:pPr>
          </w:p>
        </w:tc>
        <w:tc>
          <w:tcPr>
            <w:tcW w:w="3818" w:type="dxa"/>
            <w:tcBorders>
              <w:top w:val="single" w:color="auto" w:sz="4" w:space="0"/>
              <w:left w:val="single" w:color="auto" w:sz="4" w:space="0"/>
              <w:bottom w:val="single" w:color="auto" w:sz="4" w:space="0"/>
              <w:right w:val="single" w:color="auto" w:sz="4" w:space="0"/>
            </w:tcBorders>
            <w:vAlign w:val="center"/>
          </w:tcPr>
          <w:p w14:paraId="0761B2C7">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配备≥500 万像素</w:t>
            </w:r>
            <w:r>
              <w:rPr>
                <w:rFonts w:ascii="宋体" w:hAnsi="宋体" w:eastAsia="宋体" w:cs="宋体"/>
                <w:sz w:val="24"/>
                <w:szCs w:val="24"/>
                <w:lang w:eastAsia="zh-Hans"/>
              </w:rPr>
              <w:t>高清晰同轴显微观察系统，</w:t>
            </w:r>
            <w:r>
              <w:rPr>
                <w:rFonts w:hint="eastAsia" w:ascii="宋体" w:hAnsi="宋体" w:eastAsia="宋体" w:cs="宋体"/>
                <w:sz w:val="24"/>
                <w:szCs w:val="24"/>
                <w:lang w:eastAsia="zh-Hans"/>
              </w:rPr>
              <w:t>搭载≥10倍专用</w:t>
            </w:r>
            <w:r>
              <w:rPr>
                <w:rFonts w:ascii="宋体" w:hAnsi="宋体" w:eastAsia="宋体" w:cs="宋体"/>
                <w:sz w:val="24"/>
                <w:szCs w:val="24"/>
                <w:lang w:eastAsia="zh-Hans"/>
              </w:rPr>
              <w:t>激光物镜，可清晰观察各类矿物及单个流</w:t>
            </w:r>
            <w:r>
              <w:rPr>
                <w:rFonts w:hint="eastAsia" w:ascii="宋体" w:hAnsi="宋体" w:eastAsia="宋体" w:cs="宋体"/>
                <w:sz w:val="24"/>
                <w:szCs w:val="24"/>
                <w:lang w:eastAsia="zh-Hans"/>
              </w:rPr>
              <w:t>体包裹体，系统光学分辨率≤1µm； 具有同轴反射光和透射光照明，采用LED光源，两路照明亮度均可在 0~100% 区间独立无级调节。</w:t>
            </w:r>
          </w:p>
        </w:tc>
        <w:tc>
          <w:tcPr>
            <w:tcW w:w="2257" w:type="dxa"/>
            <w:tcBorders>
              <w:top w:val="single" w:color="auto" w:sz="4" w:space="0"/>
              <w:left w:val="single" w:color="auto" w:sz="4" w:space="0"/>
              <w:bottom w:val="single" w:color="auto" w:sz="4" w:space="0"/>
              <w:right w:val="single" w:color="auto" w:sz="4" w:space="0"/>
            </w:tcBorders>
            <w:vAlign w:val="center"/>
          </w:tcPr>
          <w:p w14:paraId="4A142A2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p w14:paraId="02A1D3F1">
            <w:pPr>
              <w:spacing w:line="360" w:lineRule="auto"/>
              <w:jc w:val="center"/>
              <w:rPr>
                <w:rFonts w:hint="eastAsia" w:ascii="宋体" w:hAnsi="宋体" w:eastAsia="宋体" w:cs="宋体"/>
                <w:sz w:val="24"/>
                <w:szCs w:val="24"/>
              </w:rPr>
            </w:pPr>
          </w:p>
        </w:tc>
      </w:tr>
      <w:tr w14:paraId="65CAF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31E7933E">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5</w:t>
            </w:r>
          </w:p>
        </w:tc>
        <w:tc>
          <w:tcPr>
            <w:tcW w:w="1554" w:type="dxa"/>
            <w:tcBorders>
              <w:top w:val="single" w:color="auto" w:sz="4" w:space="0"/>
              <w:left w:val="single" w:color="auto" w:sz="4" w:space="0"/>
              <w:bottom w:val="single" w:color="auto" w:sz="4" w:space="0"/>
              <w:right w:val="single" w:color="auto" w:sz="4" w:space="0"/>
            </w:tcBorders>
            <w:vAlign w:val="center"/>
          </w:tcPr>
          <w:p w14:paraId="1C088FDC">
            <w:pPr>
              <w:spacing w:line="360" w:lineRule="auto"/>
              <w:jc w:val="left"/>
              <w:rPr>
                <w:rFonts w:hint="eastAsia" w:ascii="宋体" w:hAnsi="宋体" w:eastAsia="宋体" w:cs="宋体"/>
                <w:sz w:val="24"/>
                <w:szCs w:val="24"/>
              </w:rPr>
            </w:pPr>
            <w:r>
              <w:rPr>
                <w:rFonts w:hint="eastAsia" w:ascii="宋体" w:hAnsi="宋体" w:eastAsia="宋体" w:cs="宋体"/>
                <w:sz w:val="24"/>
                <w:szCs w:val="24"/>
              </w:rPr>
              <w:t>机身集成触摸导航屏幕</w:t>
            </w:r>
          </w:p>
        </w:tc>
        <w:tc>
          <w:tcPr>
            <w:tcW w:w="622" w:type="dxa"/>
            <w:tcBorders>
              <w:top w:val="single" w:color="auto" w:sz="4" w:space="0"/>
              <w:left w:val="single" w:color="auto" w:sz="4" w:space="0"/>
              <w:bottom w:val="single" w:color="auto" w:sz="4" w:space="0"/>
              <w:right w:val="single" w:color="auto" w:sz="4" w:space="0"/>
            </w:tcBorders>
            <w:vAlign w:val="center"/>
          </w:tcPr>
          <w:p w14:paraId="0F83B8B3">
            <w:pPr>
              <w:spacing w:line="360" w:lineRule="auto"/>
              <w:jc w:val="center"/>
              <w:rPr>
                <w:rFonts w:ascii="Segoe UI Symbol" w:hAnsi="Segoe UI Symbol" w:eastAsia="仿宋_GB2312" w:cs="Segoe UI Symbol"/>
                <w:sz w:val="24"/>
                <w:szCs w:val="24"/>
                <w:lang w:val="zh-CN"/>
              </w:rPr>
            </w:pPr>
            <w:r>
              <w:rPr>
                <w:rFonts w:hint="eastAsia" w:ascii="Segoe UI Symbol" w:hAnsi="Segoe UI Symbol" w:eastAsia="仿宋_GB2312" w:cs="Segoe UI Symbol"/>
                <w:sz w:val="24"/>
                <w:szCs w:val="24"/>
                <w:lang w:val="zh-CN"/>
              </w:rPr>
              <w:t>#</w:t>
            </w:r>
          </w:p>
        </w:tc>
        <w:tc>
          <w:tcPr>
            <w:tcW w:w="3818" w:type="dxa"/>
            <w:tcBorders>
              <w:top w:val="single" w:color="auto" w:sz="4" w:space="0"/>
              <w:left w:val="single" w:color="auto" w:sz="4" w:space="0"/>
              <w:bottom w:val="single" w:color="auto" w:sz="4" w:space="0"/>
              <w:right w:val="single" w:color="auto" w:sz="4" w:space="0"/>
            </w:tcBorders>
            <w:vAlign w:val="center"/>
          </w:tcPr>
          <w:p w14:paraId="4B517355">
            <w:pPr>
              <w:spacing w:line="360" w:lineRule="auto"/>
              <w:jc w:val="left"/>
              <w:rPr>
                <w:rFonts w:hint="eastAsia" w:ascii="宋体" w:hAnsi="宋体" w:eastAsia="宋体" w:cs="宋体"/>
                <w:sz w:val="24"/>
                <w:szCs w:val="24"/>
                <w:lang w:eastAsia="zh-Hans"/>
              </w:rPr>
            </w:pPr>
            <w:r>
              <w:rPr>
                <w:rFonts w:ascii="宋体" w:hAnsi="宋体" w:eastAsia="宋体" w:cs="宋体"/>
                <w:sz w:val="24"/>
                <w:szCs w:val="24"/>
                <w:lang w:eastAsia="zh-Hans"/>
              </w:rPr>
              <w:t>机身集成触摸导航屏幕≥21.5英寸，最佳分辨率≥1920x1080；可实时显示观察界面，画面与剥蚀软件同步，方便观察和直接选取剥蚀位置。</w:t>
            </w:r>
          </w:p>
        </w:tc>
        <w:tc>
          <w:tcPr>
            <w:tcW w:w="2257" w:type="dxa"/>
            <w:tcBorders>
              <w:top w:val="single" w:color="auto" w:sz="4" w:space="0"/>
              <w:left w:val="single" w:color="auto" w:sz="4" w:space="0"/>
              <w:bottom w:val="single" w:color="auto" w:sz="4" w:space="0"/>
              <w:right w:val="single" w:color="auto" w:sz="4" w:space="0"/>
            </w:tcBorders>
            <w:vAlign w:val="center"/>
          </w:tcPr>
          <w:p w14:paraId="0EC2689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p w14:paraId="5332FAC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（提供机器实物图片）</w:t>
            </w:r>
          </w:p>
        </w:tc>
      </w:tr>
      <w:tr w14:paraId="4D37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36123D99">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6</w:t>
            </w:r>
          </w:p>
        </w:tc>
        <w:tc>
          <w:tcPr>
            <w:tcW w:w="1554" w:type="dxa"/>
            <w:tcBorders>
              <w:top w:val="single" w:color="auto" w:sz="4" w:space="0"/>
              <w:left w:val="single" w:color="auto" w:sz="4" w:space="0"/>
              <w:bottom w:val="single" w:color="auto" w:sz="4" w:space="0"/>
              <w:right w:val="single" w:color="auto" w:sz="4" w:space="0"/>
            </w:tcBorders>
            <w:vAlign w:val="center"/>
          </w:tcPr>
          <w:p w14:paraId="74D1D66B">
            <w:pPr>
              <w:spacing w:line="360" w:lineRule="auto"/>
              <w:jc w:val="left"/>
              <w:rPr>
                <w:rFonts w:hint="eastAsia" w:ascii="宋体" w:hAnsi="宋体" w:eastAsia="宋体" w:cs="宋体"/>
                <w:sz w:val="24"/>
                <w:szCs w:val="24"/>
              </w:rPr>
            </w:pPr>
            <w:r>
              <w:rPr>
                <w:rFonts w:hint="eastAsia" w:ascii="宋体" w:hAnsi="宋体" w:eastAsia="宋体" w:cs="宋体"/>
                <w:sz w:val="24"/>
                <w:szCs w:val="24"/>
              </w:rPr>
              <w:t>光路传导系统</w:t>
            </w:r>
          </w:p>
        </w:tc>
        <w:tc>
          <w:tcPr>
            <w:tcW w:w="622" w:type="dxa"/>
            <w:tcBorders>
              <w:top w:val="single" w:color="auto" w:sz="4" w:space="0"/>
              <w:left w:val="single" w:color="auto" w:sz="4" w:space="0"/>
              <w:bottom w:val="single" w:color="auto" w:sz="4" w:space="0"/>
              <w:right w:val="single" w:color="auto" w:sz="4" w:space="0"/>
            </w:tcBorders>
            <w:vAlign w:val="center"/>
          </w:tcPr>
          <w:p w14:paraId="311BBDC9">
            <w:pPr>
              <w:spacing w:line="360" w:lineRule="auto"/>
              <w:jc w:val="center"/>
              <w:rPr>
                <w:rFonts w:ascii="Segoe UI Symbol" w:hAnsi="Segoe UI Symbol" w:eastAsia="仿宋_GB2312" w:cs="Segoe UI Symbol"/>
                <w:sz w:val="24"/>
                <w:szCs w:val="24"/>
                <w:lang w:val="zh-CN"/>
              </w:rPr>
            </w:pPr>
            <w:r>
              <w:rPr>
                <w:rFonts w:hint="eastAsia" w:ascii="Segoe UI Symbol" w:hAnsi="Segoe UI Symbol" w:eastAsia="仿宋_GB2312" w:cs="Segoe UI Symbol"/>
                <w:sz w:val="24"/>
                <w:szCs w:val="24"/>
                <w:lang w:val="zh-CN"/>
              </w:rPr>
              <w:t>#</w:t>
            </w:r>
          </w:p>
        </w:tc>
        <w:tc>
          <w:tcPr>
            <w:tcW w:w="3818" w:type="dxa"/>
            <w:tcBorders>
              <w:top w:val="single" w:color="auto" w:sz="4" w:space="0"/>
              <w:left w:val="single" w:color="auto" w:sz="4" w:space="0"/>
              <w:bottom w:val="single" w:color="auto" w:sz="4" w:space="0"/>
              <w:right w:val="single" w:color="auto" w:sz="4" w:space="0"/>
            </w:tcBorders>
            <w:vAlign w:val="center"/>
          </w:tcPr>
          <w:p w14:paraId="104C85B0">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设备采用极简式光学传导光路设计，光路反射镜片数量≤2 片；整机集成一体式大理石光学平台。</w:t>
            </w:r>
            <w:r>
              <w:rPr>
                <w:rFonts w:ascii="宋体" w:hAnsi="宋体" w:eastAsia="宋体" w:cs="宋体"/>
                <w:sz w:val="24"/>
                <w:szCs w:val="24"/>
                <w:lang w:eastAsia="zh-Hans"/>
              </w:rPr>
              <w:t>减少低频震动；</w:t>
            </w:r>
          </w:p>
        </w:tc>
        <w:tc>
          <w:tcPr>
            <w:tcW w:w="2257" w:type="dxa"/>
            <w:tcBorders>
              <w:top w:val="single" w:color="auto" w:sz="4" w:space="0"/>
              <w:left w:val="single" w:color="auto" w:sz="4" w:space="0"/>
              <w:bottom w:val="single" w:color="auto" w:sz="4" w:space="0"/>
              <w:right w:val="single" w:color="auto" w:sz="4" w:space="0"/>
            </w:tcBorders>
            <w:vAlign w:val="center"/>
          </w:tcPr>
          <w:p w14:paraId="62B1773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tc>
      </w:tr>
      <w:tr w14:paraId="77D8A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665E78A8">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7</w:t>
            </w:r>
          </w:p>
        </w:tc>
        <w:tc>
          <w:tcPr>
            <w:tcW w:w="1554" w:type="dxa"/>
            <w:tcBorders>
              <w:top w:val="single" w:color="auto" w:sz="4" w:space="0"/>
              <w:left w:val="single" w:color="auto" w:sz="4" w:space="0"/>
              <w:bottom w:val="single" w:color="auto" w:sz="4" w:space="0"/>
              <w:right w:val="single" w:color="auto" w:sz="4" w:space="0"/>
            </w:tcBorders>
            <w:vAlign w:val="center"/>
          </w:tcPr>
          <w:p w14:paraId="5147A490">
            <w:pPr>
              <w:spacing w:line="360" w:lineRule="auto"/>
              <w:jc w:val="left"/>
              <w:rPr>
                <w:rFonts w:hint="eastAsia" w:ascii="宋体" w:hAnsi="宋体" w:eastAsia="宋体" w:cs="宋体"/>
                <w:sz w:val="24"/>
                <w:szCs w:val="24"/>
              </w:rPr>
            </w:pPr>
            <w:r>
              <w:rPr>
                <w:rFonts w:hint="eastAsia" w:ascii="宋体" w:hAnsi="宋体" w:eastAsia="宋体" w:cs="宋体"/>
                <w:sz w:val="24"/>
                <w:szCs w:val="24"/>
              </w:rPr>
              <w:t>气体控制系统</w:t>
            </w:r>
          </w:p>
        </w:tc>
        <w:tc>
          <w:tcPr>
            <w:tcW w:w="622" w:type="dxa"/>
            <w:tcBorders>
              <w:top w:val="single" w:color="auto" w:sz="4" w:space="0"/>
              <w:left w:val="single" w:color="auto" w:sz="4" w:space="0"/>
              <w:bottom w:val="single" w:color="auto" w:sz="4" w:space="0"/>
              <w:right w:val="single" w:color="auto" w:sz="4" w:space="0"/>
            </w:tcBorders>
            <w:vAlign w:val="center"/>
          </w:tcPr>
          <w:p w14:paraId="448118DB">
            <w:pPr>
              <w:spacing w:line="360" w:lineRule="auto"/>
              <w:jc w:val="center"/>
              <w:rPr>
                <w:rFonts w:ascii="Segoe UI Symbol" w:hAnsi="Segoe UI Symbol" w:eastAsia="仿宋_GB2312" w:cs="Segoe UI Symbol"/>
                <w:sz w:val="24"/>
                <w:szCs w:val="24"/>
                <w:lang w:val="zh-CN"/>
              </w:rPr>
            </w:pPr>
          </w:p>
        </w:tc>
        <w:tc>
          <w:tcPr>
            <w:tcW w:w="3818" w:type="dxa"/>
            <w:tcBorders>
              <w:top w:val="single" w:color="auto" w:sz="4" w:space="0"/>
              <w:left w:val="single" w:color="auto" w:sz="4" w:space="0"/>
              <w:bottom w:val="single" w:color="auto" w:sz="4" w:space="0"/>
              <w:right w:val="single" w:color="auto" w:sz="4" w:space="0"/>
            </w:tcBorders>
            <w:vAlign w:val="center"/>
          </w:tcPr>
          <w:p w14:paraId="27A35CA8">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全自动载气管理，配高精度氦气流量控制器2个，氮气流量控制器1个（增敏）。</w:t>
            </w:r>
          </w:p>
        </w:tc>
        <w:tc>
          <w:tcPr>
            <w:tcW w:w="2257" w:type="dxa"/>
            <w:tcBorders>
              <w:top w:val="single" w:color="auto" w:sz="4" w:space="0"/>
              <w:left w:val="single" w:color="auto" w:sz="4" w:space="0"/>
              <w:bottom w:val="single" w:color="auto" w:sz="4" w:space="0"/>
              <w:right w:val="single" w:color="auto" w:sz="4" w:space="0"/>
            </w:tcBorders>
            <w:vAlign w:val="center"/>
          </w:tcPr>
          <w:p w14:paraId="41265D5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tc>
      </w:tr>
      <w:tr w14:paraId="09531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4E43AA58">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8</w:t>
            </w:r>
          </w:p>
        </w:tc>
        <w:tc>
          <w:tcPr>
            <w:tcW w:w="1554" w:type="dxa"/>
            <w:tcBorders>
              <w:top w:val="single" w:color="auto" w:sz="4" w:space="0"/>
              <w:left w:val="single" w:color="auto" w:sz="4" w:space="0"/>
              <w:bottom w:val="single" w:color="auto" w:sz="4" w:space="0"/>
              <w:right w:val="single" w:color="auto" w:sz="4" w:space="0"/>
            </w:tcBorders>
            <w:vAlign w:val="center"/>
          </w:tcPr>
          <w:p w14:paraId="14EAC7EA">
            <w:pPr>
              <w:spacing w:line="360" w:lineRule="auto"/>
              <w:jc w:val="left"/>
              <w:rPr>
                <w:rFonts w:hint="eastAsia" w:ascii="宋体" w:hAnsi="宋体" w:eastAsia="宋体" w:cs="宋体"/>
                <w:sz w:val="24"/>
                <w:szCs w:val="24"/>
              </w:rPr>
            </w:pPr>
            <w:r>
              <w:rPr>
                <w:rFonts w:hint="eastAsia" w:ascii="宋体" w:hAnsi="宋体" w:eastAsia="宋体" w:cs="宋体"/>
                <w:sz w:val="24"/>
                <w:szCs w:val="24"/>
              </w:rPr>
              <w:t>样品仓</w:t>
            </w:r>
          </w:p>
        </w:tc>
        <w:tc>
          <w:tcPr>
            <w:tcW w:w="622" w:type="dxa"/>
            <w:tcBorders>
              <w:top w:val="single" w:color="auto" w:sz="4" w:space="0"/>
              <w:left w:val="single" w:color="auto" w:sz="4" w:space="0"/>
              <w:bottom w:val="single" w:color="auto" w:sz="4" w:space="0"/>
              <w:right w:val="single" w:color="auto" w:sz="4" w:space="0"/>
            </w:tcBorders>
            <w:vAlign w:val="center"/>
          </w:tcPr>
          <w:p w14:paraId="0E041C99">
            <w:pPr>
              <w:spacing w:line="360" w:lineRule="auto"/>
              <w:jc w:val="center"/>
              <w:rPr>
                <w:rFonts w:ascii="Segoe UI Symbol" w:hAnsi="Segoe UI Symbol" w:eastAsia="仿宋_GB2312" w:cs="Segoe UI Symbol"/>
                <w:sz w:val="24"/>
                <w:szCs w:val="24"/>
                <w:lang w:val="zh-CN"/>
              </w:rPr>
            </w:pPr>
            <w:r>
              <w:rPr>
                <w:rFonts w:hint="eastAsia" w:ascii="Segoe UI Symbol" w:hAnsi="Segoe UI Symbol" w:eastAsia="仿宋_GB2312" w:cs="Segoe UI Symbol"/>
                <w:sz w:val="24"/>
                <w:szCs w:val="24"/>
                <w:lang w:val="zh-CN"/>
              </w:rPr>
              <w:t>#</w:t>
            </w:r>
          </w:p>
        </w:tc>
        <w:tc>
          <w:tcPr>
            <w:tcW w:w="3818" w:type="dxa"/>
            <w:tcBorders>
              <w:top w:val="single" w:color="auto" w:sz="4" w:space="0"/>
              <w:left w:val="single" w:color="auto" w:sz="4" w:space="0"/>
              <w:bottom w:val="single" w:color="auto" w:sz="4" w:space="0"/>
              <w:right w:val="single" w:color="auto" w:sz="4" w:space="0"/>
            </w:tcBorders>
            <w:vAlign w:val="center"/>
          </w:tcPr>
          <w:p w14:paraId="4EC9E316">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采用双体积样品仓结构，可支持放置样品</w:t>
            </w:r>
            <w:r>
              <w:rPr>
                <w:rFonts w:ascii="宋体" w:hAnsi="宋体" w:eastAsia="宋体" w:cs="宋体"/>
                <w:sz w:val="24"/>
                <w:szCs w:val="24"/>
                <w:lang w:eastAsia="zh-Hans"/>
              </w:rPr>
              <w:t>尺寸≥1</w:t>
            </w:r>
            <w:r>
              <w:rPr>
                <w:rFonts w:hint="eastAsia" w:ascii="宋体" w:hAnsi="宋体" w:eastAsia="宋体" w:cs="宋体"/>
                <w:sz w:val="24"/>
                <w:szCs w:val="24"/>
                <w:lang w:eastAsia="zh-Hans"/>
              </w:rPr>
              <w:t>0</w:t>
            </w:r>
            <w:r>
              <w:rPr>
                <w:rFonts w:ascii="宋体" w:hAnsi="宋体" w:eastAsia="宋体" w:cs="宋体"/>
                <w:sz w:val="24"/>
                <w:szCs w:val="24"/>
                <w:lang w:eastAsia="zh-Hans"/>
              </w:rPr>
              <w:t>0×1</w:t>
            </w:r>
            <w:r>
              <w:rPr>
                <w:rFonts w:hint="eastAsia" w:ascii="宋体" w:hAnsi="宋体" w:eastAsia="宋体" w:cs="宋体"/>
                <w:sz w:val="24"/>
                <w:szCs w:val="24"/>
                <w:lang w:eastAsia="zh-Hans"/>
              </w:rPr>
              <w:t>0</w:t>
            </w:r>
            <w:r>
              <w:rPr>
                <w:rFonts w:ascii="宋体" w:hAnsi="宋体" w:eastAsia="宋体" w:cs="宋体"/>
                <w:sz w:val="24"/>
                <w:szCs w:val="24"/>
                <w:lang w:eastAsia="zh-Hans"/>
              </w:rPr>
              <w:t>0 mm</w:t>
            </w:r>
            <w:r>
              <w:rPr>
                <w:rFonts w:hint="eastAsia" w:ascii="宋体" w:hAnsi="宋体" w:eastAsia="宋体" w:cs="宋体"/>
                <w:sz w:val="24"/>
                <w:szCs w:val="24"/>
                <w:lang w:eastAsia="zh-Hans"/>
              </w:rPr>
              <w:t>（可升级</w:t>
            </w:r>
            <w:r>
              <w:rPr>
                <w:rFonts w:ascii="宋体" w:hAnsi="宋体" w:eastAsia="宋体" w:cs="宋体"/>
                <w:sz w:val="24"/>
                <w:szCs w:val="24"/>
                <w:lang w:eastAsia="zh-Hans"/>
              </w:rPr>
              <w:t>≥1</w:t>
            </w:r>
            <w:r>
              <w:rPr>
                <w:rFonts w:hint="eastAsia" w:ascii="宋体" w:hAnsi="宋体" w:eastAsia="宋体" w:cs="宋体"/>
                <w:sz w:val="24"/>
                <w:szCs w:val="24"/>
                <w:lang w:eastAsia="zh-Hans"/>
              </w:rPr>
              <w:t>6</w:t>
            </w:r>
            <w:r>
              <w:rPr>
                <w:rFonts w:ascii="宋体" w:hAnsi="宋体" w:eastAsia="宋体" w:cs="宋体"/>
                <w:sz w:val="24"/>
                <w:szCs w:val="24"/>
                <w:lang w:eastAsia="zh-Hans"/>
              </w:rPr>
              <w:t>0×1</w:t>
            </w:r>
            <w:r>
              <w:rPr>
                <w:rFonts w:hint="eastAsia" w:ascii="宋体" w:hAnsi="宋体" w:eastAsia="宋体" w:cs="宋体"/>
                <w:sz w:val="24"/>
                <w:szCs w:val="24"/>
                <w:lang w:eastAsia="zh-Hans"/>
              </w:rPr>
              <w:t>6</w:t>
            </w:r>
            <w:r>
              <w:rPr>
                <w:rFonts w:ascii="宋体" w:hAnsi="宋体" w:eastAsia="宋体" w:cs="宋体"/>
                <w:sz w:val="24"/>
                <w:szCs w:val="24"/>
                <w:lang w:eastAsia="zh-Hans"/>
              </w:rPr>
              <w:t>0 mm</w:t>
            </w:r>
            <w:r>
              <w:rPr>
                <w:rFonts w:hint="eastAsia" w:ascii="宋体" w:hAnsi="宋体" w:eastAsia="宋体" w:cs="宋体"/>
                <w:sz w:val="24"/>
                <w:szCs w:val="24"/>
                <w:lang w:eastAsia="zh-Hans"/>
              </w:rPr>
              <w:t>），小杯采用绝对限位固定结构</w:t>
            </w:r>
            <w:r>
              <w:rPr>
                <w:rFonts w:ascii="宋体" w:hAnsi="宋体" w:eastAsia="宋体" w:cs="宋体"/>
                <w:sz w:val="24"/>
                <w:szCs w:val="24"/>
                <w:lang w:eastAsia="zh-Hans"/>
              </w:rPr>
              <w:t>；配两种小</w:t>
            </w:r>
            <w:r>
              <w:rPr>
                <w:rFonts w:hint="eastAsia" w:ascii="宋体" w:hAnsi="宋体" w:eastAsia="宋体" w:cs="宋体"/>
                <w:sz w:val="24"/>
                <w:szCs w:val="24"/>
                <w:lang w:eastAsia="zh-Hans"/>
              </w:rPr>
              <w:t>容积</w:t>
            </w:r>
            <w:r>
              <w:rPr>
                <w:rFonts w:ascii="宋体" w:hAnsi="宋体" w:eastAsia="宋体" w:cs="宋体"/>
                <w:sz w:val="24"/>
                <w:szCs w:val="24"/>
                <w:lang w:eastAsia="zh-Hans"/>
              </w:rPr>
              <w:t>体积杯</w:t>
            </w:r>
            <w:r>
              <w:rPr>
                <w:rFonts w:hint="eastAsia" w:ascii="宋体" w:hAnsi="宋体" w:eastAsia="宋体" w:cs="宋体"/>
                <w:sz w:val="24"/>
                <w:szCs w:val="24"/>
                <w:lang w:eastAsia="zh-Hans"/>
              </w:rPr>
              <w:t>，分别适配分析模式和快速成像模式，支持模式切换。</w:t>
            </w:r>
          </w:p>
        </w:tc>
        <w:tc>
          <w:tcPr>
            <w:tcW w:w="2257" w:type="dxa"/>
            <w:tcBorders>
              <w:top w:val="single" w:color="auto" w:sz="4" w:space="0"/>
              <w:left w:val="single" w:color="auto" w:sz="4" w:space="0"/>
              <w:bottom w:val="single" w:color="auto" w:sz="4" w:space="0"/>
              <w:right w:val="single" w:color="auto" w:sz="4" w:space="0"/>
            </w:tcBorders>
            <w:vAlign w:val="center"/>
          </w:tcPr>
          <w:p w14:paraId="3219A41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p w14:paraId="1CB93C82">
            <w:pPr>
              <w:spacing w:line="360" w:lineRule="auto"/>
              <w:jc w:val="center"/>
              <w:rPr>
                <w:rFonts w:hint="eastAsia" w:ascii="宋体" w:hAnsi="宋体" w:eastAsia="宋体" w:cs="宋体"/>
                <w:sz w:val="24"/>
                <w:szCs w:val="24"/>
              </w:rPr>
            </w:pPr>
          </w:p>
        </w:tc>
      </w:tr>
      <w:tr w14:paraId="39EDD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52AD176E">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9</w:t>
            </w:r>
          </w:p>
        </w:tc>
        <w:tc>
          <w:tcPr>
            <w:tcW w:w="1554" w:type="dxa"/>
            <w:tcBorders>
              <w:top w:val="single" w:color="auto" w:sz="4" w:space="0"/>
              <w:left w:val="single" w:color="auto" w:sz="4" w:space="0"/>
              <w:bottom w:val="single" w:color="auto" w:sz="4" w:space="0"/>
              <w:right w:val="single" w:color="auto" w:sz="4" w:space="0"/>
            </w:tcBorders>
            <w:vAlign w:val="center"/>
          </w:tcPr>
          <w:p w14:paraId="5568A662">
            <w:pPr>
              <w:spacing w:line="360" w:lineRule="auto"/>
              <w:jc w:val="left"/>
              <w:rPr>
                <w:rFonts w:hint="eastAsia" w:ascii="宋体" w:hAnsi="宋体" w:eastAsia="宋体" w:cs="宋体"/>
                <w:sz w:val="24"/>
                <w:szCs w:val="24"/>
              </w:rPr>
            </w:pPr>
            <w:r>
              <w:rPr>
                <w:rFonts w:hint="eastAsia" w:ascii="宋体" w:hAnsi="宋体" w:eastAsia="宋体" w:cs="宋体"/>
                <w:sz w:val="24"/>
                <w:szCs w:val="24"/>
              </w:rPr>
              <w:t>移动台</w:t>
            </w:r>
          </w:p>
        </w:tc>
        <w:tc>
          <w:tcPr>
            <w:tcW w:w="622" w:type="dxa"/>
            <w:tcBorders>
              <w:top w:val="single" w:color="auto" w:sz="4" w:space="0"/>
              <w:left w:val="single" w:color="auto" w:sz="4" w:space="0"/>
              <w:bottom w:val="single" w:color="auto" w:sz="4" w:space="0"/>
              <w:right w:val="single" w:color="auto" w:sz="4" w:space="0"/>
            </w:tcBorders>
            <w:vAlign w:val="center"/>
          </w:tcPr>
          <w:p w14:paraId="2AC3EC1F">
            <w:pPr>
              <w:spacing w:line="360" w:lineRule="auto"/>
              <w:jc w:val="center"/>
              <w:rPr>
                <w:rFonts w:ascii="Segoe UI Symbol" w:hAnsi="Segoe UI Symbol" w:eastAsia="仿宋_GB2312" w:cs="Segoe UI Symbol"/>
                <w:sz w:val="24"/>
                <w:szCs w:val="24"/>
                <w:lang w:val="zh-CN"/>
              </w:rPr>
            </w:pPr>
            <w:r>
              <w:rPr>
                <w:rFonts w:hint="eastAsia" w:ascii="Segoe UI Symbol" w:hAnsi="Segoe UI Symbol" w:eastAsia="仿宋_GB2312" w:cs="Segoe UI Symbol"/>
                <w:sz w:val="24"/>
                <w:szCs w:val="24"/>
                <w:lang w:val="zh-CN"/>
              </w:rPr>
              <w:t>#</w:t>
            </w:r>
          </w:p>
        </w:tc>
        <w:tc>
          <w:tcPr>
            <w:tcW w:w="3818" w:type="dxa"/>
            <w:tcBorders>
              <w:top w:val="single" w:color="auto" w:sz="4" w:space="0"/>
              <w:left w:val="single" w:color="auto" w:sz="4" w:space="0"/>
              <w:bottom w:val="single" w:color="auto" w:sz="4" w:space="0"/>
              <w:right w:val="single" w:color="auto" w:sz="4" w:space="0"/>
            </w:tcBorders>
            <w:vAlign w:val="center"/>
          </w:tcPr>
          <w:p w14:paraId="39463808">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闭环反馈式高精度X-Y-Z三轴移动台，X-Y-Z分辨率≤10 nm，移动台最快移动速度≥500 mm/s，样品台移动及定位由软件控制。</w:t>
            </w:r>
          </w:p>
        </w:tc>
        <w:tc>
          <w:tcPr>
            <w:tcW w:w="2257" w:type="dxa"/>
            <w:tcBorders>
              <w:top w:val="single" w:color="auto" w:sz="4" w:space="0"/>
              <w:left w:val="single" w:color="auto" w:sz="4" w:space="0"/>
              <w:bottom w:val="single" w:color="auto" w:sz="4" w:space="0"/>
              <w:right w:val="single" w:color="auto" w:sz="4" w:space="0"/>
            </w:tcBorders>
            <w:vAlign w:val="center"/>
          </w:tcPr>
          <w:p w14:paraId="55E04B6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p w14:paraId="18BA30C6">
            <w:pPr>
              <w:spacing w:line="360" w:lineRule="auto"/>
              <w:jc w:val="center"/>
              <w:rPr>
                <w:rFonts w:hint="eastAsia" w:ascii="宋体" w:hAnsi="宋体" w:eastAsia="宋体" w:cs="宋体"/>
                <w:sz w:val="24"/>
                <w:szCs w:val="24"/>
              </w:rPr>
            </w:pPr>
          </w:p>
        </w:tc>
      </w:tr>
      <w:tr w14:paraId="4537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74EF86CB">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10</w:t>
            </w:r>
          </w:p>
        </w:tc>
        <w:tc>
          <w:tcPr>
            <w:tcW w:w="1554" w:type="dxa"/>
            <w:tcBorders>
              <w:top w:val="single" w:color="auto" w:sz="4" w:space="0"/>
              <w:left w:val="single" w:color="auto" w:sz="4" w:space="0"/>
              <w:bottom w:val="single" w:color="auto" w:sz="4" w:space="0"/>
              <w:right w:val="single" w:color="auto" w:sz="4" w:space="0"/>
            </w:tcBorders>
            <w:vAlign w:val="center"/>
          </w:tcPr>
          <w:p w14:paraId="24130CEA">
            <w:pPr>
              <w:spacing w:line="360" w:lineRule="auto"/>
              <w:jc w:val="left"/>
              <w:rPr>
                <w:rFonts w:hint="eastAsia" w:ascii="宋体" w:hAnsi="宋体" w:eastAsia="宋体" w:cs="宋体"/>
                <w:sz w:val="24"/>
                <w:szCs w:val="24"/>
              </w:rPr>
            </w:pPr>
            <w:r>
              <w:rPr>
                <w:rFonts w:hint="eastAsia" w:ascii="宋体" w:hAnsi="宋体" w:eastAsia="宋体" w:cs="宋体"/>
                <w:sz w:val="24"/>
                <w:szCs w:val="24"/>
              </w:rPr>
              <w:t>吹扫时间</w:t>
            </w:r>
          </w:p>
        </w:tc>
        <w:tc>
          <w:tcPr>
            <w:tcW w:w="622" w:type="dxa"/>
            <w:tcBorders>
              <w:top w:val="single" w:color="auto" w:sz="4" w:space="0"/>
              <w:left w:val="single" w:color="auto" w:sz="4" w:space="0"/>
              <w:bottom w:val="single" w:color="auto" w:sz="4" w:space="0"/>
              <w:right w:val="single" w:color="auto" w:sz="4" w:space="0"/>
            </w:tcBorders>
            <w:vAlign w:val="center"/>
          </w:tcPr>
          <w:p w14:paraId="09E32788">
            <w:pPr>
              <w:spacing w:line="360" w:lineRule="auto"/>
              <w:jc w:val="center"/>
              <w:rPr>
                <w:rFonts w:ascii="Segoe UI Symbol" w:hAnsi="Segoe UI Symbol" w:eastAsia="仿宋_GB2312" w:cs="Segoe UI Symbol"/>
                <w:sz w:val="24"/>
                <w:szCs w:val="24"/>
                <w:lang w:val="zh-CN"/>
              </w:rPr>
            </w:pPr>
          </w:p>
        </w:tc>
        <w:tc>
          <w:tcPr>
            <w:tcW w:w="3818" w:type="dxa"/>
            <w:tcBorders>
              <w:top w:val="single" w:color="auto" w:sz="4" w:space="0"/>
              <w:left w:val="single" w:color="auto" w:sz="4" w:space="0"/>
              <w:bottom w:val="single" w:color="auto" w:sz="4" w:space="0"/>
              <w:right w:val="single" w:color="auto" w:sz="4" w:space="0"/>
            </w:tcBorders>
            <w:vAlign w:val="center"/>
          </w:tcPr>
          <w:p w14:paraId="6A703A8F">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样品仓采用高效吹扫方式，换样吹扫稳定时间≤5min。</w:t>
            </w:r>
          </w:p>
        </w:tc>
        <w:tc>
          <w:tcPr>
            <w:tcW w:w="2257" w:type="dxa"/>
            <w:tcBorders>
              <w:top w:val="single" w:color="auto" w:sz="4" w:space="0"/>
              <w:left w:val="single" w:color="auto" w:sz="4" w:space="0"/>
              <w:bottom w:val="single" w:color="auto" w:sz="4" w:space="0"/>
              <w:right w:val="single" w:color="auto" w:sz="4" w:space="0"/>
            </w:tcBorders>
            <w:vAlign w:val="center"/>
          </w:tcPr>
          <w:p w14:paraId="6E837BF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tc>
      </w:tr>
      <w:tr w14:paraId="4A1CC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7162CCC4">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11</w:t>
            </w:r>
          </w:p>
        </w:tc>
        <w:tc>
          <w:tcPr>
            <w:tcW w:w="1554" w:type="dxa"/>
            <w:tcBorders>
              <w:top w:val="single" w:color="auto" w:sz="4" w:space="0"/>
              <w:left w:val="single" w:color="auto" w:sz="4" w:space="0"/>
              <w:bottom w:val="single" w:color="auto" w:sz="4" w:space="0"/>
              <w:right w:val="single" w:color="auto" w:sz="4" w:space="0"/>
            </w:tcBorders>
            <w:vAlign w:val="center"/>
          </w:tcPr>
          <w:p w14:paraId="765668BF">
            <w:pPr>
              <w:spacing w:line="360" w:lineRule="auto"/>
              <w:jc w:val="left"/>
              <w:rPr>
                <w:rFonts w:hint="eastAsia" w:ascii="宋体" w:hAnsi="宋体" w:eastAsia="宋体" w:cs="宋体"/>
                <w:sz w:val="24"/>
                <w:szCs w:val="24"/>
              </w:rPr>
            </w:pPr>
            <w:r>
              <w:rPr>
                <w:rFonts w:hint="eastAsia" w:ascii="宋体" w:hAnsi="宋体" w:eastAsia="宋体" w:cs="宋体"/>
                <w:sz w:val="24"/>
                <w:szCs w:val="24"/>
              </w:rPr>
              <w:t>样品支架</w:t>
            </w:r>
          </w:p>
        </w:tc>
        <w:tc>
          <w:tcPr>
            <w:tcW w:w="622" w:type="dxa"/>
            <w:tcBorders>
              <w:top w:val="single" w:color="auto" w:sz="4" w:space="0"/>
              <w:left w:val="single" w:color="auto" w:sz="4" w:space="0"/>
              <w:bottom w:val="single" w:color="auto" w:sz="4" w:space="0"/>
              <w:right w:val="single" w:color="auto" w:sz="4" w:space="0"/>
            </w:tcBorders>
            <w:vAlign w:val="center"/>
          </w:tcPr>
          <w:p w14:paraId="6BFD56CE">
            <w:pPr>
              <w:spacing w:line="360" w:lineRule="auto"/>
              <w:jc w:val="center"/>
              <w:rPr>
                <w:rFonts w:ascii="Segoe UI Symbol" w:hAnsi="Segoe UI Symbol" w:eastAsia="仿宋_GB2312" w:cs="Segoe UI Symbol"/>
                <w:sz w:val="24"/>
                <w:szCs w:val="24"/>
                <w:lang w:val="zh-CN"/>
              </w:rPr>
            </w:pPr>
          </w:p>
        </w:tc>
        <w:tc>
          <w:tcPr>
            <w:tcW w:w="3818" w:type="dxa"/>
            <w:tcBorders>
              <w:top w:val="single" w:color="auto" w:sz="4" w:space="0"/>
              <w:left w:val="single" w:color="auto" w:sz="4" w:space="0"/>
              <w:bottom w:val="single" w:color="auto" w:sz="4" w:space="0"/>
              <w:right w:val="single" w:color="auto" w:sz="4" w:space="0"/>
            </w:tcBorders>
            <w:vAlign w:val="center"/>
          </w:tcPr>
          <w:p w14:paraId="70F7FA92">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样品仓</w:t>
            </w:r>
            <w:r>
              <w:rPr>
                <w:rFonts w:ascii="宋体" w:hAnsi="宋体" w:eastAsia="宋体" w:cs="宋体"/>
                <w:sz w:val="24"/>
                <w:szCs w:val="24"/>
                <w:lang w:eastAsia="zh-Hans"/>
              </w:rPr>
              <w:t>配备</w:t>
            </w:r>
            <w:r>
              <w:rPr>
                <w:rFonts w:hint="eastAsia" w:ascii="宋体" w:hAnsi="宋体" w:eastAsia="宋体" w:cs="宋体"/>
                <w:sz w:val="24"/>
                <w:szCs w:val="24"/>
                <w:lang w:eastAsia="zh-Hans"/>
              </w:rPr>
              <w:t>≥</w:t>
            </w:r>
            <w:r>
              <w:rPr>
                <w:rFonts w:ascii="宋体" w:hAnsi="宋体" w:eastAsia="宋体" w:cs="宋体"/>
                <w:sz w:val="24"/>
                <w:szCs w:val="24"/>
                <w:lang w:eastAsia="zh-Hans"/>
              </w:rPr>
              <w:t>3</w:t>
            </w:r>
            <w:r>
              <w:rPr>
                <w:rFonts w:hint="eastAsia" w:ascii="宋体" w:hAnsi="宋体" w:eastAsia="宋体" w:cs="宋体"/>
                <w:sz w:val="24"/>
                <w:szCs w:val="24"/>
                <w:lang w:eastAsia="zh-Hans"/>
              </w:rPr>
              <w:t>个</w:t>
            </w:r>
            <w:r>
              <w:rPr>
                <w:rFonts w:ascii="宋体" w:hAnsi="宋体" w:eastAsia="宋体" w:cs="宋体"/>
                <w:sz w:val="24"/>
                <w:szCs w:val="24"/>
                <w:lang w:eastAsia="zh-Hans"/>
              </w:rPr>
              <w:t>专用样品支架，分别适配标准靶、薄片及靶组合、任意尺寸三类，</w:t>
            </w:r>
            <w:r>
              <w:rPr>
                <w:rFonts w:hint="eastAsia" w:ascii="宋体" w:hAnsi="宋体" w:eastAsia="宋体" w:cs="宋体"/>
                <w:sz w:val="24"/>
                <w:szCs w:val="24"/>
                <w:lang w:eastAsia="zh-Hans"/>
              </w:rPr>
              <w:t>其他规格支架可按需定制）。</w:t>
            </w:r>
          </w:p>
        </w:tc>
        <w:tc>
          <w:tcPr>
            <w:tcW w:w="2257" w:type="dxa"/>
            <w:tcBorders>
              <w:top w:val="single" w:color="auto" w:sz="4" w:space="0"/>
              <w:left w:val="single" w:color="auto" w:sz="4" w:space="0"/>
              <w:bottom w:val="single" w:color="auto" w:sz="4" w:space="0"/>
              <w:right w:val="single" w:color="auto" w:sz="4" w:space="0"/>
            </w:tcBorders>
            <w:vAlign w:val="center"/>
          </w:tcPr>
          <w:p w14:paraId="745495D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p w14:paraId="6C0655F7">
            <w:pPr>
              <w:spacing w:line="360" w:lineRule="auto"/>
              <w:jc w:val="center"/>
              <w:rPr>
                <w:rFonts w:hint="eastAsia" w:ascii="宋体" w:hAnsi="宋体" w:eastAsia="宋体" w:cs="宋体"/>
                <w:sz w:val="24"/>
                <w:szCs w:val="24"/>
              </w:rPr>
            </w:pPr>
          </w:p>
        </w:tc>
      </w:tr>
      <w:tr w14:paraId="2C00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4D65A62A">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12</w:t>
            </w:r>
          </w:p>
        </w:tc>
        <w:tc>
          <w:tcPr>
            <w:tcW w:w="1554" w:type="dxa"/>
            <w:tcBorders>
              <w:top w:val="single" w:color="auto" w:sz="4" w:space="0"/>
              <w:left w:val="single" w:color="auto" w:sz="4" w:space="0"/>
              <w:bottom w:val="single" w:color="auto" w:sz="4" w:space="0"/>
              <w:right w:val="single" w:color="auto" w:sz="4" w:space="0"/>
            </w:tcBorders>
            <w:vAlign w:val="center"/>
          </w:tcPr>
          <w:p w14:paraId="4FA467A2">
            <w:pPr>
              <w:spacing w:line="360" w:lineRule="auto"/>
              <w:jc w:val="left"/>
              <w:rPr>
                <w:rFonts w:hint="eastAsia" w:ascii="宋体" w:hAnsi="宋体" w:eastAsia="宋体" w:cs="宋体"/>
                <w:sz w:val="24"/>
                <w:szCs w:val="24"/>
              </w:rPr>
            </w:pPr>
            <w:r>
              <w:rPr>
                <w:rFonts w:hint="eastAsia" w:ascii="宋体" w:hAnsi="宋体" w:eastAsia="宋体" w:cs="宋体"/>
                <w:sz w:val="24"/>
                <w:szCs w:val="24"/>
              </w:rPr>
              <w:t>超快样品引入系统</w:t>
            </w:r>
          </w:p>
        </w:tc>
        <w:tc>
          <w:tcPr>
            <w:tcW w:w="622" w:type="dxa"/>
            <w:tcBorders>
              <w:top w:val="single" w:color="auto" w:sz="4" w:space="0"/>
              <w:left w:val="single" w:color="auto" w:sz="4" w:space="0"/>
              <w:bottom w:val="single" w:color="auto" w:sz="4" w:space="0"/>
              <w:right w:val="single" w:color="auto" w:sz="4" w:space="0"/>
            </w:tcBorders>
            <w:vAlign w:val="center"/>
          </w:tcPr>
          <w:p w14:paraId="71288B8A">
            <w:pPr>
              <w:spacing w:line="360" w:lineRule="auto"/>
              <w:jc w:val="center"/>
              <w:rPr>
                <w:rFonts w:ascii="Segoe UI Symbol" w:hAnsi="Segoe UI Symbol" w:eastAsia="仿宋_GB2312" w:cs="Segoe UI Symbol"/>
                <w:sz w:val="24"/>
                <w:szCs w:val="24"/>
                <w:lang w:val="zh-CN"/>
              </w:rPr>
            </w:pPr>
            <w:r>
              <w:rPr>
                <w:rFonts w:hint="eastAsia" w:ascii="Segoe UI Symbol" w:hAnsi="Segoe UI Symbol" w:eastAsia="仿宋_GB2312" w:cs="Segoe UI Symbol"/>
                <w:sz w:val="24"/>
                <w:szCs w:val="24"/>
                <w:lang w:val="zh-CN"/>
              </w:rPr>
              <w:t>#</w:t>
            </w:r>
          </w:p>
        </w:tc>
        <w:tc>
          <w:tcPr>
            <w:tcW w:w="3818" w:type="dxa"/>
            <w:tcBorders>
              <w:top w:val="single" w:color="auto" w:sz="4" w:space="0"/>
              <w:left w:val="single" w:color="auto" w:sz="4" w:space="0"/>
              <w:bottom w:val="single" w:color="auto" w:sz="4" w:space="0"/>
              <w:right w:val="single" w:color="auto" w:sz="4" w:space="0"/>
            </w:tcBorders>
            <w:vAlign w:val="center"/>
          </w:tcPr>
          <w:p w14:paraId="3B7E173B">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样品仓配有双同心超快速样品引入系统，与ICPMS联机成像模式下最快吹扫时间≤20ms，与飞行时间质谱联机成像模式下最快吹扫时间≤5ms。</w:t>
            </w:r>
          </w:p>
        </w:tc>
        <w:tc>
          <w:tcPr>
            <w:tcW w:w="2257" w:type="dxa"/>
            <w:tcBorders>
              <w:top w:val="single" w:color="auto" w:sz="4" w:space="0"/>
              <w:left w:val="single" w:color="auto" w:sz="4" w:space="0"/>
              <w:bottom w:val="single" w:color="auto" w:sz="4" w:space="0"/>
              <w:right w:val="single" w:color="auto" w:sz="4" w:space="0"/>
            </w:tcBorders>
            <w:vAlign w:val="center"/>
          </w:tcPr>
          <w:p w14:paraId="6F4E141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p w14:paraId="21649DA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（提供投标飞秒激光与ICP-MS和ICP-TOF-MS的实物联机照片及吹扫时间数据报告）。</w:t>
            </w:r>
          </w:p>
        </w:tc>
      </w:tr>
      <w:tr w14:paraId="46B1C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39027DCC">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13</w:t>
            </w:r>
          </w:p>
        </w:tc>
        <w:tc>
          <w:tcPr>
            <w:tcW w:w="1554" w:type="dxa"/>
            <w:tcBorders>
              <w:top w:val="single" w:color="auto" w:sz="4" w:space="0"/>
              <w:left w:val="single" w:color="auto" w:sz="4" w:space="0"/>
              <w:bottom w:val="single" w:color="auto" w:sz="4" w:space="0"/>
              <w:right w:val="single" w:color="auto" w:sz="4" w:space="0"/>
            </w:tcBorders>
            <w:vAlign w:val="center"/>
          </w:tcPr>
          <w:p w14:paraId="2FA0D001">
            <w:pPr>
              <w:spacing w:line="360" w:lineRule="auto"/>
              <w:jc w:val="left"/>
              <w:rPr>
                <w:rFonts w:hint="eastAsia" w:ascii="宋体" w:hAnsi="宋体" w:eastAsia="宋体" w:cs="宋体"/>
                <w:sz w:val="24"/>
                <w:szCs w:val="24"/>
              </w:rPr>
            </w:pPr>
            <w:r>
              <w:rPr>
                <w:rFonts w:hint="eastAsia" w:ascii="宋体" w:hAnsi="宋体" w:eastAsia="宋体" w:cs="宋体"/>
                <w:sz w:val="24"/>
                <w:szCs w:val="24"/>
              </w:rPr>
              <w:t>高性能工作站</w:t>
            </w:r>
          </w:p>
        </w:tc>
        <w:tc>
          <w:tcPr>
            <w:tcW w:w="622" w:type="dxa"/>
            <w:tcBorders>
              <w:top w:val="single" w:color="auto" w:sz="4" w:space="0"/>
              <w:left w:val="single" w:color="auto" w:sz="4" w:space="0"/>
              <w:bottom w:val="single" w:color="auto" w:sz="4" w:space="0"/>
              <w:right w:val="single" w:color="auto" w:sz="4" w:space="0"/>
            </w:tcBorders>
            <w:vAlign w:val="center"/>
          </w:tcPr>
          <w:p w14:paraId="4758887C">
            <w:pPr>
              <w:spacing w:line="360" w:lineRule="auto"/>
              <w:jc w:val="center"/>
              <w:rPr>
                <w:rFonts w:ascii="Segoe UI Symbol" w:hAnsi="Segoe UI Symbol" w:eastAsia="仿宋_GB2312" w:cs="Segoe UI Symbol"/>
                <w:sz w:val="24"/>
                <w:szCs w:val="24"/>
                <w:lang w:val="zh-CN"/>
              </w:rPr>
            </w:pPr>
          </w:p>
        </w:tc>
        <w:tc>
          <w:tcPr>
            <w:tcW w:w="3818" w:type="dxa"/>
            <w:tcBorders>
              <w:top w:val="single" w:color="auto" w:sz="4" w:space="0"/>
              <w:left w:val="single" w:color="auto" w:sz="4" w:space="0"/>
              <w:bottom w:val="single" w:color="auto" w:sz="4" w:space="0"/>
              <w:right w:val="single" w:color="auto" w:sz="4" w:space="0"/>
            </w:tcBorders>
            <w:vAlign w:val="center"/>
          </w:tcPr>
          <w:p w14:paraId="2A78D9E2">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整</w:t>
            </w:r>
            <w:r>
              <w:rPr>
                <w:rFonts w:ascii="宋体" w:hAnsi="宋体" w:eastAsia="宋体" w:cs="宋体"/>
                <w:sz w:val="24"/>
                <w:szCs w:val="24"/>
                <w:lang w:eastAsia="zh-Hans"/>
              </w:rPr>
              <w:t>机内置高性能工作站，配置要求CPU：</w:t>
            </w:r>
            <w:r>
              <w:rPr>
                <w:rFonts w:hint="eastAsia" w:ascii="宋体" w:hAnsi="宋体" w:eastAsia="宋体" w:cs="宋体"/>
                <w:sz w:val="24"/>
                <w:szCs w:val="24"/>
                <w:lang w:eastAsia="zh-Hans"/>
              </w:rPr>
              <w:t>≥16核</w:t>
            </w:r>
            <w:r>
              <w:rPr>
                <w:rFonts w:ascii="宋体" w:hAnsi="宋体" w:eastAsia="宋体" w:cs="宋体"/>
                <w:sz w:val="24"/>
                <w:szCs w:val="24"/>
                <w:lang w:eastAsia="zh-Hans"/>
              </w:rPr>
              <w:t>，</w:t>
            </w:r>
            <w:r>
              <w:rPr>
                <w:rFonts w:hint="eastAsia" w:ascii="宋体" w:hAnsi="宋体" w:eastAsia="宋体" w:cs="宋体"/>
                <w:sz w:val="24"/>
                <w:szCs w:val="24"/>
                <w:lang w:eastAsia="zh-Hans"/>
              </w:rPr>
              <w:t>主频≥3.4GHz；</w:t>
            </w:r>
          </w:p>
          <w:p w14:paraId="794B8EF6">
            <w:pPr>
              <w:spacing w:line="360" w:lineRule="auto"/>
              <w:jc w:val="left"/>
              <w:rPr>
                <w:rFonts w:hint="eastAsia" w:ascii="宋体" w:hAnsi="宋体" w:eastAsia="宋体" w:cs="宋体"/>
                <w:sz w:val="24"/>
                <w:szCs w:val="24"/>
                <w:lang w:eastAsia="zh-Hans"/>
              </w:rPr>
            </w:pPr>
            <w:r>
              <w:rPr>
                <w:rFonts w:ascii="宋体" w:hAnsi="宋体" w:eastAsia="宋体" w:cs="宋体"/>
                <w:sz w:val="24"/>
                <w:szCs w:val="24"/>
                <w:lang w:eastAsia="zh-Hans"/>
              </w:rPr>
              <w:t>内存：</w:t>
            </w:r>
            <w:r>
              <w:rPr>
                <w:rFonts w:hint="eastAsia" w:ascii="宋体" w:hAnsi="宋体" w:eastAsia="宋体" w:cs="宋体"/>
                <w:sz w:val="24"/>
                <w:szCs w:val="24"/>
                <w:lang w:eastAsia="zh-Hans"/>
              </w:rPr>
              <w:t>≥</w:t>
            </w:r>
            <w:r>
              <w:rPr>
                <w:rFonts w:ascii="宋体" w:hAnsi="宋体" w:eastAsia="宋体" w:cs="宋体"/>
                <w:sz w:val="24"/>
                <w:szCs w:val="24"/>
                <w:lang w:eastAsia="zh-Hans"/>
              </w:rPr>
              <w:t>32G；</w:t>
            </w:r>
          </w:p>
          <w:p w14:paraId="62B867BB">
            <w:pPr>
              <w:spacing w:line="360" w:lineRule="auto"/>
              <w:jc w:val="left"/>
              <w:rPr>
                <w:rFonts w:hint="eastAsia" w:ascii="宋体" w:hAnsi="宋体" w:eastAsia="宋体" w:cs="宋体"/>
                <w:sz w:val="24"/>
                <w:szCs w:val="24"/>
                <w:lang w:eastAsia="zh-Hans"/>
              </w:rPr>
            </w:pPr>
            <w:r>
              <w:rPr>
                <w:rFonts w:ascii="宋体" w:hAnsi="宋体" w:eastAsia="宋体" w:cs="宋体"/>
                <w:sz w:val="24"/>
                <w:szCs w:val="24"/>
                <w:lang w:eastAsia="zh-Hans"/>
              </w:rPr>
              <w:t>显卡：</w:t>
            </w:r>
            <w:r>
              <w:rPr>
                <w:rFonts w:hint="eastAsia" w:ascii="宋体" w:hAnsi="宋体" w:eastAsia="宋体" w:cs="宋体"/>
                <w:sz w:val="24"/>
                <w:szCs w:val="24"/>
                <w:lang w:eastAsia="zh-Hans"/>
              </w:rPr>
              <w:t>≥</w:t>
            </w:r>
            <w:r>
              <w:rPr>
                <w:rFonts w:ascii="宋体" w:hAnsi="宋体" w:eastAsia="宋体" w:cs="宋体"/>
                <w:sz w:val="24"/>
                <w:szCs w:val="24"/>
                <w:lang w:eastAsia="zh-Hans"/>
              </w:rPr>
              <w:t>16G独立显卡；</w:t>
            </w:r>
          </w:p>
          <w:p w14:paraId="57704E38">
            <w:pPr>
              <w:spacing w:line="360" w:lineRule="auto"/>
              <w:jc w:val="left"/>
              <w:rPr>
                <w:rFonts w:hint="eastAsia" w:ascii="宋体" w:hAnsi="宋体" w:eastAsia="宋体" w:cs="宋体"/>
                <w:sz w:val="24"/>
                <w:szCs w:val="24"/>
                <w:lang w:eastAsia="zh-Hans"/>
              </w:rPr>
            </w:pPr>
            <w:r>
              <w:rPr>
                <w:rFonts w:ascii="宋体" w:hAnsi="宋体" w:eastAsia="宋体" w:cs="宋体"/>
                <w:sz w:val="24"/>
                <w:szCs w:val="24"/>
                <w:lang w:eastAsia="zh-Hans"/>
              </w:rPr>
              <w:t>存储：</w:t>
            </w:r>
            <w:r>
              <w:rPr>
                <w:rFonts w:hint="eastAsia" w:ascii="宋体" w:hAnsi="宋体" w:eastAsia="宋体" w:cs="宋体"/>
                <w:sz w:val="24"/>
                <w:szCs w:val="24"/>
                <w:lang w:eastAsia="zh-Hans"/>
              </w:rPr>
              <w:t>≥</w:t>
            </w:r>
            <w:r>
              <w:rPr>
                <w:rFonts w:ascii="宋体" w:hAnsi="宋体" w:eastAsia="宋体" w:cs="宋体"/>
                <w:sz w:val="24"/>
                <w:szCs w:val="24"/>
                <w:lang w:eastAsia="zh-Hans"/>
              </w:rPr>
              <w:t>512G NVME固态硬盘+</w:t>
            </w:r>
            <w:r>
              <w:rPr>
                <w:rFonts w:hint="eastAsia" w:ascii="宋体" w:hAnsi="宋体" w:eastAsia="宋体" w:cs="宋体"/>
                <w:sz w:val="24"/>
                <w:szCs w:val="24"/>
                <w:lang w:eastAsia="zh-Hans"/>
              </w:rPr>
              <w:t>≥</w:t>
            </w:r>
            <w:r>
              <w:rPr>
                <w:rFonts w:ascii="宋体" w:hAnsi="宋体" w:eastAsia="宋体" w:cs="宋体"/>
                <w:sz w:val="24"/>
                <w:szCs w:val="24"/>
                <w:lang w:eastAsia="zh-Hans"/>
              </w:rPr>
              <w:t>1T SSD固态硬盘</w:t>
            </w:r>
          </w:p>
          <w:p w14:paraId="0A7599A8">
            <w:pPr>
              <w:spacing w:line="360" w:lineRule="auto"/>
              <w:jc w:val="left"/>
              <w:rPr>
                <w:rFonts w:hint="eastAsia" w:ascii="宋体" w:hAnsi="宋体" w:eastAsia="宋体" w:cs="宋体"/>
                <w:sz w:val="24"/>
                <w:szCs w:val="24"/>
                <w:lang w:eastAsia="zh-Hans"/>
              </w:rPr>
            </w:pPr>
            <w:r>
              <w:rPr>
                <w:rFonts w:ascii="宋体" w:hAnsi="宋体" w:eastAsia="宋体" w:cs="宋体"/>
                <w:sz w:val="24"/>
                <w:szCs w:val="24"/>
                <w:lang w:eastAsia="zh-Hans"/>
              </w:rPr>
              <w:t>显示：27寸</w:t>
            </w:r>
            <w:r>
              <w:rPr>
                <w:rFonts w:hint="eastAsia" w:ascii="宋体" w:hAnsi="宋体" w:eastAsia="宋体" w:cs="宋体"/>
                <w:sz w:val="24"/>
                <w:szCs w:val="24"/>
                <w:lang w:eastAsia="zh-Hans"/>
              </w:rPr>
              <w:t>≥</w:t>
            </w:r>
            <w:r>
              <w:rPr>
                <w:rFonts w:ascii="宋体" w:hAnsi="宋体" w:eastAsia="宋体" w:cs="宋体"/>
                <w:sz w:val="24"/>
                <w:szCs w:val="24"/>
                <w:lang w:eastAsia="zh-Hans"/>
              </w:rPr>
              <w:t xml:space="preserve">2k显示屏，配套鼠标及键盘。 </w:t>
            </w:r>
          </w:p>
        </w:tc>
        <w:tc>
          <w:tcPr>
            <w:tcW w:w="2257" w:type="dxa"/>
            <w:tcBorders>
              <w:top w:val="single" w:color="auto" w:sz="4" w:space="0"/>
              <w:left w:val="single" w:color="auto" w:sz="4" w:space="0"/>
              <w:bottom w:val="single" w:color="auto" w:sz="4" w:space="0"/>
              <w:right w:val="single" w:color="auto" w:sz="4" w:space="0"/>
            </w:tcBorders>
            <w:vAlign w:val="center"/>
          </w:tcPr>
          <w:p w14:paraId="5C94774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tc>
      </w:tr>
      <w:tr w14:paraId="4B75E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2DBDB752">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14</w:t>
            </w:r>
          </w:p>
        </w:tc>
        <w:tc>
          <w:tcPr>
            <w:tcW w:w="1554" w:type="dxa"/>
            <w:tcBorders>
              <w:top w:val="single" w:color="auto" w:sz="4" w:space="0"/>
              <w:left w:val="single" w:color="auto" w:sz="4" w:space="0"/>
              <w:bottom w:val="single" w:color="auto" w:sz="4" w:space="0"/>
              <w:right w:val="single" w:color="auto" w:sz="4" w:space="0"/>
            </w:tcBorders>
            <w:vAlign w:val="center"/>
          </w:tcPr>
          <w:p w14:paraId="622E9C01">
            <w:pPr>
              <w:spacing w:line="360" w:lineRule="auto"/>
              <w:jc w:val="left"/>
              <w:rPr>
                <w:rFonts w:hint="eastAsia" w:ascii="宋体" w:hAnsi="宋体" w:eastAsia="宋体" w:cs="宋体"/>
                <w:sz w:val="24"/>
                <w:szCs w:val="24"/>
              </w:rPr>
            </w:pPr>
            <w:r>
              <w:rPr>
                <w:rFonts w:hint="eastAsia" w:ascii="宋体" w:hAnsi="宋体" w:eastAsia="宋体" w:cs="宋体"/>
                <w:sz w:val="24"/>
                <w:szCs w:val="24"/>
              </w:rPr>
              <w:t>软件控制系统</w:t>
            </w:r>
          </w:p>
        </w:tc>
        <w:tc>
          <w:tcPr>
            <w:tcW w:w="622" w:type="dxa"/>
            <w:tcBorders>
              <w:top w:val="single" w:color="auto" w:sz="4" w:space="0"/>
              <w:left w:val="single" w:color="auto" w:sz="4" w:space="0"/>
              <w:bottom w:val="single" w:color="auto" w:sz="4" w:space="0"/>
              <w:right w:val="single" w:color="auto" w:sz="4" w:space="0"/>
            </w:tcBorders>
            <w:vAlign w:val="center"/>
          </w:tcPr>
          <w:p w14:paraId="3123BCB0">
            <w:pPr>
              <w:spacing w:line="360" w:lineRule="auto"/>
              <w:jc w:val="center"/>
              <w:rPr>
                <w:rFonts w:ascii="Segoe UI Symbol" w:hAnsi="Segoe UI Symbol" w:eastAsia="仿宋_GB2312" w:cs="Segoe UI Symbol"/>
                <w:sz w:val="24"/>
                <w:szCs w:val="24"/>
                <w:lang w:val="zh-CN"/>
              </w:rPr>
            </w:pPr>
          </w:p>
        </w:tc>
        <w:tc>
          <w:tcPr>
            <w:tcW w:w="3818" w:type="dxa"/>
            <w:tcBorders>
              <w:top w:val="single" w:color="auto" w:sz="4" w:space="0"/>
              <w:left w:val="single" w:color="auto" w:sz="4" w:space="0"/>
              <w:bottom w:val="single" w:color="auto" w:sz="4" w:space="0"/>
              <w:right w:val="single" w:color="auto" w:sz="4" w:space="0"/>
            </w:tcBorders>
            <w:vAlign w:val="center"/>
          </w:tcPr>
          <w:p w14:paraId="430A7C1C">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预装正版系统及最新版操作软件。软件显示实时剥蚀过程、显示激光能量、频率、载物台位置、载气流量等参数；具有单点分析、多点分析、单线及多线分析等功能；可分组批量编辑剥蚀对象的参数设置，实验过程可预先编程。</w:t>
            </w:r>
          </w:p>
        </w:tc>
        <w:tc>
          <w:tcPr>
            <w:tcW w:w="2257" w:type="dxa"/>
            <w:tcBorders>
              <w:top w:val="single" w:color="auto" w:sz="4" w:space="0"/>
              <w:left w:val="single" w:color="auto" w:sz="4" w:space="0"/>
              <w:bottom w:val="single" w:color="auto" w:sz="4" w:space="0"/>
              <w:right w:val="single" w:color="auto" w:sz="4" w:space="0"/>
            </w:tcBorders>
            <w:vAlign w:val="center"/>
          </w:tcPr>
          <w:p w14:paraId="044825A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p w14:paraId="5ED92539">
            <w:pPr>
              <w:spacing w:line="360" w:lineRule="auto"/>
              <w:jc w:val="center"/>
              <w:rPr>
                <w:rFonts w:hint="eastAsia" w:ascii="宋体" w:hAnsi="宋体" w:eastAsia="宋体" w:cs="宋体"/>
                <w:sz w:val="24"/>
                <w:szCs w:val="24"/>
              </w:rPr>
            </w:pPr>
          </w:p>
        </w:tc>
      </w:tr>
      <w:tr w14:paraId="52494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05121091">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15</w:t>
            </w:r>
          </w:p>
        </w:tc>
        <w:tc>
          <w:tcPr>
            <w:tcW w:w="1554" w:type="dxa"/>
            <w:tcBorders>
              <w:top w:val="single" w:color="auto" w:sz="4" w:space="0"/>
              <w:left w:val="single" w:color="auto" w:sz="4" w:space="0"/>
              <w:bottom w:val="single" w:color="auto" w:sz="4" w:space="0"/>
              <w:right w:val="single" w:color="auto" w:sz="4" w:space="0"/>
            </w:tcBorders>
            <w:vAlign w:val="center"/>
          </w:tcPr>
          <w:p w14:paraId="21123B4E">
            <w:pPr>
              <w:spacing w:line="360" w:lineRule="auto"/>
              <w:jc w:val="left"/>
              <w:rPr>
                <w:rFonts w:hint="eastAsia" w:ascii="宋体" w:hAnsi="宋体" w:eastAsia="宋体" w:cs="宋体"/>
                <w:sz w:val="24"/>
                <w:szCs w:val="24"/>
              </w:rPr>
            </w:pPr>
            <w:r>
              <w:rPr>
                <w:rFonts w:hint="eastAsia" w:ascii="宋体" w:hAnsi="宋体" w:eastAsia="宋体" w:cs="宋体"/>
                <w:sz w:val="24"/>
                <w:szCs w:val="24"/>
              </w:rPr>
              <w:t>动态面矫正功能</w:t>
            </w:r>
          </w:p>
        </w:tc>
        <w:tc>
          <w:tcPr>
            <w:tcW w:w="622" w:type="dxa"/>
            <w:tcBorders>
              <w:top w:val="single" w:color="auto" w:sz="4" w:space="0"/>
              <w:left w:val="single" w:color="auto" w:sz="4" w:space="0"/>
              <w:bottom w:val="single" w:color="auto" w:sz="4" w:space="0"/>
              <w:right w:val="single" w:color="auto" w:sz="4" w:space="0"/>
            </w:tcBorders>
            <w:vAlign w:val="center"/>
          </w:tcPr>
          <w:p w14:paraId="5379F4C1">
            <w:pPr>
              <w:spacing w:line="360" w:lineRule="auto"/>
              <w:jc w:val="center"/>
              <w:rPr>
                <w:rFonts w:ascii="Segoe UI Symbol" w:hAnsi="Segoe UI Symbol" w:eastAsia="仿宋_GB2312" w:cs="Segoe UI Symbol"/>
                <w:sz w:val="24"/>
                <w:szCs w:val="24"/>
                <w:lang w:val="zh-CN"/>
              </w:rPr>
            </w:pPr>
            <w:r>
              <w:rPr>
                <w:rFonts w:hint="eastAsia" w:ascii="Segoe UI Symbol" w:hAnsi="Segoe UI Symbol" w:eastAsia="仿宋_GB2312" w:cs="Segoe UI Symbol"/>
                <w:sz w:val="24"/>
                <w:szCs w:val="24"/>
                <w:lang w:val="zh-CN"/>
              </w:rPr>
              <w:t>#</w:t>
            </w:r>
          </w:p>
        </w:tc>
        <w:tc>
          <w:tcPr>
            <w:tcW w:w="3818" w:type="dxa"/>
            <w:tcBorders>
              <w:top w:val="single" w:color="auto" w:sz="4" w:space="0"/>
              <w:left w:val="single" w:color="auto" w:sz="4" w:space="0"/>
              <w:bottom w:val="single" w:color="auto" w:sz="4" w:space="0"/>
              <w:right w:val="single" w:color="auto" w:sz="4" w:space="0"/>
            </w:tcBorders>
            <w:vAlign w:val="center"/>
          </w:tcPr>
          <w:p w14:paraId="08AF6CA7">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做样过程中可实现动态面矫正，实时动态调整所选“面”区域上的不同样品位置与小杯间离距，确保样品聚焦状态。</w:t>
            </w:r>
          </w:p>
          <w:p w14:paraId="4CE802A8">
            <w:pPr>
              <w:spacing w:line="360" w:lineRule="auto"/>
              <w:jc w:val="left"/>
              <w:rPr>
                <w:rFonts w:hint="eastAsia" w:ascii="宋体" w:hAnsi="宋体" w:eastAsia="宋体" w:cs="宋体"/>
                <w:sz w:val="24"/>
                <w:szCs w:val="24"/>
                <w:lang w:eastAsia="zh-Hans"/>
              </w:rPr>
            </w:pPr>
          </w:p>
        </w:tc>
        <w:tc>
          <w:tcPr>
            <w:tcW w:w="2257" w:type="dxa"/>
            <w:tcBorders>
              <w:top w:val="single" w:color="auto" w:sz="4" w:space="0"/>
              <w:left w:val="single" w:color="auto" w:sz="4" w:space="0"/>
              <w:bottom w:val="single" w:color="auto" w:sz="4" w:space="0"/>
              <w:right w:val="single" w:color="auto" w:sz="4" w:space="0"/>
            </w:tcBorders>
            <w:vAlign w:val="center"/>
          </w:tcPr>
          <w:p w14:paraId="7BBAC58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p w14:paraId="473834A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（提供软件截图演示操作流程加盖制造商公章作为佐证材料）</w:t>
            </w:r>
          </w:p>
        </w:tc>
      </w:tr>
      <w:tr w14:paraId="41E36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5FC9A487">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16</w:t>
            </w:r>
          </w:p>
        </w:tc>
        <w:tc>
          <w:tcPr>
            <w:tcW w:w="1554" w:type="dxa"/>
            <w:tcBorders>
              <w:top w:val="single" w:color="auto" w:sz="4" w:space="0"/>
              <w:left w:val="single" w:color="auto" w:sz="4" w:space="0"/>
              <w:bottom w:val="single" w:color="auto" w:sz="4" w:space="0"/>
              <w:right w:val="single" w:color="auto" w:sz="4" w:space="0"/>
            </w:tcBorders>
            <w:vAlign w:val="center"/>
          </w:tcPr>
          <w:p w14:paraId="55B9A6A2">
            <w:pPr>
              <w:spacing w:line="360" w:lineRule="auto"/>
              <w:jc w:val="left"/>
              <w:rPr>
                <w:rFonts w:hint="eastAsia" w:ascii="宋体" w:hAnsi="宋体" w:eastAsia="宋体" w:cs="宋体"/>
                <w:sz w:val="24"/>
                <w:szCs w:val="24"/>
              </w:rPr>
            </w:pPr>
            <w:r>
              <w:rPr>
                <w:rFonts w:hint="eastAsia" w:ascii="宋体" w:hAnsi="宋体" w:eastAsia="宋体" w:cs="宋体"/>
                <w:sz w:val="24"/>
                <w:szCs w:val="24"/>
              </w:rPr>
              <w:t>激光控质谱功能</w:t>
            </w:r>
          </w:p>
        </w:tc>
        <w:tc>
          <w:tcPr>
            <w:tcW w:w="622" w:type="dxa"/>
            <w:tcBorders>
              <w:top w:val="single" w:color="auto" w:sz="4" w:space="0"/>
              <w:left w:val="single" w:color="auto" w:sz="4" w:space="0"/>
              <w:bottom w:val="single" w:color="auto" w:sz="4" w:space="0"/>
              <w:right w:val="single" w:color="auto" w:sz="4" w:space="0"/>
            </w:tcBorders>
            <w:vAlign w:val="center"/>
          </w:tcPr>
          <w:p w14:paraId="4E3A7BA7">
            <w:pPr>
              <w:spacing w:line="360" w:lineRule="auto"/>
              <w:jc w:val="center"/>
              <w:rPr>
                <w:rFonts w:ascii="Segoe UI Symbol" w:hAnsi="Segoe UI Symbol" w:eastAsia="仿宋_GB2312" w:cs="Segoe UI Symbol"/>
                <w:sz w:val="24"/>
                <w:szCs w:val="24"/>
                <w:lang w:val="zh-CN"/>
              </w:rPr>
            </w:pPr>
            <w:r>
              <w:rPr>
                <w:rFonts w:hint="eastAsia" w:ascii="Segoe UI Symbol" w:hAnsi="Segoe UI Symbol" w:eastAsia="仿宋_GB2312" w:cs="Segoe UI Symbol"/>
                <w:sz w:val="24"/>
                <w:szCs w:val="24"/>
                <w:lang w:val="zh-CN"/>
              </w:rPr>
              <w:t>#</w:t>
            </w:r>
          </w:p>
        </w:tc>
        <w:tc>
          <w:tcPr>
            <w:tcW w:w="3818" w:type="dxa"/>
            <w:tcBorders>
              <w:top w:val="single" w:color="auto" w:sz="4" w:space="0"/>
              <w:left w:val="single" w:color="auto" w:sz="4" w:space="0"/>
              <w:bottom w:val="single" w:color="auto" w:sz="4" w:space="0"/>
              <w:right w:val="single" w:color="auto" w:sz="4" w:space="0"/>
            </w:tcBorders>
            <w:vAlign w:val="center"/>
          </w:tcPr>
          <w:p w14:paraId="34A6979A">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具备通过升级飞秒激光剥蚀软件即可操控质谱的功能，激光软件可直接抓取质谱数据，实验过程可实时成像或直接出数据。</w:t>
            </w:r>
          </w:p>
        </w:tc>
        <w:tc>
          <w:tcPr>
            <w:tcW w:w="2257" w:type="dxa"/>
            <w:tcBorders>
              <w:top w:val="single" w:color="auto" w:sz="4" w:space="0"/>
              <w:left w:val="single" w:color="auto" w:sz="4" w:space="0"/>
              <w:bottom w:val="single" w:color="auto" w:sz="4" w:space="0"/>
              <w:right w:val="single" w:color="auto" w:sz="4" w:space="0"/>
            </w:tcBorders>
            <w:vAlign w:val="center"/>
          </w:tcPr>
          <w:p w14:paraId="7612B1E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p w14:paraId="4640E02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（提供加盖制造商公章的公开彩页和软件截图作为佐证材料）。</w:t>
            </w:r>
          </w:p>
        </w:tc>
      </w:tr>
      <w:tr w14:paraId="76B7F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4D2A818D">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17</w:t>
            </w:r>
          </w:p>
        </w:tc>
        <w:tc>
          <w:tcPr>
            <w:tcW w:w="1554" w:type="dxa"/>
            <w:tcBorders>
              <w:top w:val="single" w:color="auto" w:sz="4" w:space="0"/>
              <w:left w:val="single" w:color="auto" w:sz="4" w:space="0"/>
              <w:bottom w:val="single" w:color="auto" w:sz="4" w:space="0"/>
              <w:right w:val="single" w:color="auto" w:sz="4" w:space="0"/>
            </w:tcBorders>
            <w:vAlign w:val="center"/>
          </w:tcPr>
          <w:p w14:paraId="72B8EC24">
            <w:pPr>
              <w:spacing w:line="360" w:lineRule="auto"/>
              <w:jc w:val="left"/>
              <w:rPr>
                <w:rFonts w:hint="eastAsia" w:ascii="宋体" w:hAnsi="宋体" w:eastAsia="宋体" w:cs="宋体"/>
                <w:sz w:val="24"/>
                <w:szCs w:val="24"/>
              </w:rPr>
            </w:pPr>
            <w:r>
              <w:rPr>
                <w:rFonts w:hint="eastAsia" w:ascii="宋体" w:hAnsi="宋体" w:eastAsia="宋体" w:cs="宋体"/>
                <w:sz w:val="24"/>
                <w:szCs w:val="24"/>
              </w:rPr>
              <w:t>软件操作</w:t>
            </w:r>
          </w:p>
        </w:tc>
        <w:tc>
          <w:tcPr>
            <w:tcW w:w="622" w:type="dxa"/>
            <w:tcBorders>
              <w:top w:val="single" w:color="auto" w:sz="4" w:space="0"/>
              <w:left w:val="single" w:color="auto" w:sz="4" w:space="0"/>
              <w:bottom w:val="single" w:color="auto" w:sz="4" w:space="0"/>
              <w:right w:val="single" w:color="auto" w:sz="4" w:space="0"/>
            </w:tcBorders>
            <w:vAlign w:val="center"/>
          </w:tcPr>
          <w:p w14:paraId="3B480CD3">
            <w:pPr>
              <w:spacing w:line="360" w:lineRule="auto"/>
              <w:jc w:val="center"/>
              <w:rPr>
                <w:rFonts w:ascii="Segoe UI Symbol" w:hAnsi="Segoe UI Symbol" w:eastAsia="仿宋_GB2312" w:cs="Segoe UI Symbol"/>
                <w:sz w:val="24"/>
                <w:szCs w:val="24"/>
                <w:lang w:val="zh-CN"/>
              </w:rPr>
            </w:pPr>
            <w:r>
              <w:rPr>
                <w:rFonts w:hint="eastAsia" w:ascii="Segoe UI Symbol" w:hAnsi="Segoe UI Symbol" w:eastAsia="仿宋_GB2312" w:cs="Segoe UI Symbol"/>
                <w:sz w:val="24"/>
                <w:szCs w:val="24"/>
                <w:lang w:val="zh-CN"/>
              </w:rPr>
              <w:t>#</w:t>
            </w:r>
          </w:p>
        </w:tc>
        <w:tc>
          <w:tcPr>
            <w:tcW w:w="3818" w:type="dxa"/>
            <w:tcBorders>
              <w:top w:val="single" w:color="auto" w:sz="4" w:space="0"/>
              <w:left w:val="single" w:color="auto" w:sz="4" w:space="0"/>
              <w:bottom w:val="single" w:color="auto" w:sz="4" w:space="0"/>
              <w:right w:val="single" w:color="auto" w:sz="4" w:space="0"/>
            </w:tcBorders>
            <w:vAlign w:val="center"/>
          </w:tcPr>
          <w:p w14:paraId="5620DC48">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软件操作运用智能图像识别技术，可实现点和线等一键快速自动聚焦；操作软件可实现快速样品快速定位导航、快速拼图、灵活错位剥蚀、快速实验序列设定等功能。</w:t>
            </w:r>
          </w:p>
        </w:tc>
        <w:tc>
          <w:tcPr>
            <w:tcW w:w="2257" w:type="dxa"/>
            <w:tcBorders>
              <w:top w:val="single" w:color="auto" w:sz="4" w:space="0"/>
              <w:left w:val="single" w:color="auto" w:sz="4" w:space="0"/>
              <w:bottom w:val="single" w:color="auto" w:sz="4" w:space="0"/>
              <w:right w:val="single" w:color="auto" w:sz="4" w:space="0"/>
            </w:tcBorders>
            <w:vAlign w:val="center"/>
          </w:tcPr>
          <w:p w14:paraId="45AFA9F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p w14:paraId="7F196E6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（提供软件截图演示操作流程并加盖制造商公章）。</w:t>
            </w:r>
          </w:p>
          <w:p w14:paraId="0DAE6727">
            <w:pPr>
              <w:spacing w:line="360" w:lineRule="auto"/>
              <w:jc w:val="center"/>
              <w:rPr>
                <w:rFonts w:hint="eastAsia" w:ascii="宋体" w:hAnsi="宋体" w:eastAsia="宋体" w:cs="宋体"/>
                <w:sz w:val="24"/>
                <w:szCs w:val="24"/>
              </w:rPr>
            </w:pPr>
          </w:p>
        </w:tc>
      </w:tr>
      <w:tr w14:paraId="0168F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0AFC63ED">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18</w:t>
            </w:r>
          </w:p>
        </w:tc>
        <w:tc>
          <w:tcPr>
            <w:tcW w:w="1554" w:type="dxa"/>
            <w:tcBorders>
              <w:top w:val="single" w:color="auto" w:sz="4" w:space="0"/>
              <w:left w:val="single" w:color="auto" w:sz="4" w:space="0"/>
              <w:bottom w:val="single" w:color="auto" w:sz="4" w:space="0"/>
              <w:right w:val="single" w:color="auto" w:sz="4" w:space="0"/>
            </w:tcBorders>
            <w:vAlign w:val="center"/>
          </w:tcPr>
          <w:p w14:paraId="0F9238C4">
            <w:pPr>
              <w:spacing w:line="360" w:lineRule="auto"/>
              <w:jc w:val="left"/>
              <w:rPr>
                <w:rFonts w:hint="eastAsia" w:ascii="宋体" w:hAnsi="宋体" w:eastAsia="宋体" w:cs="宋体"/>
                <w:sz w:val="24"/>
                <w:szCs w:val="24"/>
              </w:rPr>
            </w:pPr>
            <w:r>
              <w:rPr>
                <w:rFonts w:hint="eastAsia" w:ascii="宋体" w:hAnsi="宋体" w:eastAsia="宋体" w:cs="宋体"/>
                <w:sz w:val="24"/>
                <w:szCs w:val="24"/>
              </w:rPr>
              <w:t>与质谱联机</w:t>
            </w:r>
          </w:p>
        </w:tc>
        <w:tc>
          <w:tcPr>
            <w:tcW w:w="622" w:type="dxa"/>
            <w:tcBorders>
              <w:top w:val="single" w:color="auto" w:sz="4" w:space="0"/>
              <w:left w:val="single" w:color="auto" w:sz="4" w:space="0"/>
              <w:bottom w:val="single" w:color="auto" w:sz="4" w:space="0"/>
              <w:right w:val="single" w:color="auto" w:sz="4" w:space="0"/>
            </w:tcBorders>
            <w:vAlign w:val="center"/>
          </w:tcPr>
          <w:p w14:paraId="77987D7C">
            <w:pPr>
              <w:spacing w:line="360" w:lineRule="auto"/>
              <w:jc w:val="center"/>
              <w:rPr>
                <w:rFonts w:ascii="Segoe UI Symbol" w:hAnsi="Segoe UI Symbol" w:eastAsia="仿宋_GB2312" w:cs="Segoe UI Symbol"/>
                <w:sz w:val="24"/>
                <w:szCs w:val="24"/>
                <w:lang w:val="zh-CN"/>
              </w:rPr>
            </w:pPr>
            <w:r>
              <w:rPr>
                <w:rFonts w:hint="eastAsia" w:ascii="Segoe UI Symbol" w:hAnsi="Segoe UI Symbol" w:eastAsia="仿宋_GB2312" w:cs="Segoe UI Symbol"/>
                <w:sz w:val="24"/>
                <w:szCs w:val="24"/>
                <w:lang w:val="zh-CN"/>
              </w:rPr>
              <w:t>#</w:t>
            </w:r>
          </w:p>
        </w:tc>
        <w:tc>
          <w:tcPr>
            <w:tcW w:w="3818" w:type="dxa"/>
            <w:tcBorders>
              <w:top w:val="single" w:color="auto" w:sz="4" w:space="0"/>
              <w:left w:val="single" w:color="auto" w:sz="4" w:space="0"/>
              <w:bottom w:val="single" w:color="auto" w:sz="4" w:space="0"/>
              <w:right w:val="single" w:color="auto" w:sz="4" w:space="0"/>
            </w:tcBorders>
            <w:vAlign w:val="center"/>
          </w:tcPr>
          <w:p w14:paraId="3012E66C">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系统可与ICPMSMS、ICP-TOF-MS、HR-ICPMS和MC-ICPMS等各类型质谱仪联机使用，实现连续做样无人值守。</w:t>
            </w:r>
          </w:p>
        </w:tc>
        <w:tc>
          <w:tcPr>
            <w:tcW w:w="2257" w:type="dxa"/>
            <w:tcBorders>
              <w:top w:val="single" w:color="auto" w:sz="4" w:space="0"/>
              <w:left w:val="single" w:color="auto" w:sz="4" w:space="0"/>
              <w:bottom w:val="single" w:color="auto" w:sz="4" w:space="0"/>
              <w:right w:val="single" w:color="auto" w:sz="4" w:space="0"/>
            </w:tcBorders>
            <w:vAlign w:val="center"/>
          </w:tcPr>
          <w:p w14:paraId="601E981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p w14:paraId="10BEC3C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（提供同类飞秒设备与各类型质谱实验室联机照片，并加盖制造商公章为佐证材料）</w:t>
            </w:r>
          </w:p>
        </w:tc>
      </w:tr>
      <w:tr w14:paraId="7EEED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33A269D0">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19</w:t>
            </w:r>
          </w:p>
        </w:tc>
        <w:tc>
          <w:tcPr>
            <w:tcW w:w="1554" w:type="dxa"/>
            <w:tcBorders>
              <w:top w:val="single" w:color="auto" w:sz="4" w:space="0"/>
              <w:left w:val="single" w:color="auto" w:sz="4" w:space="0"/>
              <w:bottom w:val="single" w:color="auto" w:sz="4" w:space="0"/>
              <w:right w:val="single" w:color="auto" w:sz="4" w:space="0"/>
            </w:tcBorders>
            <w:vAlign w:val="center"/>
          </w:tcPr>
          <w:p w14:paraId="78C21160">
            <w:pPr>
              <w:spacing w:line="360" w:lineRule="auto"/>
              <w:jc w:val="left"/>
              <w:rPr>
                <w:rFonts w:hint="eastAsia" w:ascii="宋体" w:hAnsi="宋体" w:eastAsia="宋体" w:cs="宋体"/>
                <w:sz w:val="24"/>
                <w:szCs w:val="24"/>
              </w:rPr>
            </w:pPr>
            <w:r>
              <w:rPr>
                <w:rFonts w:hint="eastAsia" w:ascii="宋体" w:hAnsi="宋体" w:eastAsia="宋体" w:cs="宋体"/>
                <w:sz w:val="24"/>
                <w:szCs w:val="24"/>
              </w:rPr>
              <w:t>软件升级</w:t>
            </w:r>
          </w:p>
        </w:tc>
        <w:tc>
          <w:tcPr>
            <w:tcW w:w="622" w:type="dxa"/>
            <w:tcBorders>
              <w:top w:val="single" w:color="auto" w:sz="4" w:space="0"/>
              <w:left w:val="single" w:color="auto" w:sz="4" w:space="0"/>
              <w:bottom w:val="single" w:color="auto" w:sz="4" w:space="0"/>
              <w:right w:val="single" w:color="auto" w:sz="4" w:space="0"/>
            </w:tcBorders>
            <w:vAlign w:val="center"/>
          </w:tcPr>
          <w:p w14:paraId="482179C9">
            <w:pPr>
              <w:spacing w:line="360" w:lineRule="auto"/>
              <w:jc w:val="center"/>
              <w:rPr>
                <w:rFonts w:ascii="Segoe UI Symbol" w:hAnsi="Segoe UI Symbol" w:eastAsia="仿宋_GB2312" w:cs="Segoe UI Symbol"/>
                <w:sz w:val="24"/>
                <w:szCs w:val="24"/>
                <w:lang w:val="zh-CN"/>
              </w:rPr>
            </w:pPr>
          </w:p>
        </w:tc>
        <w:tc>
          <w:tcPr>
            <w:tcW w:w="3818" w:type="dxa"/>
            <w:tcBorders>
              <w:top w:val="single" w:color="auto" w:sz="4" w:space="0"/>
              <w:left w:val="single" w:color="auto" w:sz="4" w:space="0"/>
              <w:bottom w:val="single" w:color="auto" w:sz="4" w:space="0"/>
              <w:right w:val="single" w:color="auto" w:sz="4" w:space="0"/>
            </w:tcBorders>
            <w:vAlign w:val="center"/>
          </w:tcPr>
          <w:p w14:paraId="4749F773">
            <w:pPr>
              <w:spacing w:line="360" w:lineRule="auto"/>
              <w:jc w:val="left"/>
              <w:rPr>
                <w:rFonts w:hint="eastAsia" w:ascii="宋体" w:hAnsi="宋体" w:eastAsia="宋体" w:cs="宋体"/>
                <w:sz w:val="24"/>
                <w:szCs w:val="24"/>
                <w:lang w:eastAsia="zh-Hans"/>
              </w:rPr>
            </w:pPr>
            <w:r>
              <w:rPr>
                <w:rFonts w:hint="eastAsia" w:ascii="宋体" w:hAnsi="宋体" w:eastAsia="宋体" w:cs="宋体"/>
                <w:sz w:val="24"/>
                <w:szCs w:val="24"/>
                <w:lang w:eastAsia="zh-Hans"/>
              </w:rPr>
              <w:t>设备全生命周期内，可提供操作软件版本更新、功能升级、程序补丁、软硬件适配优化等服务，无任何升级收费项目。</w:t>
            </w:r>
          </w:p>
        </w:tc>
        <w:tc>
          <w:tcPr>
            <w:tcW w:w="2257" w:type="dxa"/>
            <w:tcBorders>
              <w:top w:val="single" w:color="auto" w:sz="4" w:space="0"/>
              <w:left w:val="single" w:color="auto" w:sz="4" w:space="0"/>
              <w:bottom w:val="single" w:color="auto" w:sz="4" w:space="0"/>
              <w:right w:val="single" w:color="auto" w:sz="4" w:space="0"/>
            </w:tcBorders>
            <w:vAlign w:val="center"/>
          </w:tcPr>
          <w:p w14:paraId="7BA6D20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w:t>
            </w:r>
          </w:p>
          <w:p w14:paraId="49D4AC9D">
            <w:pPr>
              <w:spacing w:line="360" w:lineRule="auto"/>
              <w:jc w:val="center"/>
              <w:rPr>
                <w:rFonts w:hint="eastAsia" w:ascii="宋体" w:hAnsi="宋体" w:eastAsia="宋体" w:cs="宋体"/>
                <w:sz w:val="24"/>
                <w:szCs w:val="24"/>
              </w:rPr>
            </w:pPr>
          </w:p>
        </w:tc>
      </w:tr>
    </w:tbl>
    <w:p w14:paraId="5C593A04">
      <w:pPr>
        <w:widowControl/>
        <w:ind w:firstLine="480" w:firstLineChars="200"/>
        <w:jc w:val="left"/>
        <w:rPr>
          <w:rFonts w:hint="eastAsia" w:ascii="仿宋_GB2312" w:hAnsi="宋体" w:eastAsia="仿宋_GB2312" w:cs="仿宋"/>
          <w:b/>
          <w:color w:val="000000"/>
          <w:kern w:val="0"/>
          <w:sz w:val="32"/>
          <w:szCs w:val="28"/>
          <w:shd w:val="clear" w:color="auto" w:fill="FFFFFF"/>
        </w:rPr>
      </w:pPr>
      <w:r>
        <w:rPr>
          <w:rFonts w:ascii="仿宋_GB2312" w:hAnsi="宋体" w:eastAsia="仿宋_GB2312"/>
          <w:sz w:val="24"/>
          <w:szCs w:val="24"/>
        </w:rPr>
        <w:br w:type="textWrapping"/>
      </w:r>
      <w:r>
        <w:rPr>
          <w:rFonts w:hint="eastAsia" w:ascii="仿宋_GB2312" w:hAnsi="宋体" w:eastAsia="仿宋_GB2312" w:cs="仿宋"/>
          <w:b/>
          <w:color w:val="000000"/>
          <w:kern w:val="0"/>
          <w:sz w:val="32"/>
          <w:szCs w:val="28"/>
          <w:shd w:val="clear" w:color="auto" w:fill="FFFFFF"/>
        </w:rPr>
        <w:t>四、商务要求</w:t>
      </w:r>
    </w:p>
    <w:tbl>
      <w:tblPr>
        <w:tblStyle w:val="7"/>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28A6E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66138DFB">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173AD0EB">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466D8F14">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7416C595">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0F5DB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tcPr>
          <w:p w14:paraId="25A1C0AA">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1</w:t>
            </w:r>
          </w:p>
        </w:tc>
        <w:tc>
          <w:tcPr>
            <w:tcW w:w="1603" w:type="dxa"/>
          </w:tcPr>
          <w:p w14:paraId="4968EE5B">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供货期</w:t>
            </w:r>
          </w:p>
        </w:tc>
        <w:tc>
          <w:tcPr>
            <w:tcW w:w="940" w:type="dxa"/>
          </w:tcPr>
          <w:p w14:paraId="598D0687">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6B86758B">
            <w:pPr>
              <w:autoSpaceDE w:val="0"/>
              <w:autoSpaceDN w:val="0"/>
              <w:adjustRightInd w:val="0"/>
              <w:snapToGrid w:val="0"/>
              <w:spacing w:line="360" w:lineRule="auto"/>
              <w:jc w:val="left"/>
              <w:rPr>
                <w:rFonts w:hint="eastAsia" w:ascii="仿宋_GB2312" w:hAnsi="宋体" w:eastAsia="仿宋_GB2312"/>
                <w:iCs/>
                <w:sz w:val="24"/>
                <w:szCs w:val="24"/>
              </w:rPr>
            </w:pPr>
            <w:r>
              <w:rPr>
                <w:rFonts w:ascii="仿宋_GB2312" w:hAnsi="宋体" w:eastAsia="仿宋_GB2312"/>
                <w:iCs/>
                <w:sz w:val="24"/>
                <w:szCs w:val="24"/>
              </w:rPr>
              <w:t>高分辨激光剥蚀系统：合同签订后 90 天内交货并完成安装调试，整体供货周期不超过 5 个月；</w:t>
            </w:r>
          </w:p>
          <w:p w14:paraId="487D70D0">
            <w:pPr>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r>
              <w:rPr>
                <w:rFonts w:ascii="仿宋_GB2312" w:hAnsi="宋体" w:eastAsia="仿宋_GB2312"/>
                <w:iCs/>
                <w:sz w:val="24"/>
                <w:szCs w:val="24"/>
              </w:rPr>
              <w:t>点阵飞秒激光剥蚀系统：合同签订之日起 3 个月内完成供货及安装调试</w:t>
            </w:r>
          </w:p>
        </w:tc>
      </w:tr>
      <w:tr w14:paraId="67AAC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tcPr>
          <w:p w14:paraId="1A7D9127">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rPr>
              <w:t>2</w:t>
            </w:r>
          </w:p>
        </w:tc>
        <w:tc>
          <w:tcPr>
            <w:tcW w:w="1603" w:type="dxa"/>
          </w:tcPr>
          <w:p w14:paraId="5E36356C">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交货地点</w:t>
            </w:r>
          </w:p>
        </w:tc>
        <w:tc>
          <w:tcPr>
            <w:tcW w:w="940" w:type="dxa"/>
          </w:tcPr>
          <w:p w14:paraId="60AC492C">
            <w:pPr>
              <w:autoSpaceDE w:val="0"/>
              <w:autoSpaceDN w:val="0"/>
              <w:adjustRightInd w:val="0"/>
              <w:snapToGrid w:val="0"/>
              <w:rPr>
                <w:rFonts w:hint="eastAsia" w:ascii="仿宋_GB2312" w:hAnsi="宋体" w:eastAsia="仿宋_GB2312" w:cs="宋体"/>
                <w:snapToGrid w:val="0"/>
                <w:kern w:val="0"/>
                <w:sz w:val="24"/>
                <w:szCs w:val="24"/>
                <w:lang w:val="zh-CN"/>
              </w:rPr>
            </w:pPr>
            <w:r>
              <w:rPr>
                <w:rFonts w:hint="eastAsia"/>
              </w:rPr>
              <w:t>★</w:t>
            </w:r>
          </w:p>
        </w:tc>
        <w:tc>
          <w:tcPr>
            <w:tcW w:w="5237" w:type="dxa"/>
          </w:tcPr>
          <w:p w14:paraId="4C800E20">
            <w:pPr>
              <w:autoSpaceDE w:val="0"/>
              <w:autoSpaceDN w:val="0"/>
              <w:adjustRightInd w:val="0"/>
              <w:snapToGrid w:val="0"/>
              <w:spacing w:line="360" w:lineRule="auto"/>
              <w:jc w:val="left"/>
              <w:rPr>
                <w:rFonts w:hint="eastAsia" w:ascii="仿宋_GB2312" w:hAnsi="宋体" w:eastAsia="仿宋_GB2312" w:cs="宋体"/>
                <w:i/>
                <w:snapToGrid w:val="0"/>
                <w:kern w:val="0"/>
                <w:sz w:val="24"/>
                <w:szCs w:val="24"/>
                <w:lang w:val="zh-CN"/>
              </w:rPr>
            </w:pPr>
            <w:r>
              <w:rPr>
                <w:rFonts w:hint="eastAsia"/>
              </w:rPr>
              <w:t>采购人指定地点</w:t>
            </w:r>
          </w:p>
        </w:tc>
      </w:tr>
      <w:tr w14:paraId="02B20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tcPr>
          <w:p w14:paraId="1D7EC38A">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3</w:t>
            </w:r>
          </w:p>
        </w:tc>
        <w:tc>
          <w:tcPr>
            <w:tcW w:w="1603" w:type="dxa"/>
          </w:tcPr>
          <w:p w14:paraId="232054C9">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质保期</w:t>
            </w:r>
          </w:p>
        </w:tc>
        <w:tc>
          <w:tcPr>
            <w:tcW w:w="940" w:type="dxa"/>
          </w:tcPr>
          <w:p w14:paraId="2A6159B8">
            <w:pPr>
              <w:autoSpaceDE w:val="0"/>
              <w:autoSpaceDN w:val="0"/>
              <w:adjustRightInd w:val="0"/>
              <w:snapToGrid w:val="0"/>
              <w:rPr>
                <w:rFonts w:hint="eastAsia" w:ascii="仿宋_GB2312" w:hAnsi="宋体" w:eastAsia="仿宋_GB2312" w:cs="宋体"/>
                <w:snapToGrid w:val="0"/>
                <w:kern w:val="0"/>
                <w:sz w:val="24"/>
                <w:szCs w:val="24"/>
                <w:lang w:val="zh-CN"/>
              </w:rPr>
            </w:pPr>
            <w:r>
              <w:rPr>
                <w:rFonts w:hint="eastAsia"/>
              </w:rPr>
              <w:t>★</w:t>
            </w:r>
          </w:p>
        </w:tc>
        <w:tc>
          <w:tcPr>
            <w:tcW w:w="5237" w:type="dxa"/>
          </w:tcPr>
          <w:p w14:paraId="73BBB23F">
            <w:pPr>
              <w:autoSpaceDE w:val="0"/>
              <w:autoSpaceDN w:val="0"/>
              <w:adjustRightInd w:val="0"/>
              <w:snapToGrid w:val="0"/>
              <w:spacing w:line="360" w:lineRule="auto"/>
              <w:jc w:val="left"/>
              <w:rPr>
                <w:rFonts w:hint="eastAsia" w:ascii="仿宋_GB2312" w:hAnsi="宋体" w:eastAsia="仿宋_GB2312" w:cs="宋体"/>
                <w:i/>
                <w:snapToGrid w:val="0"/>
                <w:kern w:val="0"/>
                <w:sz w:val="24"/>
                <w:szCs w:val="24"/>
                <w:lang w:val="zh-CN"/>
              </w:rPr>
            </w:pPr>
            <w:r>
              <w:rPr>
                <w:rFonts w:hint="eastAsia"/>
              </w:rPr>
              <w:t>自验收合格之日起计算，所有硬件</w:t>
            </w:r>
            <w:r>
              <w:t>2</w:t>
            </w:r>
            <w:r>
              <w:rPr>
                <w:rFonts w:hint="eastAsia"/>
              </w:rPr>
              <w:t>年免费保修、所有软件终身免费升级</w:t>
            </w:r>
          </w:p>
        </w:tc>
      </w:tr>
      <w:tr w14:paraId="152DF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02259CCE">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4</w:t>
            </w:r>
          </w:p>
        </w:tc>
        <w:tc>
          <w:tcPr>
            <w:tcW w:w="1603" w:type="dxa"/>
          </w:tcPr>
          <w:p w14:paraId="77FD323F">
            <w:pPr>
              <w:widowControl/>
              <w:autoSpaceDE w:val="0"/>
              <w:autoSpaceDN w:val="0"/>
              <w:adjustRightInd w:val="0"/>
              <w:snapToGrid w:val="0"/>
              <w:rPr>
                <w:rFonts w:hint="eastAsia" w:ascii="仿宋_GB2312" w:hAnsi="宋体" w:eastAsia="仿宋_GB2312" w:cs="宋体"/>
                <w:snapToGrid w:val="0"/>
                <w:kern w:val="0"/>
                <w:sz w:val="24"/>
                <w:szCs w:val="24"/>
                <w:lang w:val="zh-CN"/>
              </w:rPr>
            </w:pPr>
            <w:r>
              <w:rPr>
                <w:rFonts w:hint="eastAsia"/>
              </w:rPr>
              <w:t>包装和运输</w:t>
            </w:r>
          </w:p>
        </w:tc>
        <w:tc>
          <w:tcPr>
            <w:tcW w:w="940" w:type="dxa"/>
          </w:tcPr>
          <w:p w14:paraId="39853BBB">
            <w:pPr>
              <w:widowControl/>
              <w:autoSpaceDE w:val="0"/>
              <w:autoSpaceDN w:val="0"/>
              <w:adjustRightInd w:val="0"/>
              <w:snapToGrid w:val="0"/>
              <w:rPr>
                <w:rFonts w:hint="eastAsia" w:ascii="仿宋_GB2312" w:hAnsi="宋体" w:eastAsia="仿宋_GB2312" w:cs="宋体"/>
                <w:snapToGrid w:val="0"/>
                <w:kern w:val="0"/>
                <w:sz w:val="24"/>
                <w:szCs w:val="24"/>
                <w:lang w:val="zh-CN"/>
              </w:rPr>
            </w:pPr>
          </w:p>
        </w:tc>
        <w:tc>
          <w:tcPr>
            <w:tcW w:w="5237" w:type="dxa"/>
          </w:tcPr>
          <w:p w14:paraId="47514E19">
            <w:pPr>
              <w:widowControl/>
              <w:autoSpaceDE w:val="0"/>
              <w:autoSpaceDN w:val="0"/>
              <w:adjustRightInd w:val="0"/>
              <w:snapToGrid w:val="0"/>
              <w:jc w:val="left"/>
              <w:rPr>
                <w:rFonts w:hint="eastAsia" w:ascii="仿宋_GB2312" w:hAnsi="宋体" w:eastAsia="仿宋_GB2312" w:cs="宋体"/>
                <w:snapToGrid w:val="0"/>
                <w:kern w:val="0"/>
                <w:sz w:val="24"/>
                <w:szCs w:val="24"/>
                <w:lang w:val="zh-CN"/>
              </w:rPr>
            </w:pPr>
            <w:r>
              <w:rPr>
                <w:rFonts w:hint="eastAsia"/>
              </w:rPr>
              <w:t>供应商应提供货物（货物需为原厂包装）运至项目现场所需要的包装，以防止设备在运输中损坏或丢失</w:t>
            </w:r>
          </w:p>
        </w:tc>
      </w:tr>
      <w:tr w14:paraId="11DF2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1F13DB52">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5</w:t>
            </w:r>
          </w:p>
        </w:tc>
        <w:tc>
          <w:tcPr>
            <w:tcW w:w="1603" w:type="dxa"/>
          </w:tcPr>
          <w:p w14:paraId="207FB607">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售后服务要求</w:t>
            </w:r>
          </w:p>
        </w:tc>
        <w:tc>
          <w:tcPr>
            <w:tcW w:w="940" w:type="dxa"/>
          </w:tcPr>
          <w:p w14:paraId="5E76F026">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tcPr>
          <w:p w14:paraId="64364AC4">
            <w:pPr>
              <w:widowControl/>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r>
              <w:rPr>
                <w:rFonts w:hint="eastAsia"/>
              </w:rPr>
              <w:t>电话报修后</w:t>
            </w:r>
            <w:r>
              <w:t>24</w:t>
            </w:r>
            <w:r>
              <w:rPr>
                <w:rFonts w:hint="eastAsia"/>
              </w:rPr>
              <w:t>小时响应，48 小时上门服务、72 小时内排除故障或找到解决方案。</w:t>
            </w:r>
            <w:r>
              <w:t>所有硬件过免费保修期后、所有软件过免费保修升级期后继续提供技术支持，硬件优惠收取配件费用（参考投标所列价格或合同签订时的价格进行折扣优惠），软件优惠进行维修升级，响应速度同保修期响应速度</w:t>
            </w:r>
            <w:r>
              <w:rPr>
                <w:rFonts w:hint="eastAsia"/>
              </w:rPr>
              <w:t>。</w:t>
            </w:r>
          </w:p>
        </w:tc>
      </w:tr>
      <w:tr w14:paraId="72BA0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39846AFE">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rPr>
              <w:t>6</w:t>
            </w:r>
          </w:p>
        </w:tc>
        <w:tc>
          <w:tcPr>
            <w:tcW w:w="1603" w:type="dxa"/>
          </w:tcPr>
          <w:p w14:paraId="28096C1D">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安装调试</w:t>
            </w:r>
          </w:p>
        </w:tc>
        <w:tc>
          <w:tcPr>
            <w:tcW w:w="940" w:type="dxa"/>
          </w:tcPr>
          <w:p w14:paraId="0C856636">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74AED8A4">
            <w:pPr>
              <w:widowControl/>
              <w:autoSpaceDE w:val="0"/>
              <w:autoSpaceDN w:val="0"/>
              <w:adjustRightInd w:val="0"/>
              <w:snapToGrid w:val="0"/>
              <w:rPr>
                <w:rFonts w:hint="eastAsia" w:ascii="仿宋_GB2312" w:hAnsi="宋体" w:eastAsia="仿宋_GB2312" w:cs="宋体"/>
                <w:i/>
                <w:snapToGrid w:val="0"/>
                <w:kern w:val="0"/>
                <w:sz w:val="24"/>
                <w:szCs w:val="24"/>
                <w:lang w:val="zh-CN"/>
              </w:rPr>
            </w:pPr>
            <w:r>
              <w:rPr>
                <w:rFonts w:hint="eastAsia"/>
              </w:rPr>
              <w:t>安装和调试过程中需要的专用器具和其他物资由供应商负责，采购人负责相应的现场协调等方面的协调配合工作。安装与调试所产生费用由供应商承担</w:t>
            </w:r>
          </w:p>
        </w:tc>
      </w:tr>
      <w:tr w14:paraId="2B918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64A53D5F">
            <w:pPr>
              <w:autoSpaceDE w:val="0"/>
              <w:autoSpaceDN w:val="0"/>
              <w:adjustRightInd w:val="0"/>
              <w:snapToGrid w:val="0"/>
              <w:jc w:val="center"/>
              <w:rPr>
                <w:rFonts w:hint="eastAsia" w:ascii="仿宋_GB2312" w:hAnsi="宋体" w:eastAsia="仿宋_GB2312" w:cs="宋体"/>
                <w:snapToGrid w:val="0"/>
                <w:kern w:val="0"/>
                <w:sz w:val="24"/>
                <w:szCs w:val="24"/>
              </w:rPr>
            </w:pPr>
            <w:r>
              <w:t>7</w:t>
            </w:r>
          </w:p>
        </w:tc>
        <w:tc>
          <w:tcPr>
            <w:tcW w:w="1603" w:type="dxa"/>
          </w:tcPr>
          <w:p w14:paraId="323057EE">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培训要求</w:t>
            </w:r>
          </w:p>
        </w:tc>
        <w:tc>
          <w:tcPr>
            <w:tcW w:w="940" w:type="dxa"/>
          </w:tcPr>
          <w:p w14:paraId="03AA06F4">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t>/</w:t>
            </w:r>
          </w:p>
        </w:tc>
        <w:tc>
          <w:tcPr>
            <w:tcW w:w="5237" w:type="dxa"/>
          </w:tcPr>
          <w:p w14:paraId="2CD968AD">
            <w:pPr>
              <w:widowControl/>
              <w:autoSpaceDE w:val="0"/>
              <w:autoSpaceDN w:val="0"/>
              <w:adjustRightInd w:val="0"/>
              <w:snapToGrid w:val="0"/>
              <w:rPr>
                <w:rFonts w:hint="eastAsia" w:ascii="仿宋_GB2312" w:hAnsi="宋体" w:eastAsia="仿宋_GB2312" w:cs="宋体"/>
                <w:i/>
                <w:snapToGrid w:val="0"/>
                <w:kern w:val="0"/>
                <w:sz w:val="24"/>
                <w:szCs w:val="24"/>
                <w:lang w:val="zh-CN"/>
              </w:rPr>
            </w:pPr>
            <w:r>
              <w:rPr>
                <w:rFonts w:hint="eastAsia"/>
              </w:rPr>
              <w:t>单台设备提供不少于</w:t>
            </w:r>
            <w:r>
              <w:t xml:space="preserve"> 2 </w:t>
            </w:r>
            <w:r>
              <w:rPr>
                <w:rFonts w:hint="eastAsia"/>
              </w:rPr>
              <w:t>天现场培训，每台设备配套不少于</w:t>
            </w:r>
            <w:r>
              <w:t xml:space="preserve"> 4 </w:t>
            </w:r>
            <w:r>
              <w:rPr>
                <w:rFonts w:hint="eastAsia"/>
              </w:rPr>
              <w:t>人次</w:t>
            </w:r>
            <w:r>
              <w:rPr>
                <w:rFonts w:hint="eastAsia" w:ascii="微软雅黑" w:hAnsi="微软雅黑" w:eastAsia="微软雅黑" w:cs="微软雅黑"/>
              </w:rPr>
              <w:t>・</w:t>
            </w:r>
            <w:r>
              <w:rPr>
                <w:rFonts w:hint="eastAsia" w:ascii="等线" w:hAnsi="等线" w:eastAsia="等线" w:cs="等线"/>
              </w:rPr>
              <w:t>天的原厂操作培训（含理论</w:t>
            </w:r>
            <w:r>
              <w:t xml:space="preserve"> + </w:t>
            </w:r>
            <w:r>
              <w:rPr>
                <w:rFonts w:hint="eastAsia"/>
              </w:rPr>
              <w:t>实操），交通等与培训相关的费用均由成交供应商承担</w:t>
            </w:r>
          </w:p>
        </w:tc>
      </w:tr>
      <w:tr w14:paraId="5729D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09892E35">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8</w:t>
            </w:r>
          </w:p>
        </w:tc>
        <w:tc>
          <w:tcPr>
            <w:tcW w:w="1603" w:type="dxa"/>
          </w:tcPr>
          <w:p w14:paraId="6EBE6CA3">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验收标准</w:t>
            </w:r>
          </w:p>
        </w:tc>
        <w:tc>
          <w:tcPr>
            <w:tcW w:w="940" w:type="dxa"/>
          </w:tcPr>
          <w:p w14:paraId="1A5A8AB3">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1E87B4A5">
            <w:pPr>
              <w:widowControl/>
              <w:autoSpaceDE w:val="0"/>
              <w:autoSpaceDN w:val="0"/>
              <w:adjustRightInd w:val="0"/>
              <w:snapToGrid w:val="0"/>
              <w:jc w:val="left"/>
              <w:rPr>
                <w:rFonts w:hint="eastAsia" w:ascii="仿宋_GB2312" w:hAnsi="宋体" w:eastAsia="仿宋_GB2312" w:cs="宋体"/>
                <w:snapToGrid w:val="0"/>
                <w:kern w:val="0"/>
                <w:sz w:val="24"/>
                <w:szCs w:val="24"/>
                <w:lang w:val="zh-CN"/>
              </w:rPr>
            </w:pPr>
            <w:r>
              <w:rPr>
                <w:rFonts w:hint="eastAsia"/>
              </w:rPr>
              <w:t>按照供应商响应文件及采购文件确定的技术和服务指标逐台进行验收</w:t>
            </w:r>
          </w:p>
        </w:tc>
      </w:tr>
      <w:tr w14:paraId="423AD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7B8D1971">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9</w:t>
            </w:r>
          </w:p>
        </w:tc>
        <w:tc>
          <w:tcPr>
            <w:tcW w:w="1603" w:type="dxa"/>
          </w:tcPr>
          <w:p w14:paraId="6F160EF7">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付款方式</w:t>
            </w:r>
          </w:p>
        </w:tc>
        <w:tc>
          <w:tcPr>
            <w:tcW w:w="940" w:type="dxa"/>
          </w:tcPr>
          <w:p w14:paraId="3C4910F1">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46B8FFD1">
            <w:pPr>
              <w:widowControl/>
              <w:autoSpaceDE w:val="0"/>
              <w:autoSpaceDN w:val="0"/>
              <w:adjustRightInd w:val="0"/>
              <w:snapToGrid w:val="0"/>
              <w:rPr>
                <w:rFonts w:hint="eastAsia" w:ascii="仿宋_GB2312" w:hAnsi="宋体" w:eastAsia="仿宋_GB2312" w:cs="宋体"/>
                <w:snapToGrid w:val="0"/>
                <w:kern w:val="0"/>
                <w:sz w:val="24"/>
                <w:szCs w:val="24"/>
                <w:lang w:val="zh-CN"/>
              </w:rPr>
            </w:pPr>
            <w:r>
              <w:rPr>
                <w:rFonts w:hint="eastAsia"/>
              </w:rPr>
              <w:t>单台仪器设备安装调试到位并验收合格后，支付至对应合同总金额的</w:t>
            </w:r>
            <w:r>
              <w:t>95%</w:t>
            </w:r>
            <w:r>
              <w:rPr>
                <w:rFonts w:hint="eastAsia"/>
              </w:rPr>
              <w:t>，余款在运行一年无质量问题后一次性付清。</w:t>
            </w:r>
            <w:r>
              <w:t>若中标人为中小企业，将落实《保障中小企业款项支付条例》</w:t>
            </w:r>
          </w:p>
        </w:tc>
      </w:tr>
      <w:tr w14:paraId="78039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66265AD8">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10</w:t>
            </w:r>
          </w:p>
        </w:tc>
        <w:tc>
          <w:tcPr>
            <w:tcW w:w="1603" w:type="dxa"/>
            <w:vAlign w:val="center"/>
          </w:tcPr>
          <w:p w14:paraId="68781098">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保险</w:t>
            </w:r>
          </w:p>
        </w:tc>
        <w:tc>
          <w:tcPr>
            <w:tcW w:w="940" w:type="dxa"/>
          </w:tcPr>
          <w:p w14:paraId="61218849">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tcPr>
          <w:p w14:paraId="5E763607">
            <w:pPr>
              <w:widowControl/>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p>
        </w:tc>
      </w:tr>
    </w:tbl>
    <w:p w14:paraId="44FB4EDB">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五、实现的政府采购政策目标</w:t>
      </w:r>
    </w:p>
    <w:p w14:paraId="780CF269">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（一）本项目须落实节约能源、保护环境、促进中小企业发展、支持创新等政府采购政策的描述。</w:t>
      </w:r>
    </w:p>
    <w:p w14:paraId="77B9DFF7">
      <w:pPr>
        <w:spacing w:line="360" w:lineRule="auto"/>
        <w:ind w:firstLine="493"/>
        <w:jc w:val="left"/>
        <w:rPr>
          <w:rFonts w:hint="eastAsia" w:ascii="仿宋_GB2312" w:hAnsi="宋体" w:eastAsia="仿宋_GB2312"/>
          <w:iCs/>
          <w:sz w:val="24"/>
          <w:szCs w:val="24"/>
        </w:rPr>
      </w:pPr>
      <w:r>
        <w:rPr>
          <w:rFonts w:ascii="仿宋_GB2312" w:hAnsi="宋体" w:eastAsia="仿宋_GB2312"/>
          <w:iCs/>
          <w:sz w:val="24"/>
          <w:szCs w:val="24"/>
        </w:rPr>
        <w:t>本项目须落实节约能源、保护环境、促进中小企业发展、支持创新等政府采购政策。优先采购纳入节能、环保品目清单的产品；支持中小企业平等参与采购活动；鼓励具备自主知识产权的技术创新产品参与竞争，推动科研仪器设备国产化应用。</w:t>
      </w:r>
    </w:p>
    <w:p w14:paraId="142A39FB">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（二）本项目为：</w:t>
      </w:r>
    </w:p>
    <w:p w14:paraId="32FF09C8">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√专门面向中小企业采购项目</w:t>
      </w:r>
    </w:p>
    <w:p w14:paraId="7D270EF3">
      <w:pPr>
        <w:spacing w:line="360" w:lineRule="auto"/>
        <w:ind w:firstLine="493"/>
        <w:jc w:val="left"/>
        <w:rPr>
          <w:rFonts w:hint="eastAsia"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5E75838D">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□非专门面向中小企业采购项目</w:t>
      </w:r>
    </w:p>
    <w:p w14:paraId="5D449B0D">
      <w:pPr>
        <w:spacing w:line="360" w:lineRule="auto"/>
        <w:ind w:firstLine="493"/>
        <w:jc w:val="left"/>
        <w:rPr>
          <w:rFonts w:hint="eastAsia" w:ascii="仿宋_GB2312" w:hAnsi="宋体" w:eastAsia="仿宋_GB2312"/>
          <w:sz w:val="24"/>
          <w:szCs w:val="24"/>
          <w:u w:val="single"/>
        </w:rPr>
      </w:pPr>
      <w:r>
        <w:rPr>
          <w:rFonts w:hint="eastAsia" w:ascii="仿宋_GB2312" w:hAnsi="宋体" w:eastAsia="仿宋_GB2312"/>
          <w:sz w:val="24"/>
          <w:szCs w:val="24"/>
        </w:rPr>
        <w:t>（三）按中小企业划分标准所属行业：</w:t>
      </w:r>
      <w:r>
        <w:rPr>
          <w:rFonts w:hint="eastAsia" w:ascii="仿宋_GB2312" w:hAnsi="宋体" w:eastAsia="仿宋_GB2312"/>
          <w:sz w:val="24"/>
          <w:szCs w:val="24"/>
          <w:u w:val="single"/>
          <w:lang w:val="en-US" w:eastAsia="zh-CN"/>
        </w:rPr>
        <w:t>工</w:t>
      </w:r>
      <w:r>
        <w:rPr>
          <w:rFonts w:ascii="仿宋_GB2312" w:hAnsi="宋体" w:eastAsia="仿宋_GB2312"/>
          <w:sz w:val="24"/>
          <w:szCs w:val="24"/>
          <w:u w:val="single"/>
        </w:rPr>
        <w:t>业</w:t>
      </w:r>
      <w:r>
        <w:rPr>
          <w:rFonts w:hint="eastAsia" w:ascii="仿宋_GB2312" w:hAnsi="宋体" w:eastAsia="仿宋_GB2312"/>
          <w:sz w:val="24"/>
          <w:szCs w:val="24"/>
          <w:u w:val="single"/>
        </w:rPr>
        <w:t xml:space="preserve"> </w:t>
      </w:r>
      <w:r>
        <w:rPr>
          <w:rFonts w:hint="eastAsia" w:ascii="仿宋_GB2312" w:hAnsi="宋体" w:eastAsia="仿宋_GB2312"/>
          <w:sz w:val="24"/>
          <w:szCs w:val="24"/>
        </w:rPr>
        <w:t xml:space="preserve">    </w:t>
      </w:r>
    </w:p>
    <w:p w14:paraId="2BFD31F7">
      <w:pPr>
        <w:spacing w:line="360" w:lineRule="auto"/>
        <w:jc w:val="left"/>
        <w:rPr>
          <w:rFonts w:hint="eastAsia" w:ascii="仿宋_GB2312" w:hAnsi="宋体" w:eastAsia="仿宋_GB2312"/>
          <w:sz w:val="24"/>
          <w:szCs w:val="24"/>
        </w:rPr>
      </w:pPr>
    </w:p>
    <w:p w14:paraId="2B72AE51">
      <w:pPr>
        <w:pStyle w:val="2"/>
      </w:pPr>
    </w:p>
    <w:p w14:paraId="69962E3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BB7EF76-F2EC-4ACE-AAF0-61677568ED93}"/>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3CE7C52F-117F-45ED-A0E3-97A05282C17E}"/>
  </w:font>
  <w:font w:name="Calibri Light">
    <w:panose1 w:val="020F03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embedRegular r:id="rId3" w:fontKey="{4D8A064D-9370-4357-BCD2-327D3BC794B2}"/>
  </w:font>
  <w:font w:name="仿宋">
    <w:panose1 w:val="02010609060101010101"/>
    <w:charset w:val="86"/>
    <w:family w:val="modern"/>
    <w:pitch w:val="default"/>
    <w:sig w:usb0="800002BF" w:usb1="38CF7CFA" w:usb2="00000016" w:usb3="00000000" w:csb0="00040001" w:csb1="00000000"/>
    <w:embedRegular r:id="rId4" w:fontKey="{63A24F72-DDBF-409C-A10F-67CBF8C5C99B}"/>
  </w:font>
  <w:font w:name="方正小标宋简体">
    <w:panose1 w:val="02010600010101010101"/>
    <w:charset w:val="86"/>
    <w:family w:val="script"/>
    <w:pitch w:val="default"/>
    <w:sig w:usb0="00000001" w:usb1="080E0000" w:usb2="00000000" w:usb3="00000000" w:csb0="00040000" w:csb1="00000000"/>
    <w:embedRegular r:id="rId5" w:fontKey="{40767CBF-2AB8-4D13-AD45-C83F8DD6E06A}"/>
  </w:font>
  <w:font w:name="Cambria">
    <w:panose1 w:val="02040503050406030204"/>
    <w:charset w:val="00"/>
    <w:family w:val="roman"/>
    <w:pitch w:val="default"/>
    <w:sig w:usb0="E00006FF" w:usb1="420024FF" w:usb2="02000000" w:usb3="00000000" w:csb0="2000019F" w:csb1="00000000"/>
    <w:embedRegular r:id="rId6" w:fontKey="{83AD00A9-551A-4871-9756-8CA42D68EFD5}"/>
  </w:font>
  <w:font w:name="Wingdings 2">
    <w:altName w:val="Wingdings"/>
    <w:panose1 w:val="05020102010507070707"/>
    <w:charset w:val="02"/>
    <w:family w:val="roman"/>
    <w:pitch w:val="default"/>
    <w:sig w:usb0="00000000" w:usb1="00000000" w:usb2="00000000" w:usb3="00000000" w:csb0="80000000" w:csb1="00000000"/>
    <w:embedRegular r:id="rId7" w:fontKey="{8B3E1ABD-B58F-44CD-9625-BA5805F9BE29}"/>
  </w:font>
  <w:font w:name="Segoe UI Symbol">
    <w:panose1 w:val="020B0502040204020203"/>
    <w:charset w:val="00"/>
    <w:family w:val="swiss"/>
    <w:pitch w:val="default"/>
    <w:sig w:usb0="800001E3" w:usb1="1200FFEF" w:usb2="00040000" w:usb3="04000000" w:csb0="00000001" w:csb1="40000000"/>
    <w:embedRegular r:id="rId8" w:fontKey="{8D2981B8-0A50-4EFB-9B5C-95A8813869A3}"/>
  </w:font>
  <w:font w:name="微软雅黑">
    <w:panose1 w:val="020B0503020204020204"/>
    <w:charset w:val="86"/>
    <w:family w:val="swiss"/>
    <w:pitch w:val="default"/>
    <w:sig w:usb0="80000287" w:usb1="2ACF3C50" w:usb2="00000016" w:usb3="00000000" w:csb0="0004001F" w:csb1="00000000"/>
    <w:embedRegular r:id="rId9" w:fontKey="{5233D9AD-C03E-4629-8394-E9D109AE48EE}"/>
  </w:font>
  <w:font w:name="等线">
    <w:panose1 w:val="02010600030101010101"/>
    <w:charset w:val="86"/>
    <w:family w:val="auto"/>
    <w:pitch w:val="default"/>
    <w:sig w:usb0="A00002BF" w:usb1="38CF7CFA" w:usb2="00000016" w:usb3="00000000" w:csb0="0004000F" w:csb1="00000000"/>
    <w:embedRegular r:id="rId10" w:fontKey="{6EE46069-BAFA-46A8-B1EC-B444510BF532}"/>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654CC0"/>
    <w:multiLevelType w:val="multilevel"/>
    <w:tmpl w:val="16654CC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357A56C8"/>
    <w:multiLevelType w:val="multilevel"/>
    <w:tmpl w:val="357A56C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zMjg5ZTk0ZmI5MWFhNTcyMmY3YTlmN2Y3NmI0YzkifQ=="/>
  </w:docVars>
  <w:rsids>
    <w:rsidRoot w:val="5DAD333C"/>
    <w:rsid w:val="0010215F"/>
    <w:rsid w:val="00183E6C"/>
    <w:rsid w:val="002C42EB"/>
    <w:rsid w:val="00496646"/>
    <w:rsid w:val="00573381"/>
    <w:rsid w:val="005B0DA5"/>
    <w:rsid w:val="007760BF"/>
    <w:rsid w:val="009B2443"/>
    <w:rsid w:val="009B2EA4"/>
    <w:rsid w:val="00B64CD5"/>
    <w:rsid w:val="00C206E0"/>
    <w:rsid w:val="00CF3447"/>
    <w:rsid w:val="00D0378D"/>
    <w:rsid w:val="00D03D8A"/>
    <w:rsid w:val="00DA1DFF"/>
    <w:rsid w:val="00DC468F"/>
    <w:rsid w:val="00EF1EB9"/>
    <w:rsid w:val="00F73742"/>
    <w:rsid w:val="00F945A8"/>
    <w:rsid w:val="049E7EB1"/>
    <w:rsid w:val="3D9B1E59"/>
    <w:rsid w:val="5BB77153"/>
    <w:rsid w:val="5DAD33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4"/>
    <w:qFormat/>
    <w:uiPriority w:val="0"/>
    <w:pPr>
      <w:jc w:val="left"/>
    </w:p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tabs>
        <w:tab w:val="center" w:pos="4153"/>
        <w:tab w:val="right" w:pos="8306"/>
      </w:tabs>
      <w:snapToGrid w:val="0"/>
      <w:jc w:val="center"/>
    </w:pPr>
    <w:rPr>
      <w:sz w:val="18"/>
      <w:szCs w:val="18"/>
    </w:rPr>
  </w:style>
  <w:style w:type="character" w:styleId="9">
    <w:name w:val="Strong"/>
    <w:basedOn w:val="8"/>
    <w:qFormat/>
    <w:uiPriority w:val="22"/>
    <w:rPr>
      <w:b/>
      <w:bCs/>
    </w:rPr>
  </w:style>
  <w:style w:type="character" w:styleId="10">
    <w:name w:val="annotation reference"/>
    <w:basedOn w:val="8"/>
    <w:qFormat/>
    <w:uiPriority w:val="0"/>
    <w:rPr>
      <w:sz w:val="21"/>
      <w:szCs w:val="21"/>
    </w:rPr>
  </w:style>
  <w:style w:type="character" w:customStyle="1" w:styleId="11">
    <w:name w:val="页眉 字符"/>
    <w:basedOn w:val="8"/>
    <w:link w:val="6"/>
    <w:qFormat/>
    <w:uiPriority w:val="0"/>
    <w:rPr>
      <w:kern w:val="2"/>
      <w:sz w:val="18"/>
      <w:szCs w:val="18"/>
    </w:rPr>
  </w:style>
  <w:style w:type="character" w:customStyle="1" w:styleId="12">
    <w:name w:val="页脚 字符"/>
    <w:basedOn w:val="8"/>
    <w:link w:val="5"/>
    <w:qFormat/>
    <w:uiPriority w:val="0"/>
    <w:rPr>
      <w:kern w:val="2"/>
      <w:sz w:val="18"/>
      <w:szCs w:val="18"/>
    </w:rPr>
  </w:style>
  <w:style w:type="paragraph" w:styleId="13">
    <w:name w:val="List Paragraph"/>
    <w:basedOn w:val="1"/>
    <w:unhideWhenUsed/>
    <w:qFormat/>
    <w:uiPriority w:val="99"/>
    <w:pPr>
      <w:ind w:firstLine="420" w:firstLineChars="200"/>
    </w:pPr>
  </w:style>
  <w:style w:type="character" w:customStyle="1" w:styleId="14">
    <w:name w:val="批注文字 字符"/>
    <w:basedOn w:val="8"/>
    <w:link w:val="4"/>
    <w:qFormat/>
    <w:uiPriority w:val="0"/>
    <w:rPr>
      <w:kern w:val="2"/>
      <w:sz w:val="21"/>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1522</Words>
  <Characters>1537</Characters>
  <Lines>364</Lines>
  <Paragraphs>276</Paragraphs>
  <TotalTime>0</TotalTime>
  <ScaleCrop>false</ScaleCrop>
  <LinksUpToDate>false</LinksUpToDate>
  <CharactersWithSpaces>1596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2026-08-20T09:39:00Z</dcterms:created>
  <dc:creator>姜忠保</dc:creator>
  <cp:lastModifiedBy>dd</cp:lastModifiedBy>
  <dcterms:modified xsi:type="dcterms:W3CDTF">2026-08-21T03:05:39Z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CE4504FB34874B5B80A3FD09D1392145_11</vt:lpwstr>
  </property>
  <property fmtid="{D5CDD505-2E9C-101B-9397-08002B2CF9AE}" pid="4" name="KSOTemplateDocerSaveRecord">
    <vt:lpwstr>eyJoZGlkIjoiYzVlYmI3M2M4OWE3YWUyYTVmNWVhOGI1NmY0NTYxMTciLCJ1c2VySWQiOiIxNTM1ODk5ODk4In0=</vt:lpwstr>
  </property>
</Properties>
</file>