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A1C3A">
      <w:pPr>
        <w:widowControl/>
        <w:adjustRightInd w:val="0"/>
        <w:snapToGrid w:val="0"/>
        <w:spacing w:line="600" w:lineRule="exact"/>
        <w:jc w:val="left"/>
        <w:outlineLvl w:val="1"/>
        <w:rPr>
          <w:rFonts w:hint="eastAsia"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5709C6F1">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2D21FEA4">
      <w:pPr>
        <w:pStyle w:val="3"/>
        <w:spacing w:before="0" w:after="0" w:line="360" w:lineRule="auto"/>
        <w:jc w:val="center"/>
        <w:rPr>
          <w:rFonts w:hint="eastAsia" w:ascii="宋体" w:hAnsi="宋体"/>
          <w:szCs w:val="28"/>
        </w:rPr>
      </w:pPr>
    </w:p>
    <w:p w14:paraId="0C32B36C">
      <w:pPr>
        <w:pStyle w:val="3"/>
        <w:spacing w:before="0" w:after="0" w:line="360" w:lineRule="auto"/>
        <w:jc w:val="center"/>
        <w:rPr>
          <w:rFonts w:hint="eastAsia" w:ascii="宋体" w:hAnsi="宋体"/>
          <w:szCs w:val="28"/>
        </w:rPr>
      </w:pPr>
    </w:p>
    <w:p w14:paraId="1019E18C"/>
    <w:p w14:paraId="4BEE6AE3">
      <w:pPr>
        <w:rPr>
          <w:rFonts w:hint="eastAsia" w:ascii="宋体" w:hAnsi="宋体"/>
          <w:szCs w:val="28"/>
        </w:rPr>
      </w:pPr>
    </w:p>
    <w:p w14:paraId="148754B1">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26C8D60E"/>
    <w:p w14:paraId="01C8A311">
      <w:pPr>
        <w:ind w:firstLine="1044" w:firstLineChars="400"/>
        <w:rPr>
          <w:rFonts w:hint="eastAsia" w:ascii="仿宋" w:hAnsi="仿宋" w:eastAsia="仿宋" w:cs="仿宋"/>
          <w:b/>
          <w:bCs/>
          <w:color w:val="000000"/>
          <w:kern w:val="0"/>
          <w:sz w:val="26"/>
          <w:szCs w:val="26"/>
          <w:shd w:val="clear" w:color="auto" w:fill="FFFFFF"/>
        </w:rPr>
      </w:pPr>
    </w:p>
    <w:p w14:paraId="09247DB3">
      <w:pPr>
        <w:ind w:firstLine="1044" w:firstLineChars="400"/>
        <w:rPr>
          <w:rFonts w:hint="eastAsia" w:ascii="仿宋" w:hAnsi="仿宋" w:eastAsia="仿宋" w:cs="仿宋"/>
          <w:b/>
          <w:bCs/>
          <w:color w:val="000000"/>
          <w:kern w:val="0"/>
          <w:sz w:val="26"/>
          <w:szCs w:val="26"/>
          <w:shd w:val="clear" w:color="auto" w:fill="FFFFFF"/>
        </w:rPr>
      </w:pPr>
    </w:p>
    <w:p w14:paraId="57F6EA2F">
      <w:pPr>
        <w:ind w:firstLine="1044" w:firstLineChars="400"/>
        <w:rPr>
          <w:rFonts w:hint="eastAsia" w:ascii="仿宋" w:hAnsi="仿宋" w:eastAsia="仿宋" w:cs="仿宋"/>
          <w:b/>
          <w:bCs/>
          <w:color w:val="000000"/>
          <w:kern w:val="0"/>
          <w:sz w:val="26"/>
          <w:szCs w:val="26"/>
          <w:shd w:val="clear" w:color="auto" w:fill="FFFFFF"/>
        </w:rPr>
      </w:pPr>
    </w:p>
    <w:p w14:paraId="5BDE1441">
      <w:pPr>
        <w:spacing w:line="720" w:lineRule="auto"/>
        <w:ind w:firstLine="2108" w:firstLineChars="659"/>
        <w:rPr>
          <w:rFonts w:hint="eastAsia" w:cs="Cambria" w:asciiTheme="minorEastAsia" w:hAnsiTheme="minorEastAsia"/>
          <w:color w:val="000000"/>
          <w:kern w:val="0"/>
          <w:sz w:val="24"/>
          <w:szCs w:val="24"/>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r>
        <w:rPr>
          <w:rFonts w:hint="eastAsia" w:cs="Cambria" w:asciiTheme="minorEastAsia" w:hAnsiTheme="minorEastAsia"/>
          <w:color w:val="000000"/>
          <w:kern w:val="0"/>
          <w:sz w:val="24"/>
          <w:szCs w:val="24"/>
          <w:u w:val="single"/>
          <w:shd w:val="clear" w:color="auto" w:fill="FFFFFF"/>
          <w:lang w:val="en-US" w:eastAsia="zh-CN"/>
        </w:rPr>
        <w:t>中国地质大学（武汉）</w:t>
      </w:r>
      <w:r>
        <w:rPr>
          <w:rFonts w:hint="eastAsia" w:cs="Cambria" w:asciiTheme="minorEastAsia" w:hAnsiTheme="minorEastAsia"/>
          <w:color w:val="000000"/>
          <w:kern w:val="0"/>
          <w:sz w:val="24"/>
          <w:szCs w:val="24"/>
          <w:u w:val="single"/>
          <w:shd w:val="clear" w:color="auto" w:fill="FFFFFF"/>
        </w:rPr>
        <w:t>光谱</w:t>
      </w:r>
    </w:p>
    <w:p w14:paraId="3682F9B6">
      <w:pPr>
        <w:spacing w:line="720" w:lineRule="auto"/>
        <w:ind w:firstLine="3741" w:firstLineChars="1559"/>
        <w:rPr>
          <w:rFonts w:hint="eastAsia" w:cs="Calibri" w:asciiTheme="minorEastAsia" w:hAnsiTheme="minorEastAsia"/>
          <w:color w:val="000000"/>
          <w:kern w:val="0"/>
          <w:sz w:val="24"/>
          <w:szCs w:val="24"/>
          <w:u w:val="single"/>
          <w:shd w:val="clear" w:color="auto" w:fill="FFFFFF"/>
        </w:rPr>
      </w:pPr>
      <w:r>
        <w:rPr>
          <w:rFonts w:hint="eastAsia" w:cs="Cambria" w:asciiTheme="minorEastAsia" w:hAnsiTheme="minorEastAsia"/>
          <w:color w:val="000000"/>
          <w:kern w:val="0"/>
          <w:sz w:val="24"/>
          <w:szCs w:val="24"/>
          <w:u w:val="single"/>
          <w:shd w:val="clear" w:color="auto" w:fill="FFFFFF"/>
        </w:rPr>
        <w:t xml:space="preserve">仪类设备购置  </w:t>
      </w:r>
      <w:r>
        <w:rPr>
          <w:rFonts w:hint="eastAsia" w:cs="Cambria" w:asciiTheme="minorEastAsia" w:hAnsiTheme="minorEastAsia"/>
          <w:color w:val="000000"/>
          <w:kern w:val="0"/>
          <w:sz w:val="24"/>
          <w:szCs w:val="24"/>
          <w:u w:val="single"/>
          <w:shd w:val="clear" w:color="auto" w:fill="FFFFFF"/>
          <w:lang w:val="en-US" w:eastAsia="zh-CN"/>
        </w:rPr>
        <w:t xml:space="preserve">         </w:t>
      </w:r>
      <w:r>
        <w:rPr>
          <w:rFonts w:hint="eastAsia" w:cs="Cambria" w:asciiTheme="minorEastAsia" w:hAnsiTheme="minorEastAsia"/>
          <w:color w:val="000000"/>
          <w:kern w:val="0"/>
          <w:sz w:val="24"/>
          <w:szCs w:val="24"/>
          <w:u w:val="single"/>
          <w:shd w:val="clear" w:color="auto" w:fill="FFFFFF"/>
        </w:rPr>
        <w:t xml:space="preserve">  </w:t>
      </w:r>
    </w:p>
    <w:p w14:paraId="59B29435">
      <w:pPr>
        <w:spacing w:line="720" w:lineRule="auto"/>
        <w:ind w:firstLine="2108" w:firstLineChars="659"/>
        <w:rPr>
          <w:rFonts w:hint="eastAsia" w:cs="Cambria" w:asciiTheme="minorEastAsia" w:hAnsiTheme="minorEastAsia"/>
          <w:color w:val="000000"/>
          <w:kern w:val="0"/>
          <w:sz w:val="24"/>
          <w:szCs w:val="24"/>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 xml:space="preserve">  </w:t>
      </w:r>
      <w:r>
        <w:rPr>
          <w:rFonts w:hint="eastAsia" w:cs="Cambria" w:asciiTheme="minorEastAsia" w:hAnsiTheme="minorEastAsia"/>
          <w:color w:val="000000"/>
          <w:kern w:val="0"/>
          <w:sz w:val="24"/>
          <w:szCs w:val="24"/>
          <w:u w:val="single"/>
          <w:shd w:val="clear" w:color="auto" w:fill="FFFFFF"/>
        </w:rPr>
        <w:t xml:space="preserve">地球与行星科学学院   </w:t>
      </w:r>
    </w:p>
    <w:p w14:paraId="32EC8DF8">
      <w:pPr>
        <w:spacing w:line="720" w:lineRule="auto"/>
        <w:ind w:firstLine="2108" w:firstLineChars="659"/>
        <w:rPr>
          <w:rFonts w:hint="eastAsia" w:ascii="方正小标宋简体" w:hAnsi="方正小标宋简体" w:eastAsia="方正小标宋简体" w:cs="Calibri"/>
          <w:color w:val="000000"/>
          <w:kern w:val="0"/>
          <w:sz w:val="24"/>
          <w:szCs w:val="24"/>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24"/>
          <w:szCs w:val="24"/>
          <w:u w:val="single"/>
          <w:shd w:val="clear" w:color="auto" w:fill="FFFFFF"/>
        </w:rPr>
        <w:t>     </w:t>
      </w:r>
      <w:r>
        <w:rPr>
          <w:rFonts w:hint="eastAsia" w:ascii="Cambria" w:hAnsi="Cambria" w:eastAsia="方正小标宋简体" w:cs="Cambria"/>
          <w:color w:val="000000"/>
          <w:kern w:val="0"/>
          <w:sz w:val="24"/>
          <w:szCs w:val="24"/>
          <w:u w:val="single"/>
          <w:shd w:val="clear" w:color="auto" w:fill="FFFFFF"/>
        </w:rPr>
        <w:t xml:space="preserve">      </w:t>
      </w:r>
      <w:r>
        <w:rPr>
          <w:rFonts w:ascii="Times New Roman" w:hAnsi="Times New Roman" w:eastAsia="方正小标宋简体" w:cs="Times New Roman"/>
          <w:color w:val="000000"/>
          <w:kern w:val="0"/>
          <w:sz w:val="24"/>
          <w:szCs w:val="24"/>
          <w:u w:val="single"/>
          <w:shd w:val="clear" w:color="auto" w:fill="FFFFFF"/>
        </w:rPr>
        <w:t>2026.0</w:t>
      </w:r>
      <w:r>
        <w:rPr>
          <w:rFonts w:hint="eastAsia" w:ascii="Times New Roman" w:hAnsi="Times New Roman" w:eastAsia="方正小标宋简体" w:cs="Times New Roman"/>
          <w:color w:val="000000"/>
          <w:kern w:val="0"/>
          <w:sz w:val="24"/>
          <w:szCs w:val="24"/>
          <w:u w:val="single"/>
          <w:shd w:val="clear" w:color="auto" w:fill="FFFFFF"/>
        </w:rPr>
        <w:t>8</w:t>
      </w:r>
      <w:r>
        <w:rPr>
          <w:rFonts w:ascii="Times New Roman" w:hAnsi="Times New Roman" w:eastAsia="方正小标宋简体" w:cs="Times New Roman"/>
          <w:color w:val="000000"/>
          <w:kern w:val="0"/>
          <w:sz w:val="24"/>
          <w:szCs w:val="24"/>
          <w:u w:val="single"/>
          <w:shd w:val="clear" w:color="auto" w:fill="FFFFFF"/>
        </w:rPr>
        <w:t>.</w:t>
      </w:r>
      <w:r>
        <w:rPr>
          <w:rFonts w:hint="eastAsia" w:ascii="Times New Roman" w:hAnsi="Times New Roman" w:eastAsia="方正小标宋简体" w:cs="Times New Roman"/>
          <w:color w:val="000000"/>
          <w:kern w:val="0"/>
          <w:sz w:val="24"/>
          <w:szCs w:val="24"/>
          <w:u w:val="single"/>
          <w:shd w:val="clear" w:color="auto" w:fill="FFFFFF"/>
        </w:rPr>
        <w:t>18</w:t>
      </w:r>
      <w:r>
        <w:rPr>
          <w:rFonts w:ascii="Cambria" w:hAnsi="Cambria" w:eastAsia="方正小标宋简体" w:cs="Cambria"/>
          <w:color w:val="000000"/>
          <w:kern w:val="0"/>
          <w:sz w:val="24"/>
          <w:szCs w:val="24"/>
          <w:u w:val="single"/>
          <w:shd w:val="clear" w:color="auto" w:fill="FFFFFF"/>
        </w:rPr>
        <w:t>   </w:t>
      </w:r>
      <w:r>
        <w:rPr>
          <w:rFonts w:hint="eastAsia" w:ascii="Cambria" w:hAnsi="Cambria" w:eastAsia="方正小标宋简体" w:cs="Cambria"/>
          <w:color w:val="000000"/>
          <w:kern w:val="0"/>
          <w:sz w:val="24"/>
          <w:szCs w:val="24"/>
          <w:u w:val="single"/>
          <w:shd w:val="clear" w:color="auto" w:fill="FFFFFF"/>
        </w:rPr>
        <w:t xml:space="preserve">      </w:t>
      </w:r>
      <w:r>
        <w:rPr>
          <w:rFonts w:ascii="Cambria" w:hAnsi="Cambria" w:eastAsia="方正小标宋简体" w:cs="Cambria"/>
          <w:color w:val="000000"/>
          <w:kern w:val="0"/>
          <w:sz w:val="24"/>
          <w:szCs w:val="24"/>
          <w:u w:val="single"/>
          <w:shd w:val="clear" w:color="auto" w:fill="FFFFFF"/>
        </w:rPr>
        <w:t> </w:t>
      </w:r>
    </w:p>
    <w:p w14:paraId="380F3F55">
      <w:pPr>
        <w:rPr>
          <w:rFonts w:hint="eastAsia" w:ascii="宋体" w:hAnsi="宋体"/>
          <w:color w:val="FF0000"/>
          <w:sz w:val="28"/>
          <w:szCs w:val="28"/>
        </w:rPr>
      </w:pPr>
    </w:p>
    <w:p w14:paraId="3BFD6A5C">
      <w:pPr>
        <w:rPr>
          <w:rFonts w:hint="eastAsia" w:ascii="宋体" w:hAnsi="宋体"/>
          <w:color w:val="FF0000"/>
          <w:sz w:val="28"/>
          <w:szCs w:val="28"/>
        </w:rPr>
      </w:pPr>
    </w:p>
    <w:p w14:paraId="03E61408">
      <w:pPr>
        <w:rPr>
          <w:rFonts w:hint="eastAsia" w:ascii="宋体" w:hAnsi="宋体"/>
          <w:color w:val="FF0000"/>
          <w:sz w:val="28"/>
          <w:szCs w:val="28"/>
        </w:rPr>
      </w:pPr>
    </w:p>
    <w:p w14:paraId="2C9B2AC2">
      <w:pPr>
        <w:rPr>
          <w:rFonts w:hint="eastAsia" w:ascii="宋体" w:hAnsi="宋体"/>
          <w:color w:val="FF0000"/>
          <w:sz w:val="28"/>
          <w:szCs w:val="28"/>
        </w:rPr>
      </w:pPr>
    </w:p>
    <w:p w14:paraId="57C422A0">
      <w:pPr>
        <w:jc w:val="center"/>
        <w:rPr>
          <w:rFonts w:hint="eastAsia" w:ascii="方正小标宋简体" w:hAnsi="方正小标宋简体" w:eastAsia="方正小标宋简体" w:cs="仿宋"/>
          <w:color w:val="000000"/>
          <w:kern w:val="0"/>
          <w:sz w:val="32"/>
          <w:szCs w:val="32"/>
          <w:shd w:val="clear" w:color="auto" w:fill="FFFFFF"/>
        </w:rPr>
      </w:pPr>
    </w:p>
    <w:p w14:paraId="1A713F46">
      <w:pPr>
        <w:widowControl/>
        <w:jc w:val="left"/>
        <w:rPr>
          <w:rFonts w:hint="eastAsia"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05953088">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47738B8D">
      <w:pPr>
        <w:widowControl/>
        <w:spacing w:line="560" w:lineRule="atLeast"/>
        <w:ind w:firstLine="640"/>
        <w:jc w:val="left"/>
        <w:rPr>
          <w:rFonts w:hint="eastAsia" w:ascii="宋体" w:hAnsi="宋体" w:cs="仿宋"/>
          <w:color w:val="000000"/>
          <w:kern w:val="0"/>
          <w:sz w:val="28"/>
          <w:szCs w:val="28"/>
          <w:shd w:val="clear" w:color="auto" w:fill="FFFFFF"/>
        </w:rPr>
      </w:pPr>
    </w:p>
    <w:p w14:paraId="36BD7844">
      <w:pPr>
        <w:widowControl/>
        <w:spacing w:line="560" w:lineRule="atLeast"/>
        <w:ind w:firstLine="64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1DBB8C97">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3F0D4610">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7B45990B">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380D34E8"/>
    <w:p w14:paraId="6DB37023">
      <w:pPr>
        <w:spacing w:line="360" w:lineRule="auto"/>
      </w:pPr>
    </w:p>
    <w:p w14:paraId="17E1CFF9">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CF4549B">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545E8D48">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A5EEE3A">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6E61691">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3FC76F1">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76BD337">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E92D2B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61ABEDA2">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BC8509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6EC9A565">
      <w:pPr>
        <w:widowControl/>
        <w:shd w:val="clear" w:color="auto" w:fill="FFFFFF"/>
        <w:spacing w:line="360" w:lineRule="auto"/>
        <w:jc w:val="left"/>
        <w:rPr>
          <w:rFonts w:hint="eastAsia" w:ascii="宋体" w:hAnsi="宋体" w:cs="Arial"/>
          <w:b/>
          <w:color w:val="333333"/>
          <w:kern w:val="0"/>
          <w:sz w:val="28"/>
          <w:szCs w:val="28"/>
        </w:rPr>
      </w:pPr>
    </w:p>
    <w:p w14:paraId="48DB1864">
      <w:pPr>
        <w:pStyle w:val="10"/>
        <w:widowControl/>
        <w:numPr>
          <w:ilvl w:val="0"/>
          <w:numId w:val="1"/>
        </w:numPr>
        <w:ind w:firstLineChars="0"/>
        <w:jc w:val="left"/>
        <w:rPr>
          <w:rFonts w:hint="eastAsia"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仿宋_GB2312" w:hAnsi="宋体" w:eastAsia="仿宋_GB2312" w:cs="仿宋"/>
          <w:b/>
          <w:color w:val="000000"/>
          <w:kern w:val="0"/>
          <w:sz w:val="32"/>
          <w:szCs w:val="28"/>
          <w:shd w:val="clear" w:color="auto" w:fill="FFFFFF"/>
        </w:rPr>
        <w:t>项目概况</w:t>
      </w:r>
    </w:p>
    <w:p w14:paraId="1843822E">
      <w:pPr>
        <w:widowControl/>
        <w:spacing w:line="360" w:lineRule="auto"/>
        <w:jc w:val="left"/>
        <w:rPr>
          <w:rFonts w:hint="eastAsia"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（一）、项目背景</w:t>
      </w:r>
    </w:p>
    <w:p w14:paraId="70E5EDFB">
      <w:pPr>
        <w:widowControl/>
        <w:spacing w:line="360" w:lineRule="auto"/>
        <w:ind w:firstLine="480" w:firstLineChars="200"/>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Cs/>
          <w:color w:val="000000"/>
          <w:kern w:val="0"/>
          <w:sz w:val="24"/>
          <w:szCs w:val="24"/>
          <w:shd w:val="clear" w:color="auto" w:fill="FFFFFF"/>
        </w:rPr>
        <w:t>本项目为 “面向地球系统科学的地质学类拔尖人才培养实训基地设备更新项目”的核心组成部分。当前，地球科学正由传统单学科研究与教学向大气圈、水圈、生物圈、岩石圈及人类圈多圈层交叉融合的地球系统科学范式转变。无论是野外地质调查、矿物岩石微区鉴定、环境元素形态分析，还是行星物质演化与遥感光谱遥测，均对快速、微区、无损及高精度的光谱分析技术提出了更高要求。</w:t>
      </w:r>
    </w:p>
    <w:p w14:paraId="3FE7BD21">
      <w:pPr>
        <w:widowControl/>
        <w:spacing w:line="360" w:lineRule="auto"/>
        <w:ind w:firstLine="480" w:firstLineChars="200"/>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Cs/>
          <w:color w:val="000000"/>
          <w:kern w:val="0"/>
          <w:sz w:val="24"/>
          <w:szCs w:val="24"/>
          <w:shd w:val="clear" w:color="auto" w:fill="FFFFFF"/>
        </w:rPr>
        <w:t>学院承担着地质学（国家基础学科拔尖学生培养计划2.0基地）、地球化学、资源勘查工程、环境科学等专业的本科及研究生实验教学、野外实践与科研育人任务。学院现有部分光谱与元素分析设备服役年限较长，面临核心部件老化、分辨率与灵敏度衰减、微区分析功能缺失以及故障率高等问题，难以满足新时代地质学拔尖创新人才培养对原位微区测试、现场光谱快速识别与痕量元素分析的实验教学需求。</w:t>
      </w:r>
    </w:p>
    <w:p w14:paraId="384F7A13">
      <w:pPr>
        <w:widowControl/>
        <w:spacing w:line="360" w:lineRule="auto"/>
        <w:ind w:firstLine="480" w:firstLineChars="200"/>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Cs/>
          <w:color w:val="000000"/>
          <w:kern w:val="0"/>
          <w:sz w:val="24"/>
          <w:szCs w:val="24"/>
          <w:shd w:val="clear" w:color="auto" w:fill="FFFFFF"/>
        </w:rPr>
        <w:t>为落实国家关于推动大规模设备更新与深化科教融合的决策部署，学院拟对现有一批老旧仪器实施“以旧换新”与升级迭代，采购先进的光谱分析及微区测试设备，打造集“实验教学—前沿创新—综合应用”于一体的现代化实践教学与科研支撑平台。</w:t>
      </w:r>
    </w:p>
    <w:p w14:paraId="5C0AF1A2">
      <w:pPr>
        <w:widowControl/>
        <w:spacing w:line="360" w:lineRule="auto"/>
        <w:jc w:val="left"/>
        <w:rPr>
          <w:rFonts w:hint="eastAsia"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（二）、立项目的</w:t>
      </w:r>
    </w:p>
    <w:p w14:paraId="2AE4BFAD">
      <w:pPr>
        <w:widowControl/>
        <w:spacing w:line="360" w:lineRule="auto"/>
        <w:ind w:firstLine="480" w:firstLineChars="200"/>
        <w:jc w:val="left"/>
        <w:rPr>
          <w:rFonts w:ascii="Times New Roman" w:hAnsi="Times New Roman" w:eastAsia="仿宋_GB2312" w:cs="Times New Roman"/>
          <w:bCs/>
          <w:color w:val="000000"/>
          <w:kern w:val="0"/>
          <w:sz w:val="24"/>
          <w:szCs w:val="24"/>
          <w:shd w:val="clear" w:color="auto" w:fill="FFFFFF"/>
        </w:rPr>
      </w:pPr>
      <w:r>
        <w:rPr>
          <w:rFonts w:ascii="Times New Roman" w:hAnsi="Times New Roman" w:eastAsia="仿宋_GB2312" w:cs="Times New Roman"/>
          <w:bCs/>
          <w:color w:val="000000"/>
          <w:kern w:val="0"/>
          <w:sz w:val="24"/>
          <w:szCs w:val="24"/>
          <w:shd w:val="clear" w:color="auto" w:fill="FFFFFF"/>
        </w:rPr>
        <w:t>项目以</w:t>
      </w:r>
      <w:r>
        <w:rPr>
          <w:rFonts w:ascii="Times New Roman" w:hAnsi="Times New Roman" w:eastAsia="仿宋_GB2312" w:cs="Times New Roman"/>
          <w:b/>
          <w:bCs/>
          <w:color w:val="000000"/>
          <w:kern w:val="0"/>
          <w:sz w:val="24"/>
          <w:szCs w:val="24"/>
          <w:shd w:val="clear" w:color="auto" w:fill="FFFFFF"/>
        </w:rPr>
        <w:t>教学设备更新升级</w:t>
      </w:r>
      <w:r>
        <w:rPr>
          <w:rFonts w:ascii="Times New Roman" w:hAnsi="Times New Roman" w:eastAsia="仿宋_GB2312" w:cs="Times New Roman"/>
          <w:bCs/>
          <w:color w:val="000000"/>
          <w:kern w:val="0"/>
          <w:sz w:val="24"/>
          <w:szCs w:val="24"/>
          <w:shd w:val="clear" w:color="auto" w:fill="FFFFFF"/>
        </w:rPr>
        <w:t>为核心，兼顾前沿科研与学生创新实践能力的培养，重点实现以下目标：</w:t>
      </w:r>
    </w:p>
    <w:p w14:paraId="249A11F0">
      <w:pPr>
        <w:widowControl/>
        <w:numPr>
          <w:ilvl w:val="0"/>
          <w:numId w:val="2"/>
        </w:numPr>
        <w:spacing w:line="360" w:lineRule="auto"/>
        <w:ind w:left="0" w:firstLine="482" w:firstLineChars="200"/>
        <w:jc w:val="left"/>
        <w:rPr>
          <w:rFonts w:ascii="Times New Roman" w:hAnsi="Times New Roman" w:eastAsia="仿宋_GB2312" w:cs="Times New Roman"/>
          <w:bCs/>
          <w:color w:val="000000"/>
          <w:kern w:val="0"/>
          <w:sz w:val="24"/>
          <w:szCs w:val="24"/>
          <w:shd w:val="clear" w:color="auto" w:fill="FFFFFF"/>
        </w:rPr>
      </w:pPr>
      <w:r>
        <w:rPr>
          <w:rFonts w:ascii="Times New Roman" w:hAnsi="Times New Roman" w:eastAsia="仿宋_GB2312" w:cs="Times New Roman"/>
          <w:b/>
          <w:bCs/>
          <w:color w:val="000000"/>
          <w:kern w:val="0"/>
          <w:sz w:val="24"/>
          <w:szCs w:val="24"/>
          <w:shd w:val="clear" w:color="auto" w:fill="FFFFFF"/>
        </w:rPr>
        <w:t>服务拔尖人才培养与实践教学改革：</w:t>
      </w:r>
      <w:r>
        <w:rPr>
          <w:rFonts w:ascii="Times New Roman" w:hAnsi="Times New Roman" w:eastAsia="仿宋_GB2312" w:cs="Times New Roman"/>
          <w:bCs/>
          <w:color w:val="000000"/>
          <w:kern w:val="0"/>
          <w:sz w:val="24"/>
          <w:szCs w:val="24"/>
          <w:shd w:val="clear" w:color="auto" w:fill="FFFFFF"/>
        </w:rPr>
        <w:t> 构建覆盖“主微量元素高通量分析（ICP-OES）—重金属痕量/形态分析（原子荧光）—矿物分子结构与相位无损鉴定（拉曼光谱）—样品的非破坏性微区元素分布成像（微区XRF）—野外与现场光谱快速遥测（光纤光谱）”的全方位光谱分析实践教学体系。依托新设备开发探究性实验课程、综合野外实习模块及前沿技术实训项目。</w:t>
      </w:r>
    </w:p>
    <w:p w14:paraId="45AEDF9B">
      <w:pPr>
        <w:widowControl/>
        <w:numPr>
          <w:ilvl w:val="0"/>
          <w:numId w:val="2"/>
        </w:numPr>
        <w:spacing w:line="360" w:lineRule="auto"/>
        <w:ind w:left="0" w:firstLine="482" w:firstLineChars="200"/>
        <w:jc w:val="left"/>
        <w:rPr>
          <w:rFonts w:ascii="Times New Roman" w:hAnsi="Times New Roman" w:eastAsia="仿宋_GB2312" w:cs="Times New Roman"/>
          <w:bCs/>
          <w:color w:val="000000"/>
          <w:kern w:val="0"/>
          <w:sz w:val="24"/>
          <w:szCs w:val="24"/>
          <w:shd w:val="clear" w:color="auto" w:fill="FFFFFF"/>
        </w:rPr>
      </w:pPr>
      <w:r>
        <w:rPr>
          <w:rFonts w:ascii="Times New Roman" w:hAnsi="Times New Roman" w:eastAsia="仿宋_GB2312" w:cs="Times New Roman"/>
          <w:b/>
          <w:bCs/>
          <w:color w:val="000000"/>
          <w:kern w:val="0"/>
          <w:sz w:val="24"/>
          <w:szCs w:val="24"/>
          <w:shd w:val="clear" w:color="auto" w:fill="FFFFFF"/>
        </w:rPr>
        <w:t>推动科教融合与科研反哺教学：</w:t>
      </w:r>
      <w:r>
        <w:rPr>
          <w:rFonts w:ascii="Times New Roman" w:hAnsi="Times New Roman" w:eastAsia="仿宋_GB2312" w:cs="Times New Roman"/>
          <w:bCs/>
          <w:color w:val="000000"/>
          <w:kern w:val="0"/>
          <w:sz w:val="24"/>
          <w:szCs w:val="24"/>
          <w:shd w:val="clear" w:color="auto" w:fill="FFFFFF"/>
        </w:rPr>
        <w:t> 显著提升学院在复杂地质样品、矿物微区、环境介质及行星陨石样品分析方面的科研测试能力，强力支撑地球化学、矿物学、生态地质、资源能源及行星科学等前沿方向研究，并将高水平科研成果转化为教学资源与实验案例。</w:t>
      </w:r>
    </w:p>
    <w:p w14:paraId="60C518B8">
      <w:pPr>
        <w:widowControl/>
        <w:numPr>
          <w:ilvl w:val="0"/>
          <w:numId w:val="2"/>
        </w:numPr>
        <w:spacing w:line="360" w:lineRule="auto"/>
        <w:ind w:left="0" w:firstLine="482" w:firstLineChars="200"/>
        <w:jc w:val="left"/>
        <w:rPr>
          <w:rFonts w:ascii="Times New Roman" w:hAnsi="Times New Roman" w:eastAsia="仿宋_GB2312" w:cs="Times New Roman"/>
          <w:bCs/>
          <w:color w:val="000000"/>
          <w:kern w:val="0"/>
          <w:sz w:val="24"/>
          <w:szCs w:val="24"/>
          <w:shd w:val="clear" w:color="auto" w:fill="FFFFFF"/>
        </w:rPr>
      </w:pPr>
      <w:r>
        <w:rPr>
          <w:rFonts w:ascii="Times New Roman" w:hAnsi="Times New Roman" w:eastAsia="仿宋_GB2312" w:cs="Times New Roman"/>
          <w:b/>
          <w:bCs/>
          <w:color w:val="000000"/>
          <w:kern w:val="0"/>
          <w:sz w:val="24"/>
          <w:szCs w:val="24"/>
          <w:shd w:val="clear" w:color="auto" w:fill="FFFFFF"/>
        </w:rPr>
        <w:t>提高实验教学与高通量测试能力：</w:t>
      </w:r>
      <w:r>
        <w:rPr>
          <w:rFonts w:ascii="Times New Roman" w:hAnsi="Times New Roman" w:eastAsia="仿宋_GB2312" w:cs="Times New Roman"/>
          <w:bCs/>
          <w:color w:val="000000"/>
          <w:kern w:val="0"/>
          <w:sz w:val="24"/>
          <w:szCs w:val="24"/>
          <w:shd w:val="clear" w:color="auto" w:fill="FFFFFF"/>
        </w:rPr>
        <w:t> 配置ICP-OES可极大缓解本科大批次实验教学与科研样品排队等待的矛盾；引入微区XRF与拉曼光谱仪可填补学院在微区无损面扫描与分子结构分析教学中的短板，全面提升教学实验的自动化与智能化水平。</w:t>
      </w:r>
    </w:p>
    <w:p w14:paraId="04523BC4">
      <w:pPr>
        <w:widowControl/>
        <w:numPr>
          <w:ilvl w:val="0"/>
          <w:numId w:val="2"/>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Times New Roman" w:hAnsi="Times New Roman" w:eastAsia="仿宋_GB2312" w:cs="Times New Roman"/>
          <w:b/>
          <w:bCs/>
          <w:color w:val="000000"/>
          <w:kern w:val="0"/>
          <w:sz w:val="24"/>
          <w:szCs w:val="24"/>
          <w:shd w:val="clear" w:color="auto" w:fill="FFFFFF"/>
        </w:rPr>
        <w:t>建设高水平开放共享平台：</w:t>
      </w:r>
      <w:r>
        <w:rPr>
          <w:rFonts w:ascii="Times New Roman" w:hAnsi="Times New Roman" w:eastAsia="仿宋_GB2312" w:cs="Times New Roman"/>
          <w:bCs/>
          <w:color w:val="000000"/>
          <w:kern w:val="0"/>
          <w:sz w:val="24"/>
          <w:szCs w:val="24"/>
          <w:shd w:val="clear" w:color="auto" w:fill="FFFFFF"/>
        </w:rPr>
        <w:t> 设备将统一纳入学校大型仪器共享平台管理，建立分层开放与预约机制，提高设备利用率与育人辐射效益。</w:t>
      </w:r>
    </w:p>
    <w:p w14:paraId="61CB7769">
      <w:pPr>
        <w:widowControl/>
        <w:spacing w:line="360" w:lineRule="auto"/>
        <w:jc w:val="left"/>
        <w:rPr>
          <w:rFonts w:hint="eastAsia"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（三）、现有环境和条件</w:t>
      </w:r>
    </w:p>
    <w:p w14:paraId="55B0F399">
      <w:pPr>
        <w:widowControl/>
        <w:numPr>
          <w:ilvl w:val="0"/>
          <w:numId w:val="3"/>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学科与教学科研基础：</w:t>
      </w:r>
      <w:r>
        <w:rPr>
          <w:rFonts w:ascii="仿宋_GB2312" w:hAnsi="宋体" w:eastAsia="仿宋_GB2312" w:cs="仿宋"/>
          <w:bCs/>
          <w:color w:val="000000"/>
          <w:kern w:val="0"/>
          <w:sz w:val="24"/>
          <w:szCs w:val="24"/>
          <w:shd w:val="clear" w:color="auto" w:fill="FFFFFF"/>
        </w:rPr>
        <w:t> 学院拥有雄厚的地质学与地球科学学科基础，具备完善的本科及研究生培养体系、稳定的实验技术支撑团队和丰富的实验教学经验，为新设备的运行与教学化开发提供了坚实保障。</w:t>
      </w:r>
    </w:p>
    <w:p w14:paraId="007E2979">
      <w:pPr>
        <w:widowControl/>
        <w:numPr>
          <w:ilvl w:val="0"/>
          <w:numId w:val="3"/>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实验室与场地条件：</w:t>
      </w:r>
      <w:r>
        <w:rPr>
          <w:rFonts w:ascii="仿宋_GB2312" w:hAnsi="宋体" w:eastAsia="仿宋_GB2312" w:cs="仿宋"/>
          <w:bCs/>
          <w:color w:val="000000"/>
          <w:kern w:val="0"/>
          <w:sz w:val="24"/>
          <w:szCs w:val="24"/>
          <w:shd w:val="clear" w:color="auto" w:fill="FFFFFF"/>
        </w:rPr>
        <w:t> 项目设备拟安装于学院现有教学实验楼宇内。拟安装场地已具备基本的供电、给排水、网络通信及消防安全等基础保障条件。</w:t>
      </w:r>
    </w:p>
    <w:p w14:paraId="0309C839">
      <w:pPr>
        <w:widowControl/>
        <w:numPr>
          <w:ilvl w:val="0"/>
          <w:numId w:val="3"/>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专项配套改造能力：</w:t>
      </w:r>
      <w:r>
        <w:rPr>
          <w:rFonts w:ascii="仿宋_GB2312" w:hAnsi="宋体" w:eastAsia="仿宋_GB2312" w:cs="仿宋"/>
          <w:bCs/>
          <w:color w:val="000000"/>
          <w:kern w:val="0"/>
          <w:sz w:val="24"/>
          <w:szCs w:val="24"/>
          <w:shd w:val="clear" w:color="auto" w:fill="FFFFFF"/>
        </w:rPr>
        <w:t> 针对 ICP-OES、微区XRF 及拉曼光谱仪等精密仪器，学院将统一按标准实施实验室排风、高纯气体管道（如高纯氩气）、超纯水系统、废液暂存、稳压电源以及温湿度/防尘等专项配套工程；光纤光谱仪为便携/模块化设备，可直接对接学院现有的野外实习路线与现场教学基地。</w:t>
      </w:r>
    </w:p>
    <w:p w14:paraId="2952EE34">
      <w:pPr>
        <w:widowControl/>
        <w:numPr>
          <w:ilvl w:val="0"/>
          <w:numId w:val="3"/>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管理与运行制度：</w:t>
      </w:r>
      <w:r>
        <w:rPr>
          <w:rFonts w:ascii="仿宋_GB2312" w:hAnsi="宋体" w:eastAsia="仿宋_GB2312" w:cs="仿宋"/>
          <w:bCs/>
          <w:color w:val="000000"/>
          <w:kern w:val="0"/>
          <w:sz w:val="24"/>
          <w:szCs w:val="24"/>
          <w:shd w:val="clear" w:color="auto" w:fill="FFFFFF"/>
        </w:rPr>
        <w:t> 学院已建立健全的实验室安全管理、大型仪器开放共享、危化品管理及仪器维护制度，能确保设备入场后快速投入教学科研运行。</w:t>
      </w:r>
    </w:p>
    <w:p w14:paraId="6D890868">
      <w:pPr>
        <w:widowControl/>
        <w:spacing w:line="360" w:lineRule="auto"/>
        <w:jc w:val="left"/>
        <w:rPr>
          <w:rFonts w:hint="eastAsia"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（四）、需要与其他项目配合情况</w:t>
      </w:r>
    </w:p>
    <w:p w14:paraId="3D146239">
      <w:pPr>
        <w:widowControl/>
        <w:numPr>
          <w:ilvl w:val="0"/>
          <w:numId w:val="4"/>
        </w:numPr>
        <w:spacing w:line="360" w:lineRule="auto"/>
        <w:ind w:left="0" w:firstLine="482" w:firstLineChars="200"/>
        <w:jc w:val="left"/>
        <w:rPr>
          <w:rFonts w:ascii="Times New Roman" w:hAnsi="Times New Roman" w:eastAsia="仿宋_GB2312" w:cs="Times New Roman"/>
          <w:bCs/>
          <w:color w:val="000000"/>
          <w:kern w:val="0"/>
          <w:sz w:val="24"/>
          <w:szCs w:val="24"/>
          <w:shd w:val="clear" w:color="auto" w:fill="FFFFFF"/>
        </w:rPr>
      </w:pPr>
      <w:r>
        <w:rPr>
          <w:rFonts w:ascii="Times New Roman" w:hAnsi="Times New Roman" w:eastAsia="仿宋_GB2312" w:cs="Times New Roman"/>
          <w:b/>
          <w:bCs/>
          <w:color w:val="000000"/>
          <w:kern w:val="0"/>
          <w:sz w:val="24"/>
          <w:szCs w:val="24"/>
          <w:shd w:val="clear" w:color="auto" w:fill="FFFFFF"/>
        </w:rPr>
        <w:t>与实验室场地改造及公用工程项目配合：</w:t>
      </w:r>
      <w:r>
        <w:rPr>
          <w:rFonts w:ascii="Times New Roman" w:hAnsi="Times New Roman" w:eastAsia="仿宋_GB2312" w:cs="Times New Roman"/>
          <w:bCs/>
          <w:color w:val="000000"/>
          <w:kern w:val="0"/>
          <w:sz w:val="24"/>
          <w:szCs w:val="24"/>
          <w:shd w:val="clear" w:color="auto" w:fill="FFFFFF"/>
        </w:rPr>
        <w:t>需紧密配合学校实验室硬件提升工程，确保水、电、气、排风、温湿度及防尘等安装配套条件在设备交付前按标完成建设与验收。</w:t>
      </w:r>
    </w:p>
    <w:p w14:paraId="5208FE3F">
      <w:pPr>
        <w:widowControl/>
        <w:numPr>
          <w:ilvl w:val="0"/>
          <w:numId w:val="4"/>
        </w:numPr>
        <w:spacing w:line="360" w:lineRule="auto"/>
        <w:ind w:left="0" w:firstLine="482" w:firstLineChars="200"/>
        <w:jc w:val="left"/>
        <w:rPr>
          <w:rFonts w:ascii="Times New Roman" w:hAnsi="Times New Roman" w:eastAsia="仿宋_GB2312" w:cs="Times New Roman"/>
          <w:bCs/>
          <w:color w:val="000000"/>
          <w:kern w:val="0"/>
          <w:sz w:val="24"/>
          <w:szCs w:val="24"/>
          <w:shd w:val="clear" w:color="auto" w:fill="FFFFFF"/>
        </w:rPr>
      </w:pPr>
      <w:r>
        <w:rPr>
          <w:rFonts w:ascii="Times New Roman" w:hAnsi="Times New Roman" w:eastAsia="仿宋_GB2312" w:cs="Times New Roman"/>
          <w:b/>
          <w:bCs/>
          <w:color w:val="000000"/>
          <w:kern w:val="0"/>
          <w:sz w:val="24"/>
          <w:szCs w:val="24"/>
          <w:shd w:val="clear" w:color="auto" w:fill="FFFFFF"/>
        </w:rPr>
        <w:t>与课程建设及实践教学改革项目配合：</w:t>
      </w:r>
      <w:r>
        <w:rPr>
          <w:rFonts w:ascii="Times New Roman" w:hAnsi="Times New Roman" w:eastAsia="仿宋_GB2312" w:cs="Times New Roman"/>
          <w:bCs/>
          <w:color w:val="000000"/>
          <w:kern w:val="0"/>
          <w:sz w:val="24"/>
          <w:szCs w:val="24"/>
          <w:shd w:val="clear" w:color="auto" w:fill="FFFFFF"/>
        </w:rPr>
        <w:t>需与地质学拔尖基地课程建设、实验教学大纲修订及虚拟仿真教学项目统筹推进，及时将新设备的技术原理和操作实操融入《结晶学与矿物学》《分析地球化学》《环境地球化学》等实验教学课程体系。</w:t>
      </w:r>
    </w:p>
    <w:p w14:paraId="3E0E930D">
      <w:pPr>
        <w:widowControl/>
        <w:numPr>
          <w:ilvl w:val="0"/>
          <w:numId w:val="4"/>
        </w:numPr>
        <w:spacing w:line="360" w:lineRule="auto"/>
        <w:ind w:left="0" w:firstLine="482" w:firstLineChars="200"/>
        <w:jc w:val="left"/>
        <w:rPr>
          <w:rFonts w:ascii="Times New Roman" w:hAnsi="Times New Roman" w:eastAsia="仿宋_GB2312" w:cs="Times New Roman"/>
          <w:bCs/>
          <w:color w:val="000000"/>
          <w:kern w:val="0"/>
          <w:sz w:val="24"/>
          <w:szCs w:val="24"/>
          <w:shd w:val="clear" w:color="auto" w:fill="FFFFFF"/>
        </w:rPr>
      </w:pPr>
      <w:r>
        <w:rPr>
          <w:rFonts w:ascii="Times New Roman" w:hAnsi="Times New Roman" w:eastAsia="仿宋_GB2312" w:cs="Times New Roman"/>
          <w:b/>
          <w:bCs/>
          <w:color w:val="000000"/>
          <w:kern w:val="0"/>
          <w:sz w:val="24"/>
          <w:szCs w:val="24"/>
          <w:shd w:val="clear" w:color="auto" w:fill="FFFFFF"/>
        </w:rPr>
        <w:t>与前沿科研项目及创新训练项目配合：</w:t>
      </w:r>
      <w:r>
        <w:rPr>
          <w:rFonts w:ascii="Times New Roman" w:hAnsi="Times New Roman" w:eastAsia="仿宋_GB2312" w:cs="Times New Roman"/>
          <w:bCs/>
          <w:color w:val="000000"/>
          <w:kern w:val="0"/>
          <w:sz w:val="24"/>
          <w:szCs w:val="24"/>
          <w:shd w:val="clear" w:color="auto" w:fill="FFFFFF"/>
        </w:rPr>
        <w:t>配合国家自然科学基金、重点研发计划以及大学生创新创业训练计划（大创）、“挑战杯”等项目，建立“科研反哺教学”机制，鼓励学生依托微区XRF、拉曼光谱等先进仪器开展自主探索性研究。</w:t>
      </w:r>
    </w:p>
    <w:p w14:paraId="502C1D3B">
      <w:pPr>
        <w:widowControl/>
        <w:numPr>
          <w:ilvl w:val="0"/>
          <w:numId w:val="4"/>
        </w:numPr>
        <w:spacing w:line="360" w:lineRule="auto"/>
        <w:ind w:left="0" w:firstLine="482" w:firstLineChars="200"/>
        <w:jc w:val="left"/>
        <w:rPr>
          <w:rFonts w:ascii="Times New Roman" w:hAnsi="Times New Roman" w:eastAsia="仿宋_GB2312" w:cs="Times New Roman"/>
          <w:bCs/>
          <w:color w:val="000000"/>
          <w:kern w:val="0"/>
          <w:sz w:val="24"/>
          <w:szCs w:val="24"/>
          <w:shd w:val="clear" w:color="auto" w:fill="FFFFFF"/>
        </w:rPr>
      </w:pPr>
      <w:r>
        <w:rPr>
          <w:rFonts w:ascii="Times New Roman" w:hAnsi="Times New Roman" w:eastAsia="仿宋_GB2312" w:cs="Times New Roman"/>
          <w:b/>
          <w:bCs/>
          <w:color w:val="000000"/>
          <w:kern w:val="0"/>
          <w:sz w:val="24"/>
          <w:szCs w:val="24"/>
          <w:shd w:val="clear" w:color="auto" w:fill="FFFFFF"/>
        </w:rPr>
        <w:t>与野外实践教学与路线基地建设配合：</w:t>
      </w:r>
      <w:r>
        <w:rPr>
          <w:rFonts w:ascii="Times New Roman" w:hAnsi="Times New Roman" w:eastAsia="仿宋_GB2312" w:cs="Times New Roman"/>
          <w:bCs/>
          <w:color w:val="000000"/>
          <w:kern w:val="0"/>
          <w:sz w:val="24"/>
          <w:szCs w:val="24"/>
          <w:shd w:val="clear" w:color="auto" w:fill="FFFFFF"/>
        </w:rPr>
        <w:t>光纤光谱仪等便携设备需与野外地质实习路线、填图基地及生态环境野外监测站点的建设与运行深度配合，实现“野外现场光谱采集与室内精细分析”的有机结合。</w:t>
      </w:r>
    </w:p>
    <w:p w14:paraId="476A5386">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55131585">
      <w:pPr>
        <w:spacing w:after="156" w:afterLines="5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
        <w:gridCol w:w="1188"/>
        <w:gridCol w:w="1366"/>
        <w:gridCol w:w="1171"/>
        <w:gridCol w:w="1170"/>
        <w:gridCol w:w="1213"/>
        <w:gridCol w:w="1241"/>
      </w:tblGrid>
      <w:tr w14:paraId="78F7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71" w:type="pct"/>
            <w:vAlign w:val="center"/>
          </w:tcPr>
          <w:p w14:paraId="582D60FD">
            <w:pPr>
              <w:jc w:val="center"/>
              <w:rPr>
                <w:rFonts w:ascii="Times New Roman" w:hAnsi="Times New Roman" w:eastAsia="仿宋_GB2312" w:cs="Times New Roman"/>
                <w:b/>
                <w:szCs w:val="21"/>
              </w:rPr>
            </w:pPr>
            <w:r>
              <w:rPr>
                <w:rFonts w:ascii="Times New Roman" w:hAnsi="Times New Roman" w:eastAsia="仿宋_GB2312" w:cs="Times New Roman"/>
                <w:b/>
                <w:szCs w:val="21"/>
              </w:rPr>
              <w:t>序号</w:t>
            </w:r>
          </w:p>
        </w:tc>
        <w:tc>
          <w:tcPr>
            <w:tcW w:w="716" w:type="pct"/>
            <w:vAlign w:val="center"/>
          </w:tcPr>
          <w:p w14:paraId="5FEEA34C">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货物</w:t>
            </w:r>
          </w:p>
          <w:p w14:paraId="60FB8F32">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名称</w:t>
            </w:r>
          </w:p>
        </w:tc>
        <w:tc>
          <w:tcPr>
            <w:tcW w:w="823" w:type="pct"/>
            <w:vAlign w:val="center"/>
          </w:tcPr>
          <w:p w14:paraId="2DB16348">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是否接受进口产品</w:t>
            </w:r>
          </w:p>
        </w:tc>
        <w:tc>
          <w:tcPr>
            <w:tcW w:w="706" w:type="pct"/>
            <w:vAlign w:val="center"/>
          </w:tcPr>
          <w:p w14:paraId="093A8D23">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单位</w:t>
            </w:r>
          </w:p>
        </w:tc>
        <w:tc>
          <w:tcPr>
            <w:tcW w:w="705" w:type="pct"/>
            <w:vAlign w:val="center"/>
          </w:tcPr>
          <w:p w14:paraId="2645323C">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数量</w:t>
            </w:r>
          </w:p>
        </w:tc>
        <w:tc>
          <w:tcPr>
            <w:tcW w:w="731" w:type="pct"/>
            <w:vAlign w:val="center"/>
          </w:tcPr>
          <w:p w14:paraId="1F708512">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交货期</w:t>
            </w:r>
          </w:p>
        </w:tc>
        <w:tc>
          <w:tcPr>
            <w:tcW w:w="748" w:type="pct"/>
            <w:vAlign w:val="center"/>
          </w:tcPr>
          <w:p w14:paraId="3AADCE9E">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是否为</w:t>
            </w:r>
          </w:p>
          <w:p w14:paraId="38DC5D63">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核心产品</w:t>
            </w:r>
          </w:p>
        </w:tc>
      </w:tr>
      <w:tr w14:paraId="1CAA5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71" w:type="pct"/>
            <w:vAlign w:val="center"/>
          </w:tcPr>
          <w:p w14:paraId="49BF9E8D">
            <w:pPr>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716" w:type="pct"/>
            <w:vAlign w:val="center"/>
          </w:tcPr>
          <w:p w14:paraId="5732564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原子荧光光谱仪</w:t>
            </w:r>
          </w:p>
        </w:tc>
        <w:tc>
          <w:tcPr>
            <w:tcW w:w="823" w:type="pct"/>
            <w:vAlign w:val="center"/>
          </w:tcPr>
          <w:p w14:paraId="4124871C">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706" w:type="pct"/>
            <w:vAlign w:val="center"/>
          </w:tcPr>
          <w:p w14:paraId="3160022F">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705" w:type="pct"/>
            <w:vAlign w:val="center"/>
          </w:tcPr>
          <w:p w14:paraId="4B4083B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731" w:type="pct"/>
          </w:tcPr>
          <w:p w14:paraId="7236C25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748" w:type="pct"/>
            <w:vAlign w:val="center"/>
          </w:tcPr>
          <w:p w14:paraId="39CA3043">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4F3F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71" w:type="pct"/>
            <w:vAlign w:val="center"/>
          </w:tcPr>
          <w:p w14:paraId="4EE7A950">
            <w:pPr>
              <w:jc w:val="center"/>
              <w:rPr>
                <w:rFonts w:ascii="Times New Roman" w:hAnsi="Times New Roman" w:eastAsia="仿宋_GB2312" w:cs="Times New Roman"/>
                <w:szCs w:val="21"/>
              </w:rPr>
            </w:pPr>
            <w:r>
              <w:rPr>
                <w:rFonts w:ascii="Times New Roman" w:hAnsi="Times New Roman" w:eastAsia="仿宋_GB2312" w:cs="Times New Roman"/>
                <w:szCs w:val="21"/>
              </w:rPr>
              <w:t>2</w:t>
            </w:r>
          </w:p>
        </w:tc>
        <w:tc>
          <w:tcPr>
            <w:tcW w:w="716" w:type="pct"/>
            <w:vAlign w:val="center"/>
          </w:tcPr>
          <w:p w14:paraId="2857348F">
            <w:pPr>
              <w:widowControl/>
              <w:jc w:val="center"/>
              <w:rPr>
                <w:rFonts w:ascii="Times New Roman" w:hAnsi="Times New Roman" w:eastAsia="仿宋_GB2312" w:cs="Times New Roman"/>
                <w:szCs w:val="21"/>
              </w:rPr>
            </w:pPr>
            <w:r>
              <w:rPr>
                <w:rFonts w:ascii="Times New Roman" w:hAnsi="Times New Roman" w:eastAsia="仿宋_GB2312" w:cs="Times New Roman"/>
                <w:szCs w:val="21"/>
              </w:rPr>
              <w:t>电感耦合等离子光谱仪</w:t>
            </w:r>
          </w:p>
        </w:tc>
        <w:tc>
          <w:tcPr>
            <w:tcW w:w="823" w:type="pct"/>
            <w:vAlign w:val="center"/>
          </w:tcPr>
          <w:p w14:paraId="34882B44">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706" w:type="pct"/>
            <w:vAlign w:val="center"/>
          </w:tcPr>
          <w:p w14:paraId="66F096F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705" w:type="pct"/>
            <w:vAlign w:val="center"/>
          </w:tcPr>
          <w:p w14:paraId="36DC2B3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731" w:type="pct"/>
          </w:tcPr>
          <w:p w14:paraId="4AA0589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748" w:type="pct"/>
            <w:vAlign w:val="center"/>
          </w:tcPr>
          <w:p w14:paraId="04731D81">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4FB48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71" w:type="pct"/>
            <w:vAlign w:val="center"/>
          </w:tcPr>
          <w:p w14:paraId="5638B6F2">
            <w:pPr>
              <w:jc w:val="center"/>
              <w:rPr>
                <w:rFonts w:ascii="Times New Roman" w:hAnsi="Times New Roman" w:eastAsia="仿宋_GB2312" w:cs="Times New Roman"/>
                <w:szCs w:val="21"/>
              </w:rPr>
            </w:pPr>
            <w:r>
              <w:rPr>
                <w:rFonts w:ascii="Times New Roman" w:hAnsi="Times New Roman" w:eastAsia="仿宋_GB2312" w:cs="Times New Roman"/>
                <w:szCs w:val="21"/>
              </w:rPr>
              <w:t>3</w:t>
            </w:r>
          </w:p>
        </w:tc>
        <w:tc>
          <w:tcPr>
            <w:tcW w:w="716" w:type="pct"/>
            <w:vAlign w:val="center"/>
          </w:tcPr>
          <w:p w14:paraId="58CF528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光纤光谱仪</w:t>
            </w:r>
          </w:p>
        </w:tc>
        <w:tc>
          <w:tcPr>
            <w:tcW w:w="823" w:type="pct"/>
            <w:vAlign w:val="center"/>
          </w:tcPr>
          <w:p w14:paraId="249E0579">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706" w:type="pct"/>
            <w:vAlign w:val="center"/>
          </w:tcPr>
          <w:p w14:paraId="5D44B32B">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705" w:type="pct"/>
            <w:vAlign w:val="center"/>
          </w:tcPr>
          <w:p w14:paraId="2F9A6C0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731" w:type="pct"/>
          </w:tcPr>
          <w:p w14:paraId="3E601B8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748" w:type="pct"/>
            <w:vAlign w:val="center"/>
          </w:tcPr>
          <w:p w14:paraId="080C01FA">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23753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71" w:type="pct"/>
            <w:vAlign w:val="center"/>
          </w:tcPr>
          <w:p w14:paraId="5C8636F8">
            <w:pPr>
              <w:jc w:val="center"/>
              <w:rPr>
                <w:rFonts w:ascii="Times New Roman" w:hAnsi="Times New Roman" w:eastAsia="仿宋_GB2312" w:cs="Times New Roman"/>
                <w:szCs w:val="21"/>
              </w:rPr>
            </w:pPr>
            <w:r>
              <w:rPr>
                <w:rFonts w:ascii="Times New Roman" w:hAnsi="Times New Roman" w:eastAsia="仿宋_GB2312" w:cs="Times New Roman"/>
                <w:szCs w:val="21"/>
              </w:rPr>
              <w:t>4</w:t>
            </w:r>
          </w:p>
        </w:tc>
        <w:tc>
          <w:tcPr>
            <w:tcW w:w="716" w:type="pct"/>
            <w:vAlign w:val="center"/>
          </w:tcPr>
          <w:p w14:paraId="23F7ABAD">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激光拉曼谱仪</w:t>
            </w:r>
          </w:p>
        </w:tc>
        <w:tc>
          <w:tcPr>
            <w:tcW w:w="823" w:type="pct"/>
            <w:vAlign w:val="center"/>
          </w:tcPr>
          <w:p w14:paraId="6F81CEA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706" w:type="pct"/>
            <w:vAlign w:val="center"/>
          </w:tcPr>
          <w:p w14:paraId="61E2EA50">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705" w:type="pct"/>
            <w:vAlign w:val="center"/>
          </w:tcPr>
          <w:p w14:paraId="5943D7B4">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731" w:type="pct"/>
          </w:tcPr>
          <w:p w14:paraId="62D056BC">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748" w:type="pct"/>
            <w:vAlign w:val="center"/>
          </w:tcPr>
          <w:p w14:paraId="6D9C6254">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573DE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71" w:type="pct"/>
            <w:vAlign w:val="center"/>
          </w:tcPr>
          <w:p w14:paraId="61C9955D">
            <w:pPr>
              <w:jc w:val="center"/>
              <w:rPr>
                <w:rFonts w:ascii="Times New Roman" w:hAnsi="Times New Roman" w:eastAsia="仿宋_GB2312" w:cs="Times New Roman"/>
                <w:szCs w:val="21"/>
              </w:rPr>
            </w:pPr>
            <w:r>
              <w:rPr>
                <w:rFonts w:ascii="Times New Roman" w:hAnsi="Times New Roman" w:eastAsia="仿宋_GB2312" w:cs="Times New Roman"/>
                <w:szCs w:val="21"/>
              </w:rPr>
              <w:t>5</w:t>
            </w:r>
          </w:p>
        </w:tc>
        <w:tc>
          <w:tcPr>
            <w:tcW w:w="716" w:type="pct"/>
            <w:vAlign w:val="center"/>
          </w:tcPr>
          <w:p w14:paraId="0D7409DF">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微区X射线荧光光谱仪</w:t>
            </w:r>
          </w:p>
        </w:tc>
        <w:tc>
          <w:tcPr>
            <w:tcW w:w="823" w:type="pct"/>
            <w:vAlign w:val="center"/>
          </w:tcPr>
          <w:p w14:paraId="37AB77D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706" w:type="pct"/>
            <w:vAlign w:val="center"/>
          </w:tcPr>
          <w:p w14:paraId="482260E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705" w:type="pct"/>
            <w:vAlign w:val="center"/>
          </w:tcPr>
          <w:p w14:paraId="69EC754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731" w:type="pct"/>
          </w:tcPr>
          <w:p w14:paraId="47857AB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w:t>
            </w:r>
            <w:r>
              <w:rPr>
                <w:rFonts w:hint="eastAsia" w:ascii="Times New Roman" w:hAnsi="Times New Roman" w:eastAsia="仿宋_GB2312" w:cs="Times New Roman"/>
                <w:szCs w:val="21"/>
              </w:rPr>
              <w:t>90</w:t>
            </w:r>
            <w:r>
              <w:rPr>
                <w:rFonts w:ascii="Times New Roman" w:hAnsi="Times New Roman" w:eastAsia="仿宋_GB2312" w:cs="Times New Roman"/>
                <w:szCs w:val="21"/>
              </w:rPr>
              <w:t>天内交货并完成安装调试</w:t>
            </w:r>
          </w:p>
        </w:tc>
        <w:tc>
          <w:tcPr>
            <w:tcW w:w="748" w:type="pct"/>
            <w:vAlign w:val="center"/>
          </w:tcPr>
          <w:p w14:paraId="66C2B8F1">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09B7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71" w:type="pct"/>
            <w:vAlign w:val="center"/>
          </w:tcPr>
          <w:p w14:paraId="7BF90216">
            <w:pPr>
              <w:jc w:val="center"/>
              <w:rPr>
                <w:rFonts w:ascii="Times New Roman" w:hAnsi="Times New Roman" w:eastAsia="仿宋_GB2312" w:cs="Times New Roman"/>
                <w:szCs w:val="21"/>
              </w:rPr>
            </w:pPr>
            <w:r>
              <w:rPr>
                <w:rFonts w:ascii="Times New Roman" w:hAnsi="Times New Roman" w:eastAsia="仿宋_GB2312" w:cs="Times New Roman"/>
                <w:szCs w:val="21"/>
              </w:rPr>
              <w:t>6</w:t>
            </w:r>
          </w:p>
        </w:tc>
        <w:tc>
          <w:tcPr>
            <w:tcW w:w="716" w:type="pct"/>
            <w:vAlign w:val="center"/>
          </w:tcPr>
          <w:p w14:paraId="1AD2124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高灵敏ICP光谱仪</w:t>
            </w:r>
          </w:p>
        </w:tc>
        <w:tc>
          <w:tcPr>
            <w:tcW w:w="823" w:type="pct"/>
            <w:vAlign w:val="center"/>
          </w:tcPr>
          <w:p w14:paraId="0813490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706" w:type="pct"/>
            <w:vAlign w:val="center"/>
          </w:tcPr>
          <w:p w14:paraId="66E4EC8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705" w:type="pct"/>
            <w:vAlign w:val="center"/>
          </w:tcPr>
          <w:p w14:paraId="7752DB3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731" w:type="pct"/>
          </w:tcPr>
          <w:p w14:paraId="7A48803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w:t>
            </w:r>
            <w:r>
              <w:rPr>
                <w:rFonts w:hint="eastAsia" w:ascii="Times New Roman" w:hAnsi="Times New Roman" w:eastAsia="仿宋_GB2312" w:cs="Times New Roman"/>
                <w:szCs w:val="21"/>
              </w:rPr>
              <w:t>90</w:t>
            </w:r>
            <w:r>
              <w:rPr>
                <w:rFonts w:ascii="Times New Roman" w:hAnsi="Times New Roman" w:eastAsia="仿宋_GB2312" w:cs="Times New Roman"/>
                <w:szCs w:val="21"/>
              </w:rPr>
              <w:t>天内交货并完成安装调试</w:t>
            </w:r>
          </w:p>
        </w:tc>
        <w:tc>
          <w:tcPr>
            <w:tcW w:w="748" w:type="pct"/>
            <w:vAlign w:val="center"/>
          </w:tcPr>
          <w:p w14:paraId="4A6B1957">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bl>
    <w:p w14:paraId="3D03FC19">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5CEB260B">
      <w:pPr>
        <w:widowControl/>
        <w:shd w:val="clear" w:color="auto" w:fill="FFFFFF"/>
        <w:spacing w:line="360" w:lineRule="auto"/>
        <w:jc w:val="center"/>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w:t>
      </w:r>
      <w:r>
        <w:rPr>
          <w:rFonts w:ascii="仿宋_GB2312" w:hAnsi="宋体" w:eastAsia="仿宋_GB2312" w:cs="仿宋"/>
          <w:color w:val="000000"/>
          <w:kern w:val="0"/>
          <w:sz w:val="28"/>
          <w:szCs w:val="28"/>
          <w:shd w:val="clear" w:color="auto" w:fill="FFFFFF"/>
        </w:rPr>
        <w:t>原子荧光光谱仪</w:t>
      </w:r>
      <w:r>
        <w:rPr>
          <w:rFonts w:hint="eastAsia" w:ascii="仿宋_GB2312" w:hAnsi="宋体" w:eastAsia="仿宋_GB2312" w:cs="仿宋"/>
          <w:color w:val="000000"/>
          <w:kern w:val="0"/>
          <w:sz w:val="28"/>
          <w:szCs w:val="28"/>
          <w:shd w:val="clear" w:color="auto" w:fill="FFFFFF"/>
        </w:rPr>
        <w:t>（1台）</w:t>
      </w:r>
    </w:p>
    <w:p w14:paraId="441F6177">
      <w:pPr>
        <w:widowControl/>
        <w:shd w:val="clear" w:color="auto" w:fill="FFFFFF"/>
        <w:spacing w:line="360" w:lineRule="auto"/>
        <w:ind w:firstLine="482" w:firstLineChars="200"/>
        <w:jc w:val="left"/>
        <w:rPr>
          <w:rFonts w:hint="eastAsia" w:ascii="仿宋_GB2312" w:hAnsi="宋体" w:eastAsia="仿宋_GB2312"/>
          <w:b/>
          <w:bCs/>
          <w:i/>
          <w:iCs/>
          <w:sz w:val="24"/>
          <w:szCs w:val="24"/>
        </w:rPr>
      </w:pPr>
      <w:r>
        <w:rPr>
          <w:rFonts w:hint="eastAsia" w:ascii="仿宋_GB2312" w:hAnsi="宋体" w:eastAsia="仿宋_GB2312"/>
          <w:b/>
          <w:bCs/>
          <w:sz w:val="24"/>
          <w:szCs w:val="24"/>
        </w:rPr>
        <w:t>1.功能要求：</w:t>
      </w:r>
      <w:r>
        <w:rPr>
          <w:rFonts w:hint="eastAsia" w:ascii="仿宋_GB2312" w:hAnsi="宋体" w:eastAsia="仿宋_GB2312"/>
          <w:b/>
          <w:bCs/>
          <w:i/>
          <w:iCs/>
          <w:sz w:val="24"/>
          <w:szCs w:val="24"/>
        </w:rPr>
        <w:t xml:space="preserve"> </w:t>
      </w:r>
    </w:p>
    <w:p w14:paraId="02EAFA89">
      <w:pPr>
        <w:pStyle w:val="10"/>
        <w:spacing w:line="360" w:lineRule="auto"/>
        <w:ind w:firstLine="480"/>
        <w:rPr>
          <w:rFonts w:ascii="Times New Roman" w:hAnsi="Times New Roman" w:eastAsia="仿宋_GB2312" w:cs="Times New Roman"/>
          <w:sz w:val="24"/>
          <w:szCs w:val="24"/>
        </w:rPr>
      </w:pPr>
      <w:r>
        <w:rPr>
          <w:rFonts w:ascii="Times New Roman" w:hAnsi="Times New Roman" w:eastAsia="仿宋_GB2312" w:cs="Times New Roman"/>
          <w:sz w:val="24"/>
          <w:szCs w:val="24"/>
        </w:rPr>
        <w:t>原子荧光光度计作为本科教学与研究生培养的必备实操装备，纳入《微生物学实验》、《发酵工程》、《生物地球化学》、《湿地演化与生态修复》等多门课程教学，年均覆盖师生120人次，主要用于水体、土壤沉积物、大气等样品检测。</w:t>
      </w:r>
    </w:p>
    <w:p w14:paraId="0B9A0741">
      <w:pPr>
        <w:pStyle w:val="10"/>
        <w:spacing w:line="360" w:lineRule="auto"/>
        <w:ind w:firstLine="480"/>
        <w:rPr>
          <w:rFonts w:ascii="Times New Roman" w:hAnsi="Times New Roman" w:eastAsia="仿宋_GB2312" w:cs="Times New Roman"/>
          <w:sz w:val="24"/>
          <w:szCs w:val="24"/>
        </w:rPr>
      </w:pPr>
      <w:r>
        <w:rPr>
          <w:rFonts w:ascii="Times New Roman" w:hAnsi="Times New Roman" w:eastAsia="仿宋_GB2312" w:cs="Times New Roman"/>
          <w:sz w:val="24"/>
          <w:szCs w:val="24"/>
        </w:rPr>
        <w:t>水体污染监测：可高效检测饮用水、地表水、污水等水体中的砷、汞、硒、铅、镉等有毒重金属元素，评估水体污染程度，保障水资源安全。</w:t>
      </w:r>
    </w:p>
    <w:p w14:paraId="2F1505E9">
      <w:pPr>
        <w:pStyle w:val="10"/>
        <w:spacing w:line="360" w:lineRule="auto"/>
        <w:ind w:firstLine="480"/>
        <w:rPr>
          <w:rFonts w:ascii="Times New Roman" w:hAnsi="Times New Roman" w:eastAsia="仿宋_GB2312" w:cs="Times New Roman"/>
          <w:sz w:val="24"/>
          <w:szCs w:val="24"/>
        </w:rPr>
      </w:pPr>
      <w:r>
        <w:rPr>
          <w:rFonts w:ascii="Times New Roman" w:hAnsi="Times New Roman" w:eastAsia="仿宋_GB2312" w:cs="Times New Roman"/>
          <w:sz w:val="24"/>
          <w:szCs w:val="24"/>
        </w:rPr>
        <w:t>土壤与沉积物分析：用于测定土壤和沉积物中重金属元素的含量，如砷、铬、镍、镉、铅等，帮助评估土壤污染状况，为土壤修复和农业可持续发展提供技术支持。‌</w:t>
      </w:r>
    </w:p>
    <w:p w14:paraId="54907614">
      <w:pPr>
        <w:pStyle w:val="10"/>
        <w:spacing w:line="360" w:lineRule="auto"/>
        <w:ind w:firstLine="480"/>
        <w:rPr>
          <w:rFonts w:ascii="Times New Roman" w:hAnsi="Times New Roman" w:eastAsia="仿宋_GB2312" w:cs="Times New Roman"/>
          <w:sz w:val="24"/>
          <w:szCs w:val="24"/>
        </w:rPr>
      </w:pPr>
      <w:r>
        <w:rPr>
          <w:rFonts w:ascii="Times New Roman" w:hAnsi="Times New Roman" w:eastAsia="仿宋_GB2312" w:cs="Times New Roman"/>
          <w:sz w:val="24"/>
          <w:szCs w:val="24"/>
        </w:rPr>
        <w:t>大气污染研究：通过分析大气颗粒物中的重金属成分，评估大气污染的来源和程度，为大气污染防治提供数据支持。</w:t>
      </w:r>
    </w:p>
    <w:p w14:paraId="450EC1EF">
      <w:pPr>
        <w:pStyle w:val="10"/>
        <w:spacing w:line="360" w:lineRule="auto"/>
        <w:ind w:firstLine="480"/>
        <w:rPr>
          <w:rFonts w:ascii="Times New Roman" w:hAnsi="Times New Roman" w:eastAsia="仿宋_GB2312" w:cs="Times New Roman"/>
          <w:sz w:val="24"/>
          <w:szCs w:val="24"/>
        </w:rPr>
      </w:pPr>
      <w:r>
        <w:rPr>
          <w:rFonts w:ascii="Times New Roman" w:hAnsi="Times New Roman" w:eastAsia="仿宋_GB2312" w:cs="Times New Roman"/>
          <w:sz w:val="24"/>
          <w:szCs w:val="24"/>
        </w:rPr>
        <w:t>固体废弃物检测：用于分析垃圾填埋场、工业废渣等固体废弃物中的有害物质元素，评估其对环境的潜在风险。</w:t>
      </w:r>
    </w:p>
    <w:p w14:paraId="6232B5C1">
      <w:pPr>
        <w:widowControl/>
        <w:numPr>
          <w:ilvl w:val="0"/>
          <w:numId w:val="5"/>
        </w:numPr>
        <w:shd w:val="clear" w:color="auto" w:fill="FFFFFF"/>
        <w:spacing w:line="360" w:lineRule="auto"/>
        <w:ind w:firstLine="482" w:firstLineChars="200"/>
        <w:jc w:val="left"/>
        <w:rPr>
          <w:rFonts w:hint="eastAsia" w:ascii="仿宋_GB2312" w:hAnsi="宋体" w:eastAsia="仿宋_GB2312"/>
          <w:b/>
          <w:bCs/>
          <w:sz w:val="24"/>
          <w:szCs w:val="24"/>
        </w:rPr>
      </w:pPr>
      <w:r>
        <w:rPr>
          <w:rFonts w:hint="eastAsia" w:ascii="仿宋_GB2312" w:hAnsi="宋体" w:eastAsia="仿宋_GB2312"/>
          <w:b/>
          <w:bCs/>
          <w:sz w:val="24"/>
          <w:szCs w:val="24"/>
        </w:rPr>
        <w:t>应遵循的相关国家标准、行业标准、地方标准等标准、规范：</w:t>
      </w:r>
    </w:p>
    <w:p w14:paraId="4E739557">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主要参考国家标准：</w:t>
      </w:r>
      <w:r>
        <w:rPr>
          <w:rFonts w:ascii="仿宋_GB2312" w:hAnsi="宋体" w:eastAsia="仿宋_GB2312"/>
          <w:sz w:val="24"/>
          <w:szCs w:val="24"/>
        </w:rPr>
        <w:t>JJG 939-2009《原子荧光光度计检定规程》</w:t>
      </w:r>
    </w:p>
    <w:p w14:paraId="4334F77B">
      <w:pPr>
        <w:widowControl/>
        <w:numPr>
          <w:ilvl w:val="0"/>
          <w:numId w:val="5"/>
        </w:numPr>
        <w:shd w:val="clear" w:color="auto" w:fill="FFFFFF"/>
        <w:spacing w:line="360" w:lineRule="auto"/>
        <w:ind w:firstLine="482" w:firstLineChars="200"/>
        <w:rPr>
          <w:rFonts w:hint="eastAsia" w:ascii="仿宋_GB2312" w:hAnsi="宋体" w:eastAsia="仿宋_GB2312"/>
          <w:b/>
          <w:bCs/>
          <w:sz w:val="24"/>
          <w:szCs w:val="24"/>
        </w:rPr>
      </w:pPr>
      <w:r>
        <w:rPr>
          <w:rFonts w:hint="eastAsia" w:ascii="仿宋_GB2312" w:hAnsi="宋体" w:eastAsia="仿宋_GB2312"/>
          <w:b/>
          <w:bCs/>
          <w:sz w:val="24"/>
          <w:szCs w:val="24"/>
        </w:rPr>
        <w:t>后续运营维护、升级更新、备品备件等要求：</w:t>
      </w:r>
    </w:p>
    <w:p w14:paraId="28628A7A">
      <w:pPr>
        <w:spacing w:line="360" w:lineRule="auto"/>
        <w:ind w:firstLine="480" w:firstLineChars="200"/>
        <w:outlineLvl w:val="0"/>
        <w:rPr>
          <w:rFonts w:ascii="Times New Roman" w:hAnsi="Times New Roman" w:eastAsia="仿宋_GB2312" w:cs="Times New Roman"/>
          <w:sz w:val="24"/>
          <w:szCs w:val="24"/>
        </w:rPr>
      </w:pPr>
      <w:r>
        <w:rPr>
          <w:rFonts w:ascii="Times New Roman" w:hAnsi="Times New Roman" w:eastAsia="仿宋_GB2312" w:cs="Times New Roman"/>
          <w:sz w:val="24"/>
          <w:szCs w:val="24"/>
        </w:rPr>
        <w:t>运维服务：供应商需提供≥2年整机质保（含检测器），质保期内每半年开展1次现场巡检，故障响应时间≤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w:t>
      </w:r>
      <w:r>
        <w:rPr>
          <w:rFonts w:hint="eastAsia" w:ascii="Times New Roman" w:hAnsi="Times New Roman" w:eastAsia="仿宋_GB2312" w:cs="Times New Roman"/>
          <w:sz w:val="24"/>
          <w:szCs w:val="24"/>
        </w:rPr>
        <w:t>。</w:t>
      </w:r>
      <w:r>
        <w:rPr>
          <w:rFonts w:ascii="Times New Roman" w:hAnsi="Times New Roman" w:eastAsia="仿宋_GB2312" w:cs="Times New Roman"/>
          <w:iCs/>
          <w:sz w:val="24"/>
          <w:szCs w:val="24"/>
        </w:rPr>
        <w:t>提供2天以上现场培训，交通等与培训相关的费用均由成交供应商承担。</w:t>
      </w:r>
    </w:p>
    <w:p w14:paraId="62071175">
      <w:pPr>
        <w:spacing w:line="360" w:lineRule="auto"/>
        <w:ind w:firstLine="480" w:firstLineChars="200"/>
        <w:outlineLvl w:val="0"/>
        <w:rPr>
          <w:rFonts w:ascii="Times New Roman" w:hAnsi="Times New Roman" w:eastAsia="仿宋_GB2312" w:cs="Times New Roman"/>
          <w:sz w:val="24"/>
          <w:szCs w:val="24"/>
        </w:rPr>
      </w:pPr>
      <w:r>
        <w:rPr>
          <w:rFonts w:ascii="Times New Roman" w:hAnsi="Times New Roman" w:eastAsia="仿宋_GB2312" w:cs="Times New Roman"/>
          <w:sz w:val="24"/>
          <w:szCs w:val="24"/>
        </w:rPr>
        <w:t>升级更新：设备软件终身免费升级，硬件支持后续功能扩展，供应商需在新技术推出后30日内告知用户升级方案。</w:t>
      </w:r>
    </w:p>
    <w:p w14:paraId="4435A54C">
      <w:pPr>
        <w:pStyle w:val="10"/>
        <w:numPr>
          <w:ilvl w:val="0"/>
          <w:numId w:val="5"/>
        </w:numPr>
        <w:spacing w:line="360" w:lineRule="auto"/>
        <w:ind w:firstLineChars="0"/>
        <w:outlineLvl w:val="0"/>
        <w:rPr>
          <w:rFonts w:hint="eastAsia" w:ascii="仿宋_GB2312" w:hAnsi="宋体" w:eastAsia="仿宋_GB2312"/>
          <w:b/>
          <w:bCs/>
          <w:sz w:val="24"/>
          <w:szCs w:val="24"/>
        </w:rPr>
      </w:pPr>
      <w:r>
        <w:rPr>
          <w:rFonts w:hint="eastAsia" w:ascii="仿宋_GB2312" w:hAnsi="宋体" w:eastAsia="仿宋_GB2312"/>
          <w:b/>
          <w:bCs/>
          <w:sz w:val="24"/>
          <w:szCs w:val="24"/>
        </w:rPr>
        <w:t>各项指标要求：</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2E90B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8392705">
            <w:pPr>
              <w:adjustRightInd w:val="0"/>
              <w:snapToGrid w:val="0"/>
              <w:jc w:val="center"/>
              <w:rPr>
                <w:rFonts w:ascii="Times New Roman" w:hAnsi="Times New Roman" w:eastAsia="仿宋_GB2312" w:cs="Times New Roman"/>
                <w:b/>
                <w:szCs w:val="21"/>
              </w:rPr>
            </w:pPr>
            <w:r>
              <w:rPr>
                <w:rFonts w:hint="eastAsia" w:ascii="Times New Roman" w:hAnsi="Times New Roman" w:eastAsia="仿宋_GB2312" w:cs="Times New Roman"/>
                <w:b/>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439ADE81">
            <w:pPr>
              <w:widowControl/>
              <w:adjustRightInd w:val="0"/>
              <w:snapToGrid w:val="0"/>
              <w:jc w:val="center"/>
              <w:rPr>
                <w:rFonts w:ascii="Times New Roman" w:hAnsi="Times New Roman" w:eastAsia="仿宋_GB2312" w:cs="Times New Roman"/>
                <w:b/>
                <w:szCs w:val="21"/>
              </w:rPr>
            </w:pPr>
            <w:r>
              <w:rPr>
                <w:rFonts w:hint="eastAsia" w:ascii="Times New Roman" w:hAnsi="Times New Roman" w:eastAsia="仿宋_GB2312" w:cs="Times New Roman"/>
                <w:b/>
                <w:szCs w:val="21"/>
              </w:rPr>
              <w:t>指标项</w:t>
            </w:r>
          </w:p>
        </w:tc>
        <w:tc>
          <w:tcPr>
            <w:tcW w:w="1388" w:type="dxa"/>
            <w:tcBorders>
              <w:top w:val="single" w:color="auto" w:sz="4" w:space="0"/>
              <w:left w:val="single" w:color="auto" w:sz="4" w:space="0"/>
              <w:bottom w:val="single" w:color="auto" w:sz="4" w:space="0"/>
              <w:right w:val="single" w:color="auto" w:sz="4" w:space="0"/>
            </w:tcBorders>
            <w:vAlign w:val="center"/>
          </w:tcPr>
          <w:p w14:paraId="2756E616">
            <w:pPr>
              <w:widowControl/>
              <w:adjustRightInd w:val="0"/>
              <w:snapToGrid w:val="0"/>
              <w:jc w:val="center"/>
              <w:rPr>
                <w:rFonts w:ascii="Times New Roman" w:hAnsi="Times New Roman" w:eastAsia="仿宋_GB2312" w:cs="Times New Roman"/>
                <w:b/>
                <w:szCs w:val="21"/>
              </w:rPr>
            </w:pPr>
            <w:r>
              <w:rPr>
                <w:rFonts w:hint="eastAsia" w:ascii="Times New Roman" w:hAnsi="Times New Roman" w:eastAsia="仿宋_GB2312" w:cs="Times New Roman"/>
                <w:b/>
                <w:szCs w:val="21"/>
              </w:rPr>
              <w:t>重要性</w:t>
            </w:r>
          </w:p>
        </w:tc>
        <w:tc>
          <w:tcPr>
            <w:tcW w:w="2864" w:type="dxa"/>
            <w:tcBorders>
              <w:top w:val="single" w:color="auto" w:sz="4" w:space="0"/>
              <w:left w:val="single" w:color="auto" w:sz="4" w:space="0"/>
              <w:bottom w:val="single" w:color="auto" w:sz="4" w:space="0"/>
              <w:right w:val="single" w:color="auto" w:sz="4" w:space="0"/>
            </w:tcBorders>
            <w:vAlign w:val="center"/>
          </w:tcPr>
          <w:p w14:paraId="4BC5B10F">
            <w:pPr>
              <w:widowControl/>
              <w:adjustRightInd w:val="0"/>
              <w:snapToGrid w:val="0"/>
              <w:jc w:val="center"/>
              <w:rPr>
                <w:rFonts w:ascii="Times New Roman" w:hAnsi="Times New Roman" w:eastAsia="仿宋_GB2312" w:cs="Times New Roman"/>
                <w:b/>
                <w:szCs w:val="21"/>
              </w:rPr>
            </w:pPr>
            <w:r>
              <w:rPr>
                <w:rFonts w:hint="eastAsia" w:ascii="Times New Roman" w:hAnsi="Times New Roman" w:eastAsia="仿宋_GB2312" w:cs="Times New Roman"/>
                <w:b/>
                <w:szCs w:val="21"/>
              </w:rPr>
              <w:t>指标要求</w:t>
            </w:r>
          </w:p>
        </w:tc>
        <w:tc>
          <w:tcPr>
            <w:tcW w:w="2126" w:type="dxa"/>
            <w:tcBorders>
              <w:top w:val="single" w:color="auto" w:sz="4" w:space="0"/>
              <w:left w:val="single" w:color="auto" w:sz="4" w:space="0"/>
              <w:bottom w:val="single" w:color="auto" w:sz="4" w:space="0"/>
              <w:right w:val="single" w:color="auto" w:sz="4" w:space="0"/>
            </w:tcBorders>
            <w:vAlign w:val="center"/>
          </w:tcPr>
          <w:p w14:paraId="7A2668D5">
            <w:pPr>
              <w:widowControl/>
              <w:adjustRightInd w:val="0"/>
              <w:snapToGrid w:val="0"/>
              <w:jc w:val="center"/>
              <w:rPr>
                <w:rFonts w:ascii="Times New Roman" w:hAnsi="Times New Roman" w:eastAsia="仿宋_GB2312" w:cs="Times New Roman"/>
                <w:b/>
                <w:szCs w:val="21"/>
              </w:rPr>
            </w:pPr>
            <w:r>
              <w:rPr>
                <w:rFonts w:hint="eastAsia" w:ascii="Times New Roman" w:hAnsi="Times New Roman" w:eastAsia="仿宋_GB2312" w:cs="Times New Roman"/>
                <w:b/>
                <w:szCs w:val="21"/>
              </w:rPr>
              <w:t>证明材料要求</w:t>
            </w:r>
          </w:p>
        </w:tc>
      </w:tr>
      <w:tr w14:paraId="441D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00F8F43">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1</w:t>
            </w:r>
          </w:p>
        </w:tc>
        <w:tc>
          <w:tcPr>
            <w:tcW w:w="1134" w:type="dxa"/>
            <w:tcBorders>
              <w:top w:val="single" w:color="auto" w:sz="4" w:space="0"/>
              <w:left w:val="single" w:color="auto" w:sz="4" w:space="0"/>
              <w:bottom w:val="single" w:color="auto" w:sz="4" w:space="0"/>
              <w:right w:val="single" w:color="auto" w:sz="4" w:space="0"/>
            </w:tcBorders>
            <w:vAlign w:val="center"/>
          </w:tcPr>
          <w:p w14:paraId="6FF7B1F0">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检测范围</w:t>
            </w:r>
          </w:p>
        </w:tc>
        <w:tc>
          <w:tcPr>
            <w:tcW w:w="1388" w:type="dxa"/>
            <w:tcBorders>
              <w:top w:val="single" w:color="auto" w:sz="4" w:space="0"/>
              <w:left w:val="single" w:color="auto" w:sz="4" w:space="0"/>
              <w:bottom w:val="single" w:color="auto" w:sz="4" w:space="0"/>
              <w:right w:val="single" w:color="auto" w:sz="4" w:space="0"/>
            </w:tcBorders>
            <w:vAlign w:val="center"/>
          </w:tcPr>
          <w:p w14:paraId="0C7231A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2864" w:type="dxa"/>
            <w:tcBorders>
              <w:top w:val="single" w:color="auto" w:sz="4" w:space="0"/>
              <w:left w:val="single" w:color="auto" w:sz="4" w:space="0"/>
              <w:bottom w:val="single" w:color="auto" w:sz="4" w:space="0"/>
              <w:right w:val="single" w:color="auto" w:sz="4" w:space="0"/>
            </w:tcBorders>
            <w:vAlign w:val="center"/>
          </w:tcPr>
          <w:p w14:paraId="13E7F00C">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适用于样品中砷、汞、硒、锡、铅、铋、锑、碲、锗、镉、锌、金十二种元素的痕量分析。</w:t>
            </w:r>
          </w:p>
        </w:tc>
        <w:tc>
          <w:tcPr>
            <w:tcW w:w="2126" w:type="dxa"/>
            <w:tcBorders>
              <w:top w:val="single" w:color="auto" w:sz="4" w:space="0"/>
              <w:left w:val="single" w:color="auto" w:sz="4" w:space="0"/>
              <w:bottom w:val="single" w:color="auto" w:sz="4" w:space="0"/>
              <w:right w:val="single" w:color="auto" w:sz="4" w:space="0"/>
            </w:tcBorders>
            <w:vAlign w:val="center"/>
          </w:tcPr>
          <w:p w14:paraId="43F0B30F">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p w14:paraId="041210DB">
            <w:pPr>
              <w:widowControl/>
              <w:adjustRightInd w:val="0"/>
              <w:snapToGrid w:val="0"/>
              <w:jc w:val="center"/>
              <w:rPr>
                <w:rFonts w:ascii="Times New Roman" w:hAnsi="Times New Roman" w:eastAsia="仿宋_GB2312" w:cs="Times New Roman"/>
                <w:szCs w:val="21"/>
              </w:rPr>
            </w:pPr>
          </w:p>
        </w:tc>
      </w:tr>
      <w:tr w14:paraId="617FB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6735380">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2</w:t>
            </w:r>
          </w:p>
        </w:tc>
        <w:tc>
          <w:tcPr>
            <w:tcW w:w="1134" w:type="dxa"/>
            <w:tcBorders>
              <w:top w:val="single" w:color="auto" w:sz="4" w:space="0"/>
              <w:left w:val="single" w:color="auto" w:sz="4" w:space="0"/>
              <w:bottom w:val="single" w:color="auto" w:sz="4" w:space="0"/>
              <w:right w:val="single" w:color="auto" w:sz="4" w:space="0"/>
            </w:tcBorders>
            <w:vAlign w:val="center"/>
          </w:tcPr>
          <w:p w14:paraId="01572348">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相对标准偏差RSD</w:t>
            </w:r>
          </w:p>
        </w:tc>
        <w:tc>
          <w:tcPr>
            <w:tcW w:w="1388" w:type="dxa"/>
            <w:tcBorders>
              <w:top w:val="single" w:color="auto" w:sz="4" w:space="0"/>
              <w:left w:val="single" w:color="auto" w:sz="4" w:space="0"/>
              <w:bottom w:val="single" w:color="auto" w:sz="4" w:space="0"/>
              <w:right w:val="single" w:color="auto" w:sz="4" w:space="0"/>
            </w:tcBorders>
            <w:vAlign w:val="center"/>
          </w:tcPr>
          <w:p w14:paraId="06F1231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2864" w:type="dxa"/>
            <w:tcBorders>
              <w:top w:val="single" w:color="auto" w:sz="4" w:space="0"/>
              <w:left w:val="single" w:color="auto" w:sz="4" w:space="0"/>
              <w:bottom w:val="single" w:color="auto" w:sz="4" w:space="0"/>
              <w:right w:val="single" w:color="auto" w:sz="4" w:space="0"/>
            </w:tcBorders>
            <w:vAlign w:val="center"/>
          </w:tcPr>
          <w:p w14:paraId="6BDC5AC9">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＜0.5%</w:t>
            </w:r>
          </w:p>
        </w:tc>
        <w:tc>
          <w:tcPr>
            <w:tcW w:w="2126" w:type="dxa"/>
            <w:tcBorders>
              <w:top w:val="single" w:color="auto" w:sz="4" w:space="0"/>
              <w:left w:val="single" w:color="auto" w:sz="4" w:space="0"/>
              <w:bottom w:val="single" w:color="auto" w:sz="4" w:space="0"/>
              <w:right w:val="single" w:color="auto" w:sz="4" w:space="0"/>
            </w:tcBorders>
            <w:vAlign w:val="center"/>
          </w:tcPr>
          <w:p w14:paraId="7F93BB27">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1A3C4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CE566B4">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3</w:t>
            </w:r>
          </w:p>
        </w:tc>
        <w:tc>
          <w:tcPr>
            <w:tcW w:w="1134" w:type="dxa"/>
            <w:tcBorders>
              <w:top w:val="single" w:color="auto" w:sz="4" w:space="0"/>
              <w:left w:val="single" w:color="auto" w:sz="4" w:space="0"/>
              <w:bottom w:val="single" w:color="auto" w:sz="4" w:space="0"/>
              <w:right w:val="single" w:color="auto" w:sz="4" w:space="0"/>
            </w:tcBorders>
            <w:vAlign w:val="center"/>
          </w:tcPr>
          <w:p w14:paraId="07A214B6">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三模式进样</w:t>
            </w:r>
          </w:p>
        </w:tc>
        <w:tc>
          <w:tcPr>
            <w:tcW w:w="1388" w:type="dxa"/>
            <w:tcBorders>
              <w:top w:val="single" w:color="auto" w:sz="4" w:space="0"/>
              <w:left w:val="single" w:color="auto" w:sz="4" w:space="0"/>
              <w:bottom w:val="single" w:color="auto" w:sz="4" w:space="0"/>
              <w:right w:val="single" w:color="auto" w:sz="4" w:space="0"/>
            </w:tcBorders>
            <w:vAlign w:val="center"/>
          </w:tcPr>
          <w:p w14:paraId="70012D68">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2864" w:type="dxa"/>
            <w:tcBorders>
              <w:top w:val="single" w:color="auto" w:sz="4" w:space="0"/>
              <w:left w:val="single" w:color="auto" w:sz="4" w:space="0"/>
              <w:bottom w:val="single" w:color="auto" w:sz="4" w:space="0"/>
              <w:right w:val="single" w:color="auto" w:sz="4" w:space="0"/>
            </w:tcBorders>
            <w:vAlign w:val="center"/>
          </w:tcPr>
          <w:p w14:paraId="7837DDD2">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三模式进样：注射进样采用双顺序注射泵,微升级取样精度和补偿技术,重复性精度优于0.05%。可选择双注射泵进样；单注射泵+单蠕动泵进样；单蠕动泵进样；三者可自由切换。</w:t>
            </w:r>
          </w:p>
        </w:tc>
        <w:tc>
          <w:tcPr>
            <w:tcW w:w="2126" w:type="dxa"/>
            <w:tcBorders>
              <w:top w:val="single" w:color="auto" w:sz="4" w:space="0"/>
              <w:left w:val="single" w:color="auto" w:sz="4" w:space="0"/>
              <w:bottom w:val="single" w:color="auto" w:sz="4" w:space="0"/>
              <w:right w:val="single" w:color="auto" w:sz="4" w:space="0"/>
            </w:tcBorders>
            <w:vAlign w:val="center"/>
          </w:tcPr>
          <w:p w14:paraId="1245C8FD">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1A961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4F9BBBE">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4</w:t>
            </w:r>
          </w:p>
        </w:tc>
        <w:tc>
          <w:tcPr>
            <w:tcW w:w="1134" w:type="dxa"/>
            <w:tcBorders>
              <w:top w:val="single" w:color="auto" w:sz="4" w:space="0"/>
              <w:left w:val="single" w:color="auto" w:sz="4" w:space="0"/>
              <w:bottom w:val="single" w:color="auto" w:sz="4" w:space="0"/>
              <w:right w:val="single" w:color="auto" w:sz="4" w:space="0"/>
            </w:tcBorders>
            <w:vAlign w:val="center"/>
          </w:tcPr>
          <w:p w14:paraId="4BA4313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灯电源自动激发启辉</w:t>
            </w:r>
          </w:p>
        </w:tc>
        <w:tc>
          <w:tcPr>
            <w:tcW w:w="1388" w:type="dxa"/>
            <w:tcBorders>
              <w:top w:val="single" w:color="auto" w:sz="4" w:space="0"/>
              <w:left w:val="single" w:color="auto" w:sz="4" w:space="0"/>
              <w:bottom w:val="single" w:color="auto" w:sz="4" w:space="0"/>
              <w:right w:val="single" w:color="auto" w:sz="4" w:space="0"/>
            </w:tcBorders>
            <w:vAlign w:val="center"/>
          </w:tcPr>
          <w:p w14:paraId="750169A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2864" w:type="dxa"/>
            <w:tcBorders>
              <w:top w:val="single" w:color="auto" w:sz="4" w:space="0"/>
              <w:left w:val="single" w:color="auto" w:sz="4" w:space="0"/>
              <w:bottom w:val="single" w:color="auto" w:sz="4" w:space="0"/>
              <w:right w:val="single" w:color="auto" w:sz="4" w:space="0"/>
            </w:tcBorders>
            <w:vAlign w:val="center"/>
          </w:tcPr>
          <w:p w14:paraId="523F98A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灯电源支持双道自动激发启辉</w:t>
            </w:r>
          </w:p>
        </w:tc>
        <w:tc>
          <w:tcPr>
            <w:tcW w:w="2126" w:type="dxa"/>
            <w:tcBorders>
              <w:top w:val="single" w:color="auto" w:sz="4" w:space="0"/>
              <w:left w:val="single" w:color="auto" w:sz="4" w:space="0"/>
              <w:bottom w:val="single" w:color="auto" w:sz="4" w:space="0"/>
              <w:right w:val="single" w:color="auto" w:sz="4" w:space="0"/>
            </w:tcBorders>
            <w:vAlign w:val="center"/>
          </w:tcPr>
          <w:p w14:paraId="6CD09FF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41141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B999F6B">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5</w:t>
            </w:r>
          </w:p>
        </w:tc>
        <w:tc>
          <w:tcPr>
            <w:tcW w:w="1134" w:type="dxa"/>
            <w:tcBorders>
              <w:top w:val="single" w:color="auto" w:sz="4" w:space="0"/>
              <w:left w:val="single" w:color="auto" w:sz="4" w:space="0"/>
              <w:bottom w:val="single" w:color="auto" w:sz="4" w:space="0"/>
              <w:right w:val="single" w:color="auto" w:sz="4" w:space="0"/>
            </w:tcBorders>
            <w:vAlign w:val="center"/>
          </w:tcPr>
          <w:p w14:paraId="1F85747C">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原子化器炉丝电流监测</w:t>
            </w:r>
          </w:p>
        </w:tc>
        <w:tc>
          <w:tcPr>
            <w:tcW w:w="1388" w:type="dxa"/>
            <w:tcBorders>
              <w:top w:val="single" w:color="auto" w:sz="4" w:space="0"/>
              <w:left w:val="single" w:color="auto" w:sz="4" w:space="0"/>
              <w:bottom w:val="single" w:color="auto" w:sz="4" w:space="0"/>
              <w:right w:val="single" w:color="auto" w:sz="4" w:space="0"/>
            </w:tcBorders>
            <w:vAlign w:val="center"/>
          </w:tcPr>
          <w:p w14:paraId="5DD27DC1">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2864" w:type="dxa"/>
            <w:tcBorders>
              <w:top w:val="single" w:color="auto" w:sz="4" w:space="0"/>
              <w:left w:val="single" w:color="auto" w:sz="4" w:space="0"/>
              <w:bottom w:val="single" w:color="auto" w:sz="4" w:space="0"/>
              <w:right w:val="single" w:color="auto" w:sz="4" w:space="0"/>
            </w:tcBorders>
            <w:vAlign w:val="center"/>
          </w:tcPr>
          <w:p w14:paraId="6F2F449B">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原子化器炉丝电流监控功能，软件实时监控炉丝状态</w:t>
            </w:r>
          </w:p>
        </w:tc>
        <w:tc>
          <w:tcPr>
            <w:tcW w:w="2126" w:type="dxa"/>
            <w:tcBorders>
              <w:top w:val="single" w:color="auto" w:sz="4" w:space="0"/>
              <w:left w:val="single" w:color="auto" w:sz="4" w:space="0"/>
              <w:bottom w:val="single" w:color="auto" w:sz="4" w:space="0"/>
              <w:right w:val="single" w:color="auto" w:sz="4" w:space="0"/>
            </w:tcBorders>
            <w:vAlign w:val="center"/>
          </w:tcPr>
          <w:p w14:paraId="0367D2F1">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051D5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B0D30D6">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6</w:t>
            </w:r>
          </w:p>
        </w:tc>
        <w:tc>
          <w:tcPr>
            <w:tcW w:w="1134" w:type="dxa"/>
            <w:tcBorders>
              <w:top w:val="single" w:color="auto" w:sz="4" w:space="0"/>
              <w:left w:val="single" w:color="auto" w:sz="4" w:space="0"/>
              <w:bottom w:val="single" w:color="auto" w:sz="4" w:space="0"/>
              <w:right w:val="single" w:color="auto" w:sz="4" w:space="0"/>
            </w:tcBorders>
            <w:vAlign w:val="center"/>
          </w:tcPr>
          <w:p w14:paraId="04175B6F">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采样频率</w:t>
            </w:r>
          </w:p>
        </w:tc>
        <w:tc>
          <w:tcPr>
            <w:tcW w:w="1388" w:type="dxa"/>
            <w:tcBorders>
              <w:top w:val="single" w:color="auto" w:sz="4" w:space="0"/>
              <w:left w:val="single" w:color="auto" w:sz="4" w:space="0"/>
              <w:bottom w:val="single" w:color="auto" w:sz="4" w:space="0"/>
              <w:right w:val="single" w:color="auto" w:sz="4" w:space="0"/>
            </w:tcBorders>
            <w:vAlign w:val="center"/>
          </w:tcPr>
          <w:p w14:paraId="0F1B7510">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2864" w:type="dxa"/>
            <w:tcBorders>
              <w:top w:val="single" w:color="auto" w:sz="4" w:space="0"/>
              <w:left w:val="single" w:color="auto" w:sz="4" w:space="0"/>
              <w:bottom w:val="single" w:color="auto" w:sz="4" w:space="0"/>
              <w:right w:val="single" w:color="auto" w:sz="4" w:space="0"/>
            </w:tcBorders>
            <w:vAlign w:val="center"/>
          </w:tcPr>
          <w:p w14:paraId="2B66A215">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快速多通道采样电路，提高采样频率不低于（500Hz）。</w:t>
            </w:r>
          </w:p>
        </w:tc>
        <w:tc>
          <w:tcPr>
            <w:tcW w:w="2126" w:type="dxa"/>
            <w:tcBorders>
              <w:top w:val="single" w:color="auto" w:sz="4" w:space="0"/>
              <w:left w:val="single" w:color="auto" w:sz="4" w:space="0"/>
              <w:bottom w:val="single" w:color="auto" w:sz="4" w:space="0"/>
              <w:right w:val="single" w:color="auto" w:sz="4" w:space="0"/>
            </w:tcBorders>
            <w:vAlign w:val="center"/>
          </w:tcPr>
          <w:p w14:paraId="1B64CD1B">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4B3A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1B6A422">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7</w:t>
            </w:r>
          </w:p>
        </w:tc>
        <w:tc>
          <w:tcPr>
            <w:tcW w:w="1134" w:type="dxa"/>
            <w:tcBorders>
              <w:top w:val="single" w:color="auto" w:sz="4" w:space="0"/>
              <w:left w:val="single" w:color="auto" w:sz="4" w:space="0"/>
              <w:bottom w:val="single" w:color="auto" w:sz="4" w:space="0"/>
              <w:right w:val="single" w:color="auto" w:sz="4" w:space="0"/>
            </w:tcBorders>
            <w:vAlign w:val="center"/>
          </w:tcPr>
          <w:p w14:paraId="66C3897C">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夜间模式</w:t>
            </w:r>
          </w:p>
        </w:tc>
        <w:tc>
          <w:tcPr>
            <w:tcW w:w="1388" w:type="dxa"/>
            <w:tcBorders>
              <w:top w:val="single" w:color="auto" w:sz="4" w:space="0"/>
              <w:left w:val="single" w:color="auto" w:sz="4" w:space="0"/>
              <w:bottom w:val="single" w:color="auto" w:sz="4" w:space="0"/>
              <w:right w:val="single" w:color="auto" w:sz="4" w:space="0"/>
            </w:tcBorders>
            <w:vAlign w:val="center"/>
          </w:tcPr>
          <w:p w14:paraId="767E51C7">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2864" w:type="dxa"/>
            <w:tcBorders>
              <w:top w:val="single" w:color="auto" w:sz="4" w:space="0"/>
              <w:left w:val="single" w:color="auto" w:sz="4" w:space="0"/>
              <w:bottom w:val="single" w:color="auto" w:sz="4" w:space="0"/>
              <w:right w:val="single" w:color="auto" w:sz="4" w:space="0"/>
            </w:tcBorders>
            <w:vAlign w:val="center"/>
          </w:tcPr>
          <w:p w14:paraId="67144989">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支持仪器运行结束后休眠，以及定时自动唤醒并执行预热功能，支持静态预热和动态预热功能</w:t>
            </w:r>
          </w:p>
        </w:tc>
        <w:tc>
          <w:tcPr>
            <w:tcW w:w="2126" w:type="dxa"/>
            <w:tcBorders>
              <w:top w:val="single" w:color="auto" w:sz="4" w:space="0"/>
              <w:left w:val="single" w:color="auto" w:sz="4" w:space="0"/>
              <w:bottom w:val="single" w:color="auto" w:sz="4" w:space="0"/>
              <w:right w:val="single" w:color="auto" w:sz="4" w:space="0"/>
            </w:tcBorders>
            <w:vAlign w:val="center"/>
          </w:tcPr>
          <w:p w14:paraId="1055EB8F">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bl>
    <w:p w14:paraId="165B077F">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3D3B5CA4">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295DE0B0">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11818300">
      <w:pPr>
        <w:widowControl/>
        <w:shd w:val="clear" w:color="auto" w:fill="FFFFFF"/>
        <w:spacing w:line="360" w:lineRule="auto"/>
        <w:jc w:val="center"/>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（二）</w:t>
      </w:r>
      <w:r>
        <w:rPr>
          <w:rFonts w:hint="eastAsia" w:ascii="仿宋_GB2312" w:hAnsi="宋体" w:eastAsia="仿宋_GB2312"/>
          <w:sz w:val="28"/>
          <w:szCs w:val="28"/>
        </w:rPr>
        <w:t>电感耦合等离子体光谱仪</w:t>
      </w:r>
      <w:r>
        <w:rPr>
          <w:rFonts w:hint="eastAsia" w:ascii="仿宋_GB2312" w:hAnsi="宋体" w:eastAsia="仿宋_GB2312" w:cs="仿宋"/>
          <w:color w:val="000000"/>
          <w:kern w:val="0"/>
          <w:sz w:val="28"/>
          <w:szCs w:val="28"/>
          <w:shd w:val="clear" w:color="auto" w:fill="FFFFFF"/>
        </w:rPr>
        <w:t>（1台）</w:t>
      </w:r>
    </w:p>
    <w:p w14:paraId="308B6048">
      <w:pPr>
        <w:widowControl/>
        <w:shd w:val="clear" w:color="auto" w:fill="FFFFFF"/>
        <w:spacing w:line="360" w:lineRule="auto"/>
        <w:ind w:firstLine="482" w:firstLineChars="200"/>
        <w:jc w:val="left"/>
        <w:rPr>
          <w:rFonts w:hint="eastAsia" w:ascii="仿宋_GB2312" w:hAnsi="宋体" w:eastAsia="仿宋_GB2312"/>
          <w:b/>
          <w:bCs/>
          <w:i/>
          <w:iCs/>
          <w:sz w:val="24"/>
          <w:szCs w:val="24"/>
        </w:rPr>
      </w:pPr>
      <w:r>
        <w:rPr>
          <w:rFonts w:hint="eastAsia" w:ascii="仿宋_GB2312" w:hAnsi="宋体" w:eastAsia="仿宋_GB2312"/>
          <w:b/>
          <w:bCs/>
          <w:sz w:val="24"/>
          <w:szCs w:val="24"/>
        </w:rPr>
        <w:t>1.功能要求：</w:t>
      </w:r>
    </w:p>
    <w:p w14:paraId="6DF9765B">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本设备用于支撑《环境微生物》、《生态学》、《地下水污染与防治》、《水文地球化学》、《环境监测》和《环境地球化学》等课程的实践教学，支持北戴河、秭归等野外实习基地的样品元素分析，满足本科生、研究生论文研究的测试需求。</w:t>
      </w:r>
    </w:p>
    <w:p w14:paraId="163E76D9">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该设备能实现：地表水、地下水、土壤，植物等样品中重金属和半金属元素的定性定量检测，可以快速了解样品中各元素的准确含量；结合同位素示踪技术，构建元素地球化学循环的全尺度示踪链条，为环境科学和环境地球化学中的元素示踪题提供高精度数据。</w:t>
      </w:r>
    </w:p>
    <w:p w14:paraId="521802AD">
      <w:pPr>
        <w:widowControl/>
        <w:numPr>
          <w:ilvl w:val="0"/>
          <w:numId w:val="6"/>
        </w:numPr>
        <w:shd w:val="clear" w:color="auto" w:fill="FFFFFF"/>
        <w:spacing w:line="360" w:lineRule="auto"/>
        <w:ind w:firstLine="482" w:firstLineChars="200"/>
        <w:jc w:val="left"/>
        <w:rPr>
          <w:rFonts w:hint="eastAsia" w:ascii="仿宋_GB2312" w:hAnsi="宋体" w:eastAsia="仿宋_GB2312"/>
          <w:b/>
          <w:bCs/>
          <w:sz w:val="24"/>
          <w:szCs w:val="24"/>
        </w:rPr>
      </w:pPr>
      <w:r>
        <w:rPr>
          <w:rFonts w:hint="eastAsia" w:ascii="仿宋_GB2312" w:hAnsi="宋体" w:eastAsia="仿宋_GB2312"/>
          <w:b/>
          <w:bCs/>
          <w:sz w:val="24"/>
          <w:szCs w:val="24"/>
        </w:rPr>
        <w:t>应遵循的相关国家标准、行业标准、地方标准等标准、规范：</w:t>
      </w:r>
    </w:p>
    <w:p w14:paraId="7E2B8DDF">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主要参考国家标准：JJG 768-2005 发射光谱仪，GB/T 36244-2018 电感耦合等离子体原子发射光谱仪等。</w:t>
      </w:r>
    </w:p>
    <w:p w14:paraId="67EE9AD9">
      <w:pPr>
        <w:widowControl/>
        <w:numPr>
          <w:ilvl w:val="0"/>
          <w:numId w:val="6"/>
        </w:numPr>
        <w:shd w:val="clear" w:color="auto" w:fill="FFFFFF"/>
        <w:spacing w:line="360" w:lineRule="auto"/>
        <w:ind w:firstLine="482" w:firstLineChars="200"/>
        <w:rPr>
          <w:rFonts w:hint="eastAsia" w:ascii="仿宋_GB2312" w:hAnsi="宋体" w:eastAsia="仿宋_GB2312"/>
          <w:b/>
          <w:bCs/>
          <w:sz w:val="24"/>
          <w:szCs w:val="24"/>
        </w:rPr>
      </w:pPr>
      <w:r>
        <w:rPr>
          <w:rFonts w:hint="eastAsia" w:ascii="仿宋_GB2312" w:hAnsi="宋体" w:eastAsia="仿宋_GB2312"/>
          <w:b/>
          <w:bCs/>
          <w:sz w:val="24"/>
          <w:szCs w:val="24"/>
        </w:rPr>
        <w:t>后续运营维护、升级更新、备品备件等要求：</w:t>
      </w:r>
    </w:p>
    <w:p w14:paraId="47B753F8">
      <w:pPr>
        <w:spacing w:line="360" w:lineRule="auto"/>
        <w:ind w:firstLine="480" w:firstLineChars="200"/>
        <w:outlineLvl w:val="0"/>
        <w:rPr>
          <w:rFonts w:ascii="Times New Roman" w:hAnsi="Times New Roman" w:eastAsia="仿宋_GB2312" w:cs="Times New Roman"/>
          <w:sz w:val="24"/>
          <w:szCs w:val="24"/>
        </w:rPr>
      </w:pPr>
      <w:r>
        <w:rPr>
          <w:rFonts w:ascii="Times New Roman" w:hAnsi="Times New Roman" w:eastAsia="仿宋_GB2312" w:cs="Times New Roman"/>
          <w:sz w:val="24"/>
          <w:szCs w:val="24"/>
        </w:rPr>
        <w:t>运维服务：供应商需提供≥2年整机质保（含光栅、CCD等核心部件），质保期内每半年开展1次现场巡检，故障响应时间≤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w:t>
      </w:r>
      <w:r>
        <w:rPr>
          <w:rFonts w:hint="eastAsia" w:ascii="Times New Roman" w:hAnsi="Times New Roman" w:eastAsia="仿宋_GB2312" w:cs="Times New Roman"/>
          <w:sz w:val="24"/>
          <w:szCs w:val="24"/>
        </w:rPr>
        <w:t>。</w:t>
      </w:r>
      <w:r>
        <w:rPr>
          <w:rFonts w:ascii="Times New Roman" w:hAnsi="Times New Roman" w:eastAsia="仿宋_GB2312" w:cs="Times New Roman"/>
          <w:iCs/>
          <w:sz w:val="24"/>
          <w:szCs w:val="24"/>
        </w:rPr>
        <w:t>提供2天以上现场培训，交通等与培训相关的费用均由成交供应商承担。</w:t>
      </w:r>
    </w:p>
    <w:p w14:paraId="5F1D2277">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升级更新：设备软件终身免费升级，硬件支持后续功能扩展，供应商需在新技术推出后30日内告知用户升级方案。</w:t>
      </w:r>
    </w:p>
    <w:p w14:paraId="7BC0131B">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备品备件：质保期外提供全生命周期备件供应保障（承诺供应周期≥10年），常用备件（如激光器窗口片、CCD制冷模块、物镜等）需在用户提出需求后7个工作日内到货；提供备件价格清单，确保价格不高于市场同期水平。</w:t>
      </w:r>
    </w:p>
    <w:p w14:paraId="12A9F7E2">
      <w:pPr>
        <w:pStyle w:val="10"/>
        <w:numPr>
          <w:ilvl w:val="0"/>
          <w:numId w:val="6"/>
        </w:numPr>
        <w:spacing w:line="360" w:lineRule="auto"/>
        <w:ind w:firstLineChars="0"/>
        <w:outlineLvl w:val="0"/>
        <w:rPr>
          <w:rFonts w:hint="eastAsia" w:ascii="仿宋_GB2312" w:hAnsi="宋体" w:eastAsia="仿宋_GB2312"/>
          <w:b/>
          <w:bCs/>
          <w:sz w:val="24"/>
          <w:szCs w:val="24"/>
        </w:rPr>
      </w:pPr>
      <w:r>
        <w:rPr>
          <w:rFonts w:hint="eastAsia" w:ascii="仿宋_GB2312" w:hAnsi="宋体" w:eastAsia="仿宋_GB2312"/>
          <w:b/>
          <w:bCs/>
          <w:sz w:val="24"/>
          <w:szCs w:val="24"/>
        </w:rPr>
        <w:t>各项指标要求：</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3289"/>
        <w:gridCol w:w="1701"/>
      </w:tblGrid>
      <w:tr w14:paraId="4340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C89D354">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4E7D4476">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36B841F4">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重要性</w:t>
            </w:r>
          </w:p>
        </w:tc>
        <w:tc>
          <w:tcPr>
            <w:tcW w:w="3289" w:type="dxa"/>
            <w:vAlign w:val="center"/>
          </w:tcPr>
          <w:p w14:paraId="55C6F45F">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指标要求</w:t>
            </w:r>
          </w:p>
        </w:tc>
        <w:tc>
          <w:tcPr>
            <w:tcW w:w="1701" w:type="dxa"/>
            <w:vAlign w:val="center"/>
          </w:tcPr>
          <w:p w14:paraId="4C99CC55">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证明材料要求</w:t>
            </w:r>
          </w:p>
        </w:tc>
      </w:tr>
      <w:tr w14:paraId="08C0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645954D">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1</w:t>
            </w:r>
          </w:p>
        </w:tc>
        <w:tc>
          <w:tcPr>
            <w:tcW w:w="1134" w:type="dxa"/>
            <w:vAlign w:val="center"/>
          </w:tcPr>
          <w:p w14:paraId="567D6005">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光栅焦距</w:t>
            </w:r>
          </w:p>
        </w:tc>
        <w:tc>
          <w:tcPr>
            <w:tcW w:w="1388" w:type="dxa"/>
            <w:vAlign w:val="center"/>
          </w:tcPr>
          <w:p w14:paraId="22D990BC">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3289" w:type="dxa"/>
            <w:vAlign w:val="center"/>
          </w:tcPr>
          <w:p w14:paraId="0F924BE0">
            <w:pPr>
              <w:widowControl/>
              <w:adjustRightInd w:val="0"/>
              <w:snapToGrid w:val="0"/>
              <w:jc w:val="left"/>
              <w:rPr>
                <w:rFonts w:ascii="Times New Roman" w:hAnsi="Times New Roman" w:eastAsia="仿宋_GB2312" w:cs="Times New Roman"/>
                <w:szCs w:val="21"/>
              </w:rPr>
            </w:pPr>
            <w:r>
              <w:rPr>
                <w:rFonts w:hint="eastAsia" w:ascii="Times New Roman" w:hAnsi="Times New Roman" w:eastAsia="仿宋_GB2312" w:cs="Times New Roman"/>
                <w:szCs w:val="21"/>
              </w:rPr>
              <w:t>焦距：</w:t>
            </w:r>
            <w:r>
              <w:rPr>
                <w:rFonts w:ascii="Times New Roman" w:hAnsi="Times New Roman" w:eastAsia="仿宋_GB2312" w:cs="Times New Roman"/>
                <w:szCs w:val="21"/>
              </w:rPr>
              <w:t>≥</w:t>
            </w:r>
            <w:r>
              <w:rPr>
                <w:rFonts w:hint="eastAsia" w:ascii="Times New Roman" w:hAnsi="Times New Roman" w:eastAsia="仿宋_GB2312" w:cs="Times New Roman"/>
                <w:szCs w:val="21"/>
              </w:rPr>
              <w:t xml:space="preserve">400mm </w:t>
            </w:r>
          </w:p>
        </w:tc>
        <w:tc>
          <w:tcPr>
            <w:tcW w:w="1701" w:type="dxa"/>
            <w:vAlign w:val="center"/>
          </w:tcPr>
          <w:p w14:paraId="7A75801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57347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6565681">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2</w:t>
            </w:r>
          </w:p>
        </w:tc>
        <w:tc>
          <w:tcPr>
            <w:tcW w:w="1134" w:type="dxa"/>
            <w:vAlign w:val="center"/>
          </w:tcPr>
          <w:p w14:paraId="494174B8">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分析谱线范围</w:t>
            </w:r>
          </w:p>
        </w:tc>
        <w:tc>
          <w:tcPr>
            <w:tcW w:w="1388" w:type="dxa"/>
            <w:vAlign w:val="center"/>
          </w:tcPr>
          <w:p w14:paraId="6F279939">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3289" w:type="dxa"/>
            <w:vAlign w:val="center"/>
          </w:tcPr>
          <w:p w14:paraId="5D2E0C80">
            <w:pPr>
              <w:widowControl/>
              <w:adjustRightInd w:val="0"/>
              <w:snapToGrid w:val="0"/>
              <w:jc w:val="left"/>
              <w:rPr>
                <w:rFonts w:ascii="Times New Roman" w:hAnsi="Times New Roman" w:eastAsia="仿宋_GB2312" w:cs="Times New Roman"/>
                <w:szCs w:val="21"/>
              </w:rPr>
            </w:pPr>
            <w:r>
              <w:rPr>
                <w:rFonts w:hint="eastAsia" w:ascii="Times New Roman" w:hAnsi="Times New Roman" w:eastAsia="仿宋_GB2312" w:cs="Times New Roman"/>
                <w:szCs w:val="21"/>
              </w:rPr>
              <w:t>165nm-950nm</w:t>
            </w:r>
          </w:p>
        </w:tc>
        <w:tc>
          <w:tcPr>
            <w:tcW w:w="1701" w:type="dxa"/>
            <w:vAlign w:val="center"/>
          </w:tcPr>
          <w:p w14:paraId="4AA280D0">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1BFDF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3D7BEA3">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3</w:t>
            </w:r>
          </w:p>
        </w:tc>
        <w:tc>
          <w:tcPr>
            <w:tcW w:w="1134" w:type="dxa"/>
            <w:vAlign w:val="center"/>
          </w:tcPr>
          <w:p w14:paraId="56B93659">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光室恒温</w:t>
            </w:r>
          </w:p>
        </w:tc>
        <w:tc>
          <w:tcPr>
            <w:tcW w:w="1388" w:type="dxa"/>
            <w:vAlign w:val="center"/>
          </w:tcPr>
          <w:p w14:paraId="1A66EAF2">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3289" w:type="dxa"/>
            <w:vAlign w:val="center"/>
          </w:tcPr>
          <w:p w14:paraId="79500DFE">
            <w:pPr>
              <w:widowControl/>
              <w:adjustRightInd w:val="0"/>
              <w:snapToGrid w:val="0"/>
              <w:jc w:val="left"/>
              <w:rPr>
                <w:rFonts w:ascii="Times New Roman" w:hAnsi="Times New Roman" w:eastAsia="仿宋_GB2312" w:cs="Times New Roman"/>
                <w:szCs w:val="21"/>
              </w:rPr>
            </w:pPr>
            <w:r>
              <w:rPr>
                <w:rFonts w:hint="eastAsia" w:ascii="Times New Roman" w:hAnsi="Times New Roman" w:eastAsia="仿宋_GB2312" w:cs="Times New Roman"/>
                <w:szCs w:val="21"/>
              </w:rPr>
              <w:t xml:space="preserve">高精度恒温38℃±0.1℃ </w:t>
            </w:r>
          </w:p>
        </w:tc>
        <w:tc>
          <w:tcPr>
            <w:tcW w:w="1701" w:type="dxa"/>
            <w:vAlign w:val="center"/>
          </w:tcPr>
          <w:p w14:paraId="0F35BF70">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2DB2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7FC422E">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4</w:t>
            </w:r>
          </w:p>
        </w:tc>
        <w:tc>
          <w:tcPr>
            <w:tcW w:w="1134" w:type="dxa"/>
            <w:vAlign w:val="center"/>
          </w:tcPr>
          <w:p w14:paraId="2383E9B4">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固态光源技术</w:t>
            </w:r>
          </w:p>
        </w:tc>
        <w:tc>
          <w:tcPr>
            <w:tcW w:w="1388" w:type="dxa"/>
            <w:vAlign w:val="center"/>
          </w:tcPr>
          <w:p w14:paraId="16A97622">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3289" w:type="dxa"/>
            <w:vAlign w:val="center"/>
          </w:tcPr>
          <w:p w14:paraId="7E25C4B9">
            <w:pPr>
              <w:widowControl/>
              <w:adjustRightInd w:val="0"/>
              <w:snapToGrid w:val="0"/>
              <w:jc w:val="left"/>
              <w:rPr>
                <w:rFonts w:ascii="Times New Roman" w:hAnsi="Times New Roman" w:eastAsia="仿宋_GB2312" w:cs="Times New Roman"/>
                <w:szCs w:val="21"/>
              </w:rPr>
            </w:pPr>
            <w:r>
              <w:rPr>
                <w:rFonts w:hint="eastAsia" w:ascii="Times New Roman" w:hAnsi="Times New Roman" w:eastAsia="仿宋_GB2312" w:cs="Times New Roman"/>
                <w:szCs w:val="21"/>
              </w:rPr>
              <w:t>频率≥27.12MHz，它激式全固态RF发生器，功率500-1600W步进1W连续可调，耦合效率大于85%，功率稳定性≤0.1%，RF频率稳定性：≤0.01%</w:t>
            </w:r>
          </w:p>
        </w:tc>
        <w:tc>
          <w:tcPr>
            <w:tcW w:w="1701" w:type="dxa"/>
            <w:vAlign w:val="center"/>
          </w:tcPr>
          <w:p w14:paraId="09F8ED43">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6A86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35A8568">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5</w:t>
            </w:r>
          </w:p>
        </w:tc>
        <w:tc>
          <w:tcPr>
            <w:tcW w:w="1134" w:type="dxa"/>
            <w:vAlign w:val="center"/>
          </w:tcPr>
          <w:p w14:paraId="02BCB024">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仪器检出限</w:t>
            </w:r>
          </w:p>
        </w:tc>
        <w:tc>
          <w:tcPr>
            <w:tcW w:w="1388" w:type="dxa"/>
            <w:vAlign w:val="center"/>
          </w:tcPr>
          <w:p w14:paraId="1BBE01E3">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3289" w:type="dxa"/>
            <w:vAlign w:val="center"/>
          </w:tcPr>
          <w:p w14:paraId="635B2CC5">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主要元素（Zn，Mn，Cr, Cu, Ba）检出限不高于1μg/L</w:t>
            </w:r>
          </w:p>
        </w:tc>
        <w:tc>
          <w:tcPr>
            <w:tcW w:w="1701" w:type="dxa"/>
            <w:vAlign w:val="center"/>
          </w:tcPr>
          <w:p w14:paraId="3BD1611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01F91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5308938">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6</w:t>
            </w:r>
          </w:p>
        </w:tc>
        <w:tc>
          <w:tcPr>
            <w:tcW w:w="1134" w:type="dxa"/>
            <w:vAlign w:val="center"/>
          </w:tcPr>
          <w:p w14:paraId="420D140B">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冷却系统：</w:t>
            </w:r>
          </w:p>
        </w:tc>
        <w:tc>
          <w:tcPr>
            <w:tcW w:w="1388" w:type="dxa"/>
            <w:vAlign w:val="center"/>
          </w:tcPr>
          <w:p w14:paraId="0AC6B6A7">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3289" w:type="dxa"/>
            <w:vAlign w:val="center"/>
          </w:tcPr>
          <w:p w14:paraId="0459D12E">
            <w:pPr>
              <w:widowControl/>
              <w:adjustRightInd w:val="0"/>
              <w:snapToGrid w:val="0"/>
              <w:jc w:val="left"/>
              <w:rPr>
                <w:rFonts w:ascii="Times New Roman" w:hAnsi="Times New Roman" w:eastAsia="仿宋_GB2312" w:cs="Times New Roman"/>
                <w:szCs w:val="21"/>
              </w:rPr>
            </w:pPr>
            <w:r>
              <w:rPr>
                <w:rFonts w:hint="eastAsia" w:ascii="Times New Roman" w:hAnsi="Times New Roman" w:eastAsia="仿宋_GB2312" w:cs="Times New Roman"/>
                <w:szCs w:val="21"/>
              </w:rPr>
              <w:t>高效的三级半导体制冷，制冷温度：≤-35℃，稳定时间&lt;3分钟</w:t>
            </w:r>
          </w:p>
        </w:tc>
        <w:tc>
          <w:tcPr>
            <w:tcW w:w="1701" w:type="dxa"/>
            <w:vAlign w:val="center"/>
          </w:tcPr>
          <w:p w14:paraId="04BA8125">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338C9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C913977">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7</w:t>
            </w:r>
          </w:p>
        </w:tc>
        <w:tc>
          <w:tcPr>
            <w:tcW w:w="1134" w:type="dxa"/>
            <w:vAlign w:val="center"/>
          </w:tcPr>
          <w:p w14:paraId="7A566A96">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检测单元</w:t>
            </w:r>
          </w:p>
        </w:tc>
        <w:tc>
          <w:tcPr>
            <w:tcW w:w="1388" w:type="dxa"/>
            <w:vAlign w:val="center"/>
          </w:tcPr>
          <w:p w14:paraId="604403F6">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3289" w:type="dxa"/>
            <w:vAlign w:val="center"/>
          </w:tcPr>
          <w:p w14:paraId="2C58DDCB">
            <w:pPr>
              <w:widowControl/>
              <w:adjustRightInd w:val="0"/>
              <w:snapToGrid w:val="0"/>
              <w:jc w:val="left"/>
              <w:rPr>
                <w:rFonts w:ascii="Times New Roman" w:hAnsi="Times New Roman" w:eastAsia="仿宋_GB2312" w:cs="Times New Roman"/>
                <w:szCs w:val="21"/>
              </w:rPr>
            </w:pPr>
            <w:r>
              <w:rPr>
                <w:rFonts w:hint="eastAsia" w:ascii="Times New Roman" w:hAnsi="Times New Roman" w:eastAsia="仿宋_GB2312" w:cs="Times New Roman"/>
                <w:szCs w:val="21"/>
              </w:rPr>
              <w:t>像面尺寸≥25.4mm x 25.4mm；CCD像素：一次曝光，完成全谱光谱信号的采集读取</w:t>
            </w:r>
          </w:p>
        </w:tc>
        <w:tc>
          <w:tcPr>
            <w:tcW w:w="1701" w:type="dxa"/>
            <w:vAlign w:val="center"/>
          </w:tcPr>
          <w:p w14:paraId="68417E06">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26C8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4B2D4D0">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8</w:t>
            </w:r>
          </w:p>
        </w:tc>
        <w:tc>
          <w:tcPr>
            <w:tcW w:w="1134" w:type="dxa"/>
            <w:vAlign w:val="center"/>
          </w:tcPr>
          <w:p w14:paraId="4B9AF7B8">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随机标准品配制清单</w:t>
            </w:r>
          </w:p>
        </w:tc>
        <w:tc>
          <w:tcPr>
            <w:tcW w:w="1388" w:type="dxa"/>
            <w:vAlign w:val="center"/>
          </w:tcPr>
          <w:p w14:paraId="131E249D">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3289" w:type="dxa"/>
            <w:vAlign w:val="center"/>
          </w:tcPr>
          <w:p w14:paraId="066F5B8D">
            <w:pPr>
              <w:widowControl/>
              <w:adjustRightInd w:val="0"/>
              <w:snapToGrid w:val="0"/>
              <w:jc w:val="left"/>
              <w:rPr>
                <w:rFonts w:ascii="Times New Roman" w:hAnsi="Times New Roman" w:eastAsia="仿宋_GB2312" w:cs="Times New Roman"/>
                <w:szCs w:val="21"/>
              </w:rPr>
            </w:pPr>
            <w:r>
              <w:rPr>
                <w:rFonts w:hint="eastAsia" w:ascii="Times New Roman" w:hAnsi="Times New Roman" w:eastAsia="仿宋_GB2312" w:cs="Times New Roman"/>
                <w:szCs w:val="21"/>
              </w:rPr>
              <w:t>电脑（配制优于内存8G，固态硬盘 512G）1台，黑白激光打印机1台，系列标准品（不少于30个元素）</w:t>
            </w:r>
          </w:p>
        </w:tc>
        <w:tc>
          <w:tcPr>
            <w:tcW w:w="1701" w:type="dxa"/>
            <w:vAlign w:val="center"/>
          </w:tcPr>
          <w:p w14:paraId="7917F2C1">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bl>
    <w:p w14:paraId="2B249BC1">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3677F9FB">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33BDD4DF">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149C3BD1">
      <w:pPr>
        <w:widowControl/>
        <w:shd w:val="clear" w:color="auto" w:fill="FFFFFF"/>
        <w:spacing w:line="360" w:lineRule="auto"/>
        <w:jc w:val="center"/>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（三）</w:t>
      </w:r>
      <w:r>
        <w:rPr>
          <w:rFonts w:hint="eastAsia" w:ascii="仿宋_GB2312" w:hAnsi="宋体" w:eastAsia="仿宋_GB2312"/>
          <w:sz w:val="28"/>
          <w:szCs w:val="28"/>
        </w:rPr>
        <w:t>光纤光谱仪</w:t>
      </w:r>
      <w:r>
        <w:rPr>
          <w:rFonts w:hint="eastAsia" w:ascii="仿宋_GB2312" w:hAnsi="宋体" w:eastAsia="仿宋_GB2312" w:cs="仿宋"/>
          <w:color w:val="000000"/>
          <w:kern w:val="0"/>
          <w:sz w:val="28"/>
          <w:szCs w:val="28"/>
          <w:shd w:val="clear" w:color="auto" w:fill="FFFFFF"/>
        </w:rPr>
        <w:t>（1台）</w:t>
      </w:r>
    </w:p>
    <w:p w14:paraId="48AF7B5F">
      <w:pPr>
        <w:widowControl/>
        <w:shd w:val="clear" w:color="auto" w:fill="FFFFFF"/>
        <w:spacing w:line="360" w:lineRule="auto"/>
        <w:ind w:firstLine="482" w:firstLineChars="200"/>
        <w:jc w:val="left"/>
        <w:rPr>
          <w:rFonts w:hint="eastAsia" w:ascii="仿宋_GB2312" w:hAnsi="宋体" w:eastAsia="仿宋_GB2312"/>
          <w:b/>
          <w:bCs/>
          <w:i/>
          <w:iCs/>
          <w:sz w:val="24"/>
          <w:szCs w:val="24"/>
        </w:rPr>
      </w:pPr>
      <w:r>
        <w:rPr>
          <w:rFonts w:hint="eastAsia" w:ascii="仿宋_GB2312" w:hAnsi="宋体" w:eastAsia="仿宋_GB2312"/>
          <w:b/>
          <w:bCs/>
          <w:sz w:val="24"/>
          <w:szCs w:val="24"/>
        </w:rPr>
        <w:t>1.功能要求：</w:t>
      </w:r>
    </w:p>
    <w:p w14:paraId="0F1CB911">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本设备用于支撑地质学和行星科学领域的教学与科研，重点服务于《新星科学概论》、《行星天文学》、《行星地质学》等本科课程实验，</w:t>
      </w:r>
      <w:r>
        <w:rPr>
          <w:rFonts w:ascii="仿宋_GB2312" w:hAnsi="宋体" w:eastAsia="仿宋_GB2312"/>
          <w:sz w:val="24"/>
          <w:szCs w:val="24"/>
        </w:rPr>
        <w:t>强化学生对光谱测量原理、探测器性能及数据采集方法的理解； 支撑地质、材料、行星科学等方向的实验课程建设； 提升学生分析复杂光谱数据和解决实际问题的能力。 该设备为专用于教学与实验的专业光谱仪器，不可由通用设备替代，符合以旧换新政策中“设备更新、服务教学、支撑人才培养”的要求</w:t>
      </w:r>
      <w:r>
        <w:rPr>
          <w:rFonts w:hint="eastAsia" w:ascii="仿宋_GB2312" w:hAnsi="宋体" w:eastAsia="仿宋_GB2312"/>
          <w:sz w:val="24"/>
          <w:szCs w:val="24"/>
        </w:rPr>
        <w:t>。</w:t>
      </w:r>
    </w:p>
    <w:p w14:paraId="5BF47493">
      <w:pPr>
        <w:widowControl/>
        <w:numPr>
          <w:ilvl w:val="0"/>
          <w:numId w:val="7"/>
        </w:numPr>
        <w:shd w:val="clear" w:color="auto" w:fill="FFFFFF"/>
        <w:spacing w:line="360" w:lineRule="auto"/>
        <w:ind w:firstLine="482" w:firstLineChars="200"/>
        <w:rPr>
          <w:rFonts w:hint="eastAsia" w:ascii="仿宋_GB2312" w:hAnsi="宋体" w:eastAsia="仿宋_GB2312"/>
          <w:b/>
          <w:bCs/>
          <w:sz w:val="24"/>
          <w:szCs w:val="24"/>
        </w:rPr>
      </w:pPr>
      <w:r>
        <w:rPr>
          <w:rFonts w:hint="eastAsia" w:ascii="仿宋_GB2312" w:hAnsi="宋体" w:eastAsia="仿宋_GB2312"/>
          <w:b/>
          <w:bCs/>
          <w:sz w:val="24"/>
          <w:szCs w:val="24"/>
        </w:rPr>
        <w:t>后续运营维护、升级更新、备品备件等要求：</w:t>
      </w:r>
    </w:p>
    <w:p w14:paraId="19881360">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运维服务：</w:t>
      </w:r>
      <w:r>
        <w:rPr>
          <w:rFonts w:ascii="Times New Roman" w:hAnsi="Times New Roman" w:eastAsia="仿宋_GB2312" w:cs="Times New Roman"/>
          <w:sz w:val="24"/>
          <w:szCs w:val="24"/>
        </w:rPr>
        <w:t>供应商需提供≥2年整机质保</w:t>
      </w:r>
      <w:r>
        <w:rPr>
          <w:rFonts w:hint="eastAsia" w:ascii="仿宋_GB2312" w:hAnsi="宋体" w:eastAsia="仿宋_GB2312"/>
          <w:sz w:val="24"/>
          <w:szCs w:val="24"/>
        </w:rPr>
        <w:t>（含激光器、CCD等核心部件）</w:t>
      </w:r>
      <w:r>
        <w:rPr>
          <w:rFonts w:ascii="Times New Roman" w:hAnsi="Times New Roman" w:eastAsia="仿宋_GB2312" w:cs="Times New Roman"/>
          <w:sz w:val="24"/>
          <w:szCs w:val="24"/>
        </w:rPr>
        <w:t>，质保期内每半年开展1次现场巡检，故障响应时间≤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w:t>
      </w:r>
      <w:r>
        <w:rPr>
          <w:rFonts w:hint="eastAsia" w:ascii="Times New Roman" w:hAnsi="Times New Roman" w:eastAsia="仿宋_GB2312" w:cs="Times New Roman"/>
          <w:sz w:val="24"/>
          <w:szCs w:val="24"/>
        </w:rPr>
        <w:t>。</w:t>
      </w:r>
      <w:r>
        <w:rPr>
          <w:rFonts w:ascii="Times New Roman" w:hAnsi="Times New Roman" w:eastAsia="仿宋_GB2312" w:cs="Times New Roman"/>
          <w:iCs/>
          <w:sz w:val="24"/>
          <w:szCs w:val="24"/>
        </w:rPr>
        <w:t>提供2天以上现场培训，交通等与培训相关的费用均由成交供应商承担。</w:t>
      </w:r>
    </w:p>
    <w:p w14:paraId="6036051A">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升级更新：设备软件终身免费升级，硬件支持后续功能扩展，供应商需在新技术推出后30日内告知用户升级方案。</w:t>
      </w:r>
    </w:p>
    <w:p w14:paraId="136EAAAA">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备品备件：质保期外提供全生命周期备件供应保障（承诺供应周期≥10年），常用备件（如光纤、CCD制冷模块、探头等）需在用户提出需求后7个工作日内到货；提供备件价格清单，确保价格不高于市场同期水平。</w:t>
      </w:r>
    </w:p>
    <w:p w14:paraId="1795E4AC">
      <w:pPr>
        <w:spacing w:line="360" w:lineRule="auto"/>
        <w:ind w:firstLine="482" w:firstLineChars="200"/>
        <w:outlineLvl w:val="0"/>
        <w:rPr>
          <w:rFonts w:hint="eastAsia" w:ascii="仿宋_GB2312" w:hAnsi="宋体" w:eastAsia="仿宋_GB2312"/>
          <w:sz w:val="24"/>
          <w:szCs w:val="24"/>
        </w:rPr>
      </w:pPr>
      <w:r>
        <w:rPr>
          <w:rFonts w:hint="eastAsia" w:ascii="仿宋_GB2312" w:hAnsi="宋体" w:eastAsia="仿宋_GB2312"/>
          <w:b/>
          <w:bCs/>
          <w:sz w:val="24"/>
          <w:szCs w:val="24"/>
        </w:rPr>
        <w:t>3.各项指标要求：</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6186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9CA3DC8">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6EB0FD97">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16FD8531">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16EB5BAE">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5E28E27F">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证明材料要求</w:t>
            </w:r>
          </w:p>
        </w:tc>
      </w:tr>
      <w:tr w14:paraId="5BFFD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0FFFF5D">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1134" w:type="dxa"/>
            <w:vAlign w:val="center"/>
          </w:tcPr>
          <w:p w14:paraId="27F47AB6">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可见光谱范围</w:t>
            </w:r>
          </w:p>
        </w:tc>
        <w:tc>
          <w:tcPr>
            <w:tcW w:w="1388" w:type="dxa"/>
            <w:vAlign w:val="center"/>
          </w:tcPr>
          <w:p w14:paraId="69146F8E">
            <w:pPr>
              <w:widowControl/>
              <w:adjustRightInd w:val="0"/>
              <w:snapToGrid w:val="0"/>
              <w:jc w:val="center"/>
              <w:rPr>
                <w:rFonts w:ascii="Times New Roman" w:hAnsi="Times New Roman" w:eastAsia="仿宋_GB2312" w:cs="Times New Roman"/>
                <w:szCs w:val="21"/>
              </w:rPr>
            </w:pPr>
          </w:p>
        </w:tc>
        <w:tc>
          <w:tcPr>
            <w:tcW w:w="2864" w:type="dxa"/>
            <w:vAlign w:val="center"/>
          </w:tcPr>
          <w:p w14:paraId="500899D0">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覆盖</w:t>
            </w:r>
            <w:r>
              <w:rPr>
                <w:rFonts w:ascii="Times New Roman" w:hAnsi="Times New Roman" w:eastAsia="仿宋_GB2312" w:cs="Times New Roman"/>
                <w:szCs w:val="21"/>
              </w:rPr>
              <w:t>200-980nm；分辨率：</w:t>
            </w:r>
            <w:r>
              <w:rPr>
                <w:rFonts w:hint="eastAsia" w:ascii="Times New Roman" w:hAnsi="Times New Roman" w:eastAsia="仿宋_GB2312" w:cs="Times New Roman"/>
                <w:szCs w:val="21"/>
              </w:rPr>
              <w:t>≤</w:t>
            </w:r>
            <w:r>
              <w:rPr>
                <w:rFonts w:ascii="Times New Roman" w:hAnsi="Times New Roman" w:eastAsia="仿宋_GB2312" w:cs="Times New Roman"/>
                <w:szCs w:val="21"/>
              </w:rPr>
              <w:t>2.52nm</w:t>
            </w:r>
          </w:p>
        </w:tc>
        <w:tc>
          <w:tcPr>
            <w:tcW w:w="2126" w:type="dxa"/>
            <w:vAlign w:val="center"/>
          </w:tcPr>
          <w:p w14:paraId="7501AABC">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3CDA6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0E3FEEA">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2</w:t>
            </w:r>
          </w:p>
        </w:tc>
        <w:tc>
          <w:tcPr>
            <w:tcW w:w="1134" w:type="dxa"/>
            <w:vAlign w:val="center"/>
          </w:tcPr>
          <w:p w14:paraId="45B703D1">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光路结构</w:t>
            </w:r>
          </w:p>
        </w:tc>
        <w:tc>
          <w:tcPr>
            <w:tcW w:w="1388" w:type="dxa"/>
            <w:vAlign w:val="center"/>
          </w:tcPr>
          <w:p w14:paraId="191A343C">
            <w:pPr>
              <w:widowControl/>
              <w:adjustRightInd w:val="0"/>
              <w:snapToGrid w:val="0"/>
              <w:jc w:val="center"/>
              <w:rPr>
                <w:rFonts w:ascii="Times New Roman" w:hAnsi="Times New Roman" w:eastAsia="仿宋_GB2312" w:cs="Times New Roman"/>
                <w:szCs w:val="21"/>
              </w:rPr>
            </w:pPr>
          </w:p>
        </w:tc>
        <w:tc>
          <w:tcPr>
            <w:tcW w:w="2864" w:type="dxa"/>
            <w:vAlign w:val="center"/>
          </w:tcPr>
          <w:p w14:paraId="1D528F6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采用交叉CzernyTurner光路，焦距100mm，f数4.5</w:t>
            </w:r>
          </w:p>
          <w:p w14:paraId="03553A31">
            <w:pPr>
              <w:adjustRightInd w:val="0"/>
              <w:snapToGrid w:val="0"/>
              <w:rPr>
                <w:rFonts w:ascii="Times New Roman" w:hAnsi="Times New Roman" w:eastAsia="仿宋_GB2312" w:cs="Times New Roman"/>
                <w:szCs w:val="21"/>
              </w:rPr>
            </w:pPr>
          </w:p>
        </w:tc>
        <w:tc>
          <w:tcPr>
            <w:tcW w:w="2126" w:type="dxa"/>
            <w:vAlign w:val="center"/>
          </w:tcPr>
          <w:p w14:paraId="77A62B5C">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2AA4F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18DCF25">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3</w:t>
            </w:r>
          </w:p>
        </w:tc>
        <w:tc>
          <w:tcPr>
            <w:tcW w:w="1134" w:type="dxa"/>
            <w:vAlign w:val="center"/>
          </w:tcPr>
          <w:p w14:paraId="58508446">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探测器</w:t>
            </w:r>
          </w:p>
        </w:tc>
        <w:tc>
          <w:tcPr>
            <w:tcW w:w="1388" w:type="dxa"/>
            <w:vAlign w:val="center"/>
          </w:tcPr>
          <w:p w14:paraId="23EF565C">
            <w:pPr>
              <w:widowControl/>
              <w:adjustRightInd w:val="0"/>
              <w:snapToGrid w:val="0"/>
              <w:jc w:val="center"/>
              <w:rPr>
                <w:rFonts w:ascii="Times New Roman" w:hAnsi="Times New Roman" w:eastAsia="仿宋_GB2312" w:cs="Times New Roman"/>
                <w:szCs w:val="21"/>
              </w:rPr>
            </w:pPr>
          </w:p>
        </w:tc>
        <w:tc>
          <w:tcPr>
            <w:tcW w:w="2864" w:type="dxa"/>
            <w:vAlign w:val="center"/>
          </w:tcPr>
          <w:p w14:paraId="2FD0D499">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64×1044 pixels，64 行背照式</w:t>
            </w:r>
          </w:p>
        </w:tc>
        <w:tc>
          <w:tcPr>
            <w:tcW w:w="2126" w:type="dxa"/>
            <w:vAlign w:val="center"/>
          </w:tcPr>
          <w:p w14:paraId="7978CEDD">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1670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61607A5">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4</w:t>
            </w:r>
          </w:p>
        </w:tc>
        <w:tc>
          <w:tcPr>
            <w:tcW w:w="1134" w:type="dxa"/>
            <w:vAlign w:val="center"/>
          </w:tcPr>
          <w:p w14:paraId="662FFE09">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TEC热电制冷</w:t>
            </w:r>
          </w:p>
        </w:tc>
        <w:tc>
          <w:tcPr>
            <w:tcW w:w="1388" w:type="dxa"/>
            <w:vAlign w:val="center"/>
          </w:tcPr>
          <w:p w14:paraId="5A3188D8">
            <w:pPr>
              <w:widowControl/>
              <w:adjustRightInd w:val="0"/>
              <w:snapToGrid w:val="0"/>
              <w:jc w:val="center"/>
              <w:rPr>
                <w:rFonts w:ascii="Times New Roman" w:hAnsi="Times New Roman" w:eastAsia="仿宋_GB2312" w:cs="Times New Roman"/>
                <w:szCs w:val="21"/>
              </w:rPr>
            </w:pPr>
          </w:p>
        </w:tc>
        <w:tc>
          <w:tcPr>
            <w:tcW w:w="2864" w:type="dxa"/>
            <w:vAlign w:val="center"/>
          </w:tcPr>
          <w:p w14:paraId="395B9DB0">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On-chip 制冷，最大制冷低于环境温度 40℃.</w:t>
            </w:r>
          </w:p>
        </w:tc>
        <w:tc>
          <w:tcPr>
            <w:tcW w:w="2126" w:type="dxa"/>
            <w:vAlign w:val="center"/>
          </w:tcPr>
          <w:p w14:paraId="0ABD2CE7">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4B23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BE31E0B">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5</w:t>
            </w:r>
          </w:p>
        </w:tc>
        <w:tc>
          <w:tcPr>
            <w:tcW w:w="1134" w:type="dxa"/>
            <w:vAlign w:val="center"/>
          </w:tcPr>
          <w:p w14:paraId="0304864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积分时间</w:t>
            </w:r>
          </w:p>
        </w:tc>
        <w:tc>
          <w:tcPr>
            <w:tcW w:w="1388" w:type="dxa"/>
            <w:vAlign w:val="center"/>
          </w:tcPr>
          <w:p w14:paraId="5FA03C6A">
            <w:pPr>
              <w:widowControl/>
              <w:adjustRightInd w:val="0"/>
              <w:snapToGrid w:val="0"/>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2864" w:type="dxa"/>
            <w:vAlign w:val="center"/>
          </w:tcPr>
          <w:p w14:paraId="213A9A8F">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最短可达4ms，且需提供4ms，6ms，8ms不同积分时间下测量光谱数据</w:t>
            </w:r>
          </w:p>
        </w:tc>
        <w:tc>
          <w:tcPr>
            <w:tcW w:w="2126" w:type="dxa"/>
            <w:vAlign w:val="center"/>
          </w:tcPr>
          <w:p w14:paraId="60482794">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08D11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4138B0C">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6</w:t>
            </w:r>
          </w:p>
        </w:tc>
        <w:tc>
          <w:tcPr>
            <w:tcW w:w="1134" w:type="dxa"/>
            <w:vAlign w:val="center"/>
          </w:tcPr>
          <w:p w14:paraId="1CCA0B47">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信噪比</w:t>
            </w:r>
          </w:p>
        </w:tc>
        <w:tc>
          <w:tcPr>
            <w:tcW w:w="1388" w:type="dxa"/>
            <w:vAlign w:val="center"/>
          </w:tcPr>
          <w:p w14:paraId="0E1F53F3">
            <w:pPr>
              <w:widowControl/>
              <w:adjustRightInd w:val="0"/>
              <w:snapToGrid w:val="0"/>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2864" w:type="dxa"/>
            <w:vAlign w:val="center"/>
          </w:tcPr>
          <w:p w14:paraId="62E44ABF">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≥1000:1</w:t>
            </w:r>
          </w:p>
        </w:tc>
        <w:tc>
          <w:tcPr>
            <w:tcW w:w="2126" w:type="dxa"/>
            <w:vAlign w:val="center"/>
          </w:tcPr>
          <w:p w14:paraId="6B146770">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6523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9456BAA">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7</w:t>
            </w:r>
          </w:p>
        </w:tc>
        <w:tc>
          <w:tcPr>
            <w:tcW w:w="1134" w:type="dxa"/>
            <w:vAlign w:val="center"/>
          </w:tcPr>
          <w:p w14:paraId="574044A7">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动态范围</w:t>
            </w:r>
          </w:p>
        </w:tc>
        <w:tc>
          <w:tcPr>
            <w:tcW w:w="1388" w:type="dxa"/>
            <w:vAlign w:val="center"/>
          </w:tcPr>
          <w:p w14:paraId="5796AA16">
            <w:pPr>
              <w:widowControl/>
              <w:adjustRightInd w:val="0"/>
              <w:snapToGrid w:val="0"/>
              <w:jc w:val="center"/>
              <w:rPr>
                <w:rFonts w:ascii="Times New Roman" w:hAnsi="Times New Roman" w:eastAsia="仿宋_GB2312" w:cs="Times New Roman"/>
                <w:szCs w:val="21"/>
              </w:rPr>
            </w:pPr>
          </w:p>
        </w:tc>
        <w:tc>
          <w:tcPr>
            <w:tcW w:w="2864" w:type="dxa"/>
            <w:vAlign w:val="center"/>
          </w:tcPr>
          <w:p w14:paraId="4A07EBA7">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≥10,000:1</w:t>
            </w:r>
          </w:p>
        </w:tc>
        <w:tc>
          <w:tcPr>
            <w:tcW w:w="2126" w:type="dxa"/>
            <w:vAlign w:val="center"/>
          </w:tcPr>
          <w:p w14:paraId="2CE84175">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5574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E36251A">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8</w:t>
            </w:r>
          </w:p>
        </w:tc>
        <w:tc>
          <w:tcPr>
            <w:tcW w:w="1134" w:type="dxa"/>
            <w:vAlign w:val="center"/>
          </w:tcPr>
          <w:p w14:paraId="6E3A2E69">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软件</w:t>
            </w:r>
          </w:p>
        </w:tc>
        <w:tc>
          <w:tcPr>
            <w:tcW w:w="1388" w:type="dxa"/>
            <w:vAlign w:val="center"/>
          </w:tcPr>
          <w:p w14:paraId="4913556D">
            <w:pPr>
              <w:widowControl/>
              <w:adjustRightInd w:val="0"/>
              <w:snapToGrid w:val="0"/>
              <w:jc w:val="center"/>
              <w:rPr>
                <w:rFonts w:ascii="Times New Roman" w:hAnsi="Times New Roman" w:eastAsia="仿宋_GB2312" w:cs="Times New Roman"/>
                <w:szCs w:val="21"/>
              </w:rPr>
            </w:pPr>
          </w:p>
        </w:tc>
        <w:tc>
          <w:tcPr>
            <w:tcW w:w="2864" w:type="dxa"/>
            <w:vAlign w:val="center"/>
          </w:tcPr>
          <w:p w14:paraId="05C10401">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支持峰位分析、谱图缩放、多段寻峰等操作；多种光谱预处理算法，包括：平滑、平均；内置波长定标、辐照度校准、拉曼频移校准等校正功能；支持同数据源多视图多功能实时计算</w:t>
            </w:r>
          </w:p>
        </w:tc>
        <w:tc>
          <w:tcPr>
            <w:tcW w:w="2126" w:type="dxa"/>
            <w:vAlign w:val="center"/>
          </w:tcPr>
          <w:p w14:paraId="58C33FD4">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5E9A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09E0C20">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9</w:t>
            </w:r>
          </w:p>
        </w:tc>
        <w:tc>
          <w:tcPr>
            <w:tcW w:w="1134" w:type="dxa"/>
            <w:vAlign w:val="center"/>
          </w:tcPr>
          <w:p w14:paraId="7A4422E1">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可扩展性</w:t>
            </w:r>
          </w:p>
        </w:tc>
        <w:tc>
          <w:tcPr>
            <w:tcW w:w="1388" w:type="dxa"/>
            <w:vAlign w:val="center"/>
          </w:tcPr>
          <w:p w14:paraId="22FB0A4D">
            <w:pPr>
              <w:widowControl/>
              <w:adjustRightInd w:val="0"/>
              <w:snapToGrid w:val="0"/>
              <w:jc w:val="center"/>
              <w:rPr>
                <w:rFonts w:ascii="Times New Roman" w:hAnsi="Times New Roman" w:eastAsia="仿宋_GB2312" w:cs="Times New Roman"/>
                <w:szCs w:val="21"/>
              </w:rPr>
            </w:pPr>
          </w:p>
        </w:tc>
        <w:tc>
          <w:tcPr>
            <w:tcW w:w="2864" w:type="dxa"/>
            <w:vAlign w:val="center"/>
          </w:tcPr>
          <w:p w14:paraId="13C6E97E">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可支持BreakOut-Board及BreakOut-Cable扩展外部功能；提供二次开发包，基于C#、C++、Labwindows、Matlab、VC、VB、Labview编程</w:t>
            </w:r>
          </w:p>
        </w:tc>
        <w:tc>
          <w:tcPr>
            <w:tcW w:w="2126" w:type="dxa"/>
            <w:vAlign w:val="center"/>
          </w:tcPr>
          <w:p w14:paraId="50F83F1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0741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15C6C04">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10</w:t>
            </w:r>
          </w:p>
        </w:tc>
        <w:tc>
          <w:tcPr>
            <w:tcW w:w="1134" w:type="dxa"/>
            <w:vAlign w:val="center"/>
          </w:tcPr>
          <w:p w14:paraId="31A8BC0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近红外探测范围</w:t>
            </w:r>
          </w:p>
        </w:tc>
        <w:tc>
          <w:tcPr>
            <w:tcW w:w="1388" w:type="dxa"/>
            <w:vAlign w:val="center"/>
          </w:tcPr>
          <w:p w14:paraId="31424BEF">
            <w:pPr>
              <w:widowControl/>
              <w:adjustRightInd w:val="0"/>
              <w:snapToGrid w:val="0"/>
              <w:jc w:val="center"/>
              <w:rPr>
                <w:rFonts w:ascii="Times New Roman" w:hAnsi="Times New Roman" w:eastAsia="仿宋_GB2312" w:cs="Times New Roman"/>
                <w:szCs w:val="21"/>
              </w:rPr>
            </w:pPr>
          </w:p>
        </w:tc>
        <w:tc>
          <w:tcPr>
            <w:tcW w:w="2864" w:type="dxa"/>
            <w:vAlign w:val="center"/>
          </w:tcPr>
          <w:p w14:paraId="5767DF2C">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900-2500nm</w:t>
            </w:r>
          </w:p>
        </w:tc>
        <w:tc>
          <w:tcPr>
            <w:tcW w:w="2126" w:type="dxa"/>
            <w:vAlign w:val="center"/>
          </w:tcPr>
          <w:p w14:paraId="46E98289">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162A8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B23BF88">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11</w:t>
            </w:r>
          </w:p>
        </w:tc>
        <w:tc>
          <w:tcPr>
            <w:tcW w:w="1134" w:type="dxa"/>
            <w:vAlign w:val="center"/>
          </w:tcPr>
          <w:p w14:paraId="2577B0D4">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波长分辨率</w:t>
            </w:r>
          </w:p>
        </w:tc>
        <w:tc>
          <w:tcPr>
            <w:tcW w:w="1388" w:type="dxa"/>
            <w:vAlign w:val="center"/>
          </w:tcPr>
          <w:p w14:paraId="7BC7888F">
            <w:pPr>
              <w:widowControl/>
              <w:adjustRightInd w:val="0"/>
              <w:snapToGrid w:val="0"/>
              <w:jc w:val="center"/>
              <w:rPr>
                <w:rFonts w:ascii="Times New Roman" w:hAnsi="Times New Roman" w:eastAsia="仿宋_GB2312" w:cs="Times New Roman"/>
                <w:szCs w:val="21"/>
              </w:rPr>
            </w:pPr>
          </w:p>
        </w:tc>
        <w:tc>
          <w:tcPr>
            <w:tcW w:w="2864" w:type="dxa"/>
            <w:vAlign w:val="center"/>
          </w:tcPr>
          <w:p w14:paraId="30CEC418">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≤6.3nm</w:t>
            </w:r>
          </w:p>
        </w:tc>
        <w:tc>
          <w:tcPr>
            <w:tcW w:w="2126" w:type="dxa"/>
            <w:vAlign w:val="center"/>
          </w:tcPr>
          <w:p w14:paraId="0745A729">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6650C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9603546">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12</w:t>
            </w:r>
          </w:p>
        </w:tc>
        <w:tc>
          <w:tcPr>
            <w:tcW w:w="1134" w:type="dxa"/>
            <w:vAlign w:val="center"/>
          </w:tcPr>
          <w:p w14:paraId="7AE8B60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光学分辨率</w:t>
            </w:r>
          </w:p>
        </w:tc>
        <w:tc>
          <w:tcPr>
            <w:tcW w:w="1388" w:type="dxa"/>
            <w:vAlign w:val="center"/>
          </w:tcPr>
          <w:p w14:paraId="4C9B8D65">
            <w:pPr>
              <w:widowControl/>
              <w:adjustRightInd w:val="0"/>
              <w:snapToGrid w:val="0"/>
              <w:jc w:val="center"/>
              <w:rPr>
                <w:rFonts w:ascii="Times New Roman" w:hAnsi="Times New Roman" w:eastAsia="仿宋_GB2312" w:cs="Times New Roman"/>
                <w:szCs w:val="21"/>
              </w:rPr>
            </w:pPr>
          </w:p>
        </w:tc>
        <w:tc>
          <w:tcPr>
            <w:tcW w:w="2864" w:type="dxa"/>
            <w:vAlign w:val="center"/>
          </w:tcPr>
          <w:p w14:paraId="068C42B9">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最优 8.8 nm (FWHM)，基于 75 线光栅和10μm狭缝</w:t>
            </w:r>
          </w:p>
        </w:tc>
        <w:tc>
          <w:tcPr>
            <w:tcW w:w="2126" w:type="dxa"/>
            <w:vAlign w:val="center"/>
          </w:tcPr>
          <w:p w14:paraId="4DE85D51">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2D89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44BAAF1">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13</w:t>
            </w:r>
          </w:p>
        </w:tc>
        <w:tc>
          <w:tcPr>
            <w:tcW w:w="1134" w:type="dxa"/>
            <w:vAlign w:val="center"/>
          </w:tcPr>
          <w:p w14:paraId="25E9CBAD">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探测器</w:t>
            </w:r>
          </w:p>
        </w:tc>
        <w:tc>
          <w:tcPr>
            <w:tcW w:w="1388" w:type="dxa"/>
            <w:vAlign w:val="center"/>
          </w:tcPr>
          <w:p w14:paraId="15376373">
            <w:pPr>
              <w:widowControl/>
              <w:adjustRightInd w:val="0"/>
              <w:snapToGrid w:val="0"/>
              <w:jc w:val="center"/>
              <w:rPr>
                <w:rFonts w:ascii="Times New Roman" w:hAnsi="Times New Roman" w:eastAsia="仿宋_GB2312" w:cs="Times New Roman"/>
                <w:szCs w:val="21"/>
              </w:rPr>
            </w:pPr>
          </w:p>
        </w:tc>
        <w:tc>
          <w:tcPr>
            <w:tcW w:w="2864" w:type="dxa"/>
            <w:vAlign w:val="center"/>
          </w:tcPr>
          <w:p w14:paraId="08EEDDB7">
            <w:pPr>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256 CCD</w:t>
            </w:r>
          </w:p>
        </w:tc>
        <w:tc>
          <w:tcPr>
            <w:tcW w:w="2126" w:type="dxa"/>
            <w:vAlign w:val="center"/>
          </w:tcPr>
          <w:p w14:paraId="4EBC6C07">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6EA9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251CBC2">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14</w:t>
            </w:r>
          </w:p>
        </w:tc>
        <w:tc>
          <w:tcPr>
            <w:tcW w:w="1134" w:type="dxa"/>
            <w:vAlign w:val="center"/>
          </w:tcPr>
          <w:p w14:paraId="170288B4">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制冷模式</w:t>
            </w:r>
          </w:p>
        </w:tc>
        <w:tc>
          <w:tcPr>
            <w:tcW w:w="1388" w:type="dxa"/>
            <w:vAlign w:val="center"/>
          </w:tcPr>
          <w:p w14:paraId="57430FD9">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2864" w:type="dxa"/>
            <w:vAlign w:val="center"/>
          </w:tcPr>
          <w:p w14:paraId="42C3D9FD">
            <w:pPr>
              <w:adjustRightInd w:val="0"/>
              <w:snapToGrid w:val="0"/>
              <w:rPr>
                <w:rFonts w:ascii="Times New Roman" w:hAnsi="Times New Roman" w:eastAsia="仿宋_GB2312" w:cs="Times New Roman"/>
                <w:szCs w:val="21"/>
              </w:rPr>
            </w:pPr>
            <w:bookmarkStart w:id="0" w:name="OLE_LINK1"/>
            <w:r>
              <w:rPr>
                <w:rFonts w:ascii="Times New Roman" w:hAnsi="Times New Roman" w:eastAsia="仿宋_GB2312" w:cs="Times New Roman"/>
                <w:szCs w:val="21"/>
              </w:rPr>
              <w:t>制冷模式</w:t>
            </w:r>
            <w:bookmarkEnd w:id="0"/>
            <w:r>
              <w:rPr>
                <w:rFonts w:ascii="Times New Roman" w:hAnsi="Times New Roman" w:eastAsia="仿宋_GB2312" w:cs="Times New Roman"/>
                <w:szCs w:val="21"/>
              </w:rPr>
              <w:t>： 二级芯片内 TEC 制冷</w:t>
            </w:r>
          </w:p>
          <w:p w14:paraId="6E8E96CC">
            <w:pPr>
              <w:adjustRightInd w:val="0"/>
              <w:snapToGrid w:val="0"/>
              <w:rPr>
                <w:rFonts w:ascii="Times New Roman" w:hAnsi="Times New Roman" w:eastAsia="仿宋_GB2312" w:cs="Times New Roman"/>
                <w:szCs w:val="21"/>
              </w:rPr>
            </w:pPr>
          </w:p>
        </w:tc>
        <w:tc>
          <w:tcPr>
            <w:tcW w:w="2126" w:type="dxa"/>
            <w:vAlign w:val="center"/>
          </w:tcPr>
          <w:p w14:paraId="6F3C12C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7A3E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6CC1226">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15</w:t>
            </w:r>
          </w:p>
        </w:tc>
        <w:tc>
          <w:tcPr>
            <w:tcW w:w="1134" w:type="dxa"/>
            <w:vAlign w:val="center"/>
          </w:tcPr>
          <w:p w14:paraId="0DE143C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最低制冷温度</w:t>
            </w:r>
          </w:p>
        </w:tc>
        <w:tc>
          <w:tcPr>
            <w:tcW w:w="1388" w:type="dxa"/>
            <w:vAlign w:val="center"/>
          </w:tcPr>
          <w:p w14:paraId="15F2DD07">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2864" w:type="dxa"/>
            <w:vAlign w:val="center"/>
          </w:tcPr>
          <w:p w14:paraId="211608F2">
            <w:pPr>
              <w:widowControl/>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最低制冷温度：-20℃±0.1</w:t>
            </w:r>
          </w:p>
        </w:tc>
        <w:tc>
          <w:tcPr>
            <w:tcW w:w="2126" w:type="dxa"/>
            <w:vAlign w:val="center"/>
          </w:tcPr>
          <w:p w14:paraId="6561F69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0083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A7A007E">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16</w:t>
            </w:r>
          </w:p>
        </w:tc>
        <w:tc>
          <w:tcPr>
            <w:tcW w:w="1134" w:type="dxa"/>
            <w:vAlign w:val="center"/>
          </w:tcPr>
          <w:p w14:paraId="1571D77D">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积分时间</w:t>
            </w:r>
          </w:p>
        </w:tc>
        <w:tc>
          <w:tcPr>
            <w:tcW w:w="1388" w:type="dxa"/>
            <w:vAlign w:val="center"/>
          </w:tcPr>
          <w:p w14:paraId="4B649799">
            <w:pPr>
              <w:widowControl/>
              <w:adjustRightInd w:val="0"/>
              <w:snapToGrid w:val="0"/>
              <w:jc w:val="center"/>
              <w:rPr>
                <w:rFonts w:ascii="Times New Roman" w:hAnsi="Times New Roman" w:eastAsia="仿宋_GB2312" w:cs="Times New Roman"/>
                <w:szCs w:val="21"/>
              </w:rPr>
            </w:pPr>
          </w:p>
        </w:tc>
        <w:tc>
          <w:tcPr>
            <w:tcW w:w="2864" w:type="dxa"/>
            <w:vAlign w:val="center"/>
          </w:tcPr>
          <w:p w14:paraId="6D18A37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1ms-150ms</w:t>
            </w:r>
          </w:p>
        </w:tc>
        <w:tc>
          <w:tcPr>
            <w:tcW w:w="2126" w:type="dxa"/>
            <w:vAlign w:val="center"/>
          </w:tcPr>
          <w:p w14:paraId="6544191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2CD0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3BD2A8C">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17</w:t>
            </w:r>
          </w:p>
        </w:tc>
        <w:tc>
          <w:tcPr>
            <w:tcW w:w="1134" w:type="dxa"/>
            <w:vAlign w:val="center"/>
          </w:tcPr>
          <w:p w14:paraId="1B16240A">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信噪比</w:t>
            </w:r>
          </w:p>
        </w:tc>
        <w:tc>
          <w:tcPr>
            <w:tcW w:w="1388" w:type="dxa"/>
            <w:vAlign w:val="center"/>
          </w:tcPr>
          <w:p w14:paraId="3B715725">
            <w:pPr>
              <w:widowControl/>
              <w:adjustRightInd w:val="0"/>
              <w:snapToGrid w:val="0"/>
              <w:jc w:val="center"/>
              <w:rPr>
                <w:rFonts w:ascii="Times New Roman" w:hAnsi="Times New Roman" w:eastAsia="仿宋_GB2312" w:cs="Times New Roman"/>
                <w:szCs w:val="21"/>
              </w:rPr>
            </w:pPr>
          </w:p>
        </w:tc>
        <w:tc>
          <w:tcPr>
            <w:tcW w:w="2864" w:type="dxa"/>
            <w:vAlign w:val="center"/>
          </w:tcPr>
          <w:p w14:paraId="0628F32C">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7000:1（典型）</w:t>
            </w:r>
          </w:p>
        </w:tc>
        <w:tc>
          <w:tcPr>
            <w:tcW w:w="2126" w:type="dxa"/>
            <w:vAlign w:val="center"/>
          </w:tcPr>
          <w:p w14:paraId="6C059275">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20642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75FA9AC">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18</w:t>
            </w:r>
          </w:p>
        </w:tc>
        <w:tc>
          <w:tcPr>
            <w:tcW w:w="1134" w:type="dxa"/>
            <w:vAlign w:val="center"/>
          </w:tcPr>
          <w:p w14:paraId="0BFD07A6">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动态范围</w:t>
            </w:r>
          </w:p>
        </w:tc>
        <w:tc>
          <w:tcPr>
            <w:tcW w:w="1388" w:type="dxa"/>
            <w:vAlign w:val="center"/>
          </w:tcPr>
          <w:p w14:paraId="051B2ED2">
            <w:pPr>
              <w:widowControl/>
              <w:adjustRightInd w:val="0"/>
              <w:snapToGrid w:val="0"/>
              <w:jc w:val="center"/>
              <w:rPr>
                <w:rFonts w:ascii="Times New Roman" w:hAnsi="Times New Roman" w:eastAsia="仿宋_GB2312" w:cs="Times New Roman"/>
                <w:szCs w:val="21"/>
              </w:rPr>
            </w:pPr>
          </w:p>
        </w:tc>
        <w:tc>
          <w:tcPr>
            <w:tcW w:w="2864" w:type="dxa"/>
            <w:vAlign w:val="center"/>
          </w:tcPr>
          <w:p w14:paraId="7EDFD4A6">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15000:1（典型）</w:t>
            </w:r>
          </w:p>
        </w:tc>
        <w:tc>
          <w:tcPr>
            <w:tcW w:w="2126" w:type="dxa"/>
            <w:vAlign w:val="center"/>
          </w:tcPr>
          <w:p w14:paraId="6BEDE481">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74730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C51D0E4">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19</w:t>
            </w:r>
          </w:p>
        </w:tc>
        <w:tc>
          <w:tcPr>
            <w:tcW w:w="1134" w:type="dxa"/>
            <w:vAlign w:val="center"/>
          </w:tcPr>
          <w:p w14:paraId="29C78BE7">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A/D位数</w:t>
            </w:r>
          </w:p>
        </w:tc>
        <w:tc>
          <w:tcPr>
            <w:tcW w:w="1388" w:type="dxa"/>
            <w:vAlign w:val="center"/>
          </w:tcPr>
          <w:p w14:paraId="674EE4EC">
            <w:pPr>
              <w:widowControl/>
              <w:adjustRightInd w:val="0"/>
              <w:snapToGrid w:val="0"/>
              <w:jc w:val="center"/>
              <w:rPr>
                <w:rFonts w:ascii="Times New Roman" w:hAnsi="Times New Roman" w:eastAsia="仿宋_GB2312" w:cs="Times New Roman"/>
                <w:szCs w:val="21"/>
              </w:rPr>
            </w:pPr>
          </w:p>
        </w:tc>
        <w:tc>
          <w:tcPr>
            <w:tcW w:w="2864" w:type="dxa"/>
            <w:vAlign w:val="center"/>
          </w:tcPr>
          <w:p w14:paraId="58B120ED">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16位</w:t>
            </w:r>
          </w:p>
        </w:tc>
        <w:tc>
          <w:tcPr>
            <w:tcW w:w="2126" w:type="dxa"/>
            <w:vAlign w:val="center"/>
          </w:tcPr>
          <w:p w14:paraId="1E49133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139B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CCB9742">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20</w:t>
            </w:r>
          </w:p>
        </w:tc>
        <w:tc>
          <w:tcPr>
            <w:tcW w:w="1134" w:type="dxa"/>
            <w:vAlign w:val="center"/>
          </w:tcPr>
          <w:p w14:paraId="2976AAF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拓展性</w:t>
            </w:r>
          </w:p>
        </w:tc>
        <w:tc>
          <w:tcPr>
            <w:tcW w:w="1388" w:type="dxa"/>
            <w:vAlign w:val="center"/>
          </w:tcPr>
          <w:p w14:paraId="4888FC60">
            <w:pPr>
              <w:widowControl/>
              <w:adjustRightInd w:val="0"/>
              <w:snapToGrid w:val="0"/>
              <w:jc w:val="center"/>
              <w:rPr>
                <w:rFonts w:ascii="Times New Roman" w:hAnsi="Times New Roman" w:eastAsia="仿宋_GB2312" w:cs="Times New Roman"/>
                <w:szCs w:val="21"/>
              </w:rPr>
            </w:pPr>
          </w:p>
        </w:tc>
        <w:tc>
          <w:tcPr>
            <w:tcW w:w="2864" w:type="dxa"/>
            <w:vAlign w:val="center"/>
          </w:tcPr>
          <w:p w14:paraId="4A46CF62">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支持和宏观角分辨光谱系统连用，在R1软件实现一键操作自动化控制</w:t>
            </w:r>
          </w:p>
        </w:tc>
        <w:tc>
          <w:tcPr>
            <w:tcW w:w="2126" w:type="dxa"/>
            <w:vAlign w:val="center"/>
          </w:tcPr>
          <w:p w14:paraId="198EBAA5">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46D4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EBB0139">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21</w:t>
            </w:r>
          </w:p>
        </w:tc>
        <w:tc>
          <w:tcPr>
            <w:tcW w:w="1134" w:type="dxa"/>
            <w:vAlign w:val="center"/>
          </w:tcPr>
          <w:p w14:paraId="272AACF1">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外部触发</w:t>
            </w:r>
          </w:p>
        </w:tc>
        <w:tc>
          <w:tcPr>
            <w:tcW w:w="1388" w:type="dxa"/>
            <w:vAlign w:val="center"/>
          </w:tcPr>
          <w:p w14:paraId="2B396D19">
            <w:pPr>
              <w:widowControl/>
              <w:adjustRightInd w:val="0"/>
              <w:snapToGrid w:val="0"/>
              <w:jc w:val="center"/>
              <w:rPr>
                <w:rFonts w:ascii="Times New Roman" w:hAnsi="Times New Roman" w:eastAsia="仿宋_GB2312" w:cs="Times New Roman"/>
                <w:szCs w:val="21"/>
              </w:rPr>
            </w:pPr>
          </w:p>
        </w:tc>
        <w:tc>
          <w:tcPr>
            <w:tcW w:w="2864" w:type="dxa"/>
            <w:vAlign w:val="center"/>
          </w:tcPr>
          <w:p w14:paraId="551B1FDD">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4 种外部触发模式：Normal / Level / Edge / Synchronization</w:t>
            </w:r>
          </w:p>
        </w:tc>
        <w:tc>
          <w:tcPr>
            <w:tcW w:w="2126" w:type="dxa"/>
            <w:vAlign w:val="center"/>
          </w:tcPr>
          <w:p w14:paraId="0CA23B94">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bl>
    <w:p w14:paraId="30230753">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4ADCCA6D">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134E982F">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4930FBB8">
      <w:pPr>
        <w:widowControl/>
        <w:shd w:val="clear" w:color="auto" w:fill="FFFFFF"/>
        <w:spacing w:line="360" w:lineRule="auto"/>
        <w:jc w:val="center"/>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（四）</w:t>
      </w:r>
      <w:r>
        <w:rPr>
          <w:rFonts w:hint="eastAsia" w:ascii="仿宋_GB2312" w:hAnsi="宋体" w:eastAsia="仿宋_GB2312"/>
          <w:sz w:val="28"/>
          <w:szCs w:val="28"/>
        </w:rPr>
        <w:t>激光拉曼光谱仪</w:t>
      </w:r>
      <w:r>
        <w:rPr>
          <w:rFonts w:hint="eastAsia" w:ascii="仿宋_GB2312" w:hAnsi="宋体" w:eastAsia="仿宋_GB2312" w:cs="仿宋"/>
          <w:color w:val="000000"/>
          <w:kern w:val="0"/>
          <w:sz w:val="28"/>
          <w:szCs w:val="28"/>
          <w:shd w:val="clear" w:color="auto" w:fill="FFFFFF"/>
        </w:rPr>
        <w:t>（1台）</w:t>
      </w:r>
    </w:p>
    <w:p w14:paraId="7735A7F8">
      <w:pPr>
        <w:widowControl/>
        <w:shd w:val="clear" w:color="auto" w:fill="FFFFFF"/>
        <w:spacing w:line="360" w:lineRule="auto"/>
        <w:ind w:firstLine="482" w:firstLineChars="200"/>
        <w:jc w:val="left"/>
        <w:rPr>
          <w:rFonts w:hint="eastAsia" w:ascii="仿宋_GB2312" w:hAnsi="宋体" w:eastAsia="仿宋_GB2312"/>
          <w:b/>
          <w:bCs/>
          <w:i/>
          <w:iCs/>
          <w:sz w:val="24"/>
          <w:szCs w:val="24"/>
        </w:rPr>
      </w:pPr>
      <w:r>
        <w:rPr>
          <w:rFonts w:hint="eastAsia" w:ascii="仿宋_GB2312" w:hAnsi="宋体" w:eastAsia="仿宋_GB2312"/>
          <w:b/>
          <w:bCs/>
          <w:sz w:val="24"/>
          <w:szCs w:val="24"/>
        </w:rPr>
        <w:t>1.功能要求：</w:t>
      </w:r>
    </w:p>
    <w:p w14:paraId="6079C509">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本设备用于支撑地质学和行星科学领域的教学与科研，重点服务于《新星科学概论》、《行星天文学》、《行星地质学》等本科课程实验，</w:t>
      </w:r>
      <w:r>
        <w:rPr>
          <w:rFonts w:ascii="仿宋_GB2312" w:hAnsi="宋体" w:eastAsia="仿宋_GB2312"/>
          <w:sz w:val="24"/>
          <w:szCs w:val="24"/>
        </w:rPr>
        <w:t>强化学生对光谱测量原理、探测器性能及数据采集方法的理解； 支撑地质、材料、行星科学等方向的实验课程建设； 提升学生分析复杂光谱数据和解决实际问题的能力。 该设备为专用于教学与实验的专业光谱仪器，不可由通用设备替代，符合以旧换新政策中“设备更新、服务教学、支撑人才培养”的要求</w:t>
      </w:r>
      <w:r>
        <w:rPr>
          <w:rFonts w:hint="eastAsia" w:ascii="仿宋_GB2312" w:hAnsi="宋体" w:eastAsia="仿宋_GB2312"/>
          <w:sz w:val="24"/>
          <w:szCs w:val="24"/>
        </w:rPr>
        <w:t>。</w:t>
      </w:r>
    </w:p>
    <w:p w14:paraId="2E001F04">
      <w:pPr>
        <w:widowControl/>
        <w:numPr>
          <w:ilvl w:val="0"/>
          <w:numId w:val="8"/>
        </w:numPr>
        <w:shd w:val="clear" w:color="auto" w:fill="FFFFFF"/>
        <w:spacing w:line="360" w:lineRule="auto"/>
        <w:rPr>
          <w:rFonts w:hint="eastAsia" w:ascii="仿宋_GB2312" w:hAnsi="宋体" w:eastAsia="仿宋_GB2312"/>
          <w:b/>
          <w:bCs/>
          <w:sz w:val="24"/>
          <w:szCs w:val="24"/>
        </w:rPr>
      </w:pPr>
      <w:r>
        <w:rPr>
          <w:rFonts w:hint="eastAsia" w:ascii="仿宋_GB2312" w:hAnsi="宋体" w:eastAsia="仿宋_GB2312"/>
          <w:b/>
          <w:bCs/>
          <w:sz w:val="24"/>
          <w:szCs w:val="24"/>
        </w:rPr>
        <w:t>后续运营维护、升级更新、备品备件等要求：</w:t>
      </w:r>
    </w:p>
    <w:p w14:paraId="212997DB">
      <w:pPr>
        <w:spacing w:line="360" w:lineRule="auto"/>
        <w:ind w:firstLine="480" w:firstLineChars="200"/>
        <w:outlineLvl w:val="0"/>
        <w:rPr>
          <w:rFonts w:ascii="Times New Roman" w:hAnsi="Times New Roman" w:eastAsia="仿宋_GB2312" w:cs="Times New Roman"/>
          <w:sz w:val="24"/>
          <w:szCs w:val="24"/>
        </w:rPr>
      </w:pPr>
      <w:r>
        <w:rPr>
          <w:rFonts w:hint="eastAsia" w:ascii="仿宋_GB2312" w:hAnsi="宋体" w:eastAsia="仿宋_GB2312"/>
          <w:sz w:val="24"/>
          <w:szCs w:val="24"/>
        </w:rPr>
        <w:t>运维服务：</w:t>
      </w:r>
      <w:r>
        <w:rPr>
          <w:rFonts w:ascii="Times New Roman" w:hAnsi="Times New Roman" w:eastAsia="仿宋_GB2312" w:cs="Times New Roman"/>
          <w:sz w:val="24"/>
          <w:szCs w:val="24"/>
        </w:rPr>
        <w:t>供应商需提供≥2年整机质保（</w:t>
      </w:r>
      <w:r>
        <w:rPr>
          <w:rFonts w:hint="eastAsia" w:ascii="仿宋_GB2312" w:hAnsi="宋体" w:eastAsia="仿宋_GB2312"/>
          <w:sz w:val="24"/>
          <w:szCs w:val="24"/>
        </w:rPr>
        <w:t>含激光器、CCD等核心部件</w:t>
      </w:r>
      <w:r>
        <w:rPr>
          <w:rFonts w:ascii="Times New Roman" w:hAnsi="Times New Roman" w:eastAsia="仿宋_GB2312" w:cs="Times New Roman"/>
          <w:sz w:val="24"/>
          <w:szCs w:val="24"/>
        </w:rPr>
        <w:t>），质保期内每半年开展1次现场巡检，故障响应时间≤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w:t>
      </w:r>
      <w:r>
        <w:rPr>
          <w:rFonts w:hint="eastAsia" w:ascii="Times New Roman" w:hAnsi="Times New Roman" w:eastAsia="仿宋_GB2312" w:cs="Times New Roman"/>
          <w:sz w:val="24"/>
          <w:szCs w:val="24"/>
        </w:rPr>
        <w:t>。</w:t>
      </w:r>
      <w:r>
        <w:rPr>
          <w:rFonts w:ascii="Times New Roman" w:hAnsi="Times New Roman" w:eastAsia="仿宋_GB2312" w:cs="Times New Roman"/>
          <w:iCs/>
          <w:sz w:val="24"/>
          <w:szCs w:val="24"/>
        </w:rPr>
        <w:t>提供2天以上现场培训，交通等与培训相关的费用均由成交供应商承担。</w:t>
      </w:r>
    </w:p>
    <w:p w14:paraId="405F1714">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升级更新：设备软件终身免费升级，硬件支持后续功能扩展，供应商需在新技术推出后30日内告知用户升级方案。</w:t>
      </w:r>
    </w:p>
    <w:p w14:paraId="1B053468">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备品备件：质保期外提供全生命周期备件供应保障（承诺供应周期≥10年），常用备件（如光纤、CCD制冷模块、探头等）需在用户提出需求后7个工作日内到货；提供备件价格清单，确保价格不高于市场同期水平。</w:t>
      </w:r>
    </w:p>
    <w:p w14:paraId="31B840F7">
      <w:pPr>
        <w:spacing w:line="360" w:lineRule="auto"/>
        <w:ind w:firstLine="482" w:firstLineChars="200"/>
        <w:outlineLvl w:val="0"/>
        <w:rPr>
          <w:rFonts w:hint="eastAsia" w:ascii="仿宋_GB2312" w:hAnsi="宋体" w:eastAsia="仿宋_GB2312"/>
          <w:sz w:val="24"/>
          <w:szCs w:val="24"/>
        </w:rPr>
      </w:pPr>
      <w:r>
        <w:rPr>
          <w:rFonts w:hint="eastAsia" w:ascii="仿宋_GB2312" w:hAnsi="宋体" w:eastAsia="仿宋_GB2312"/>
          <w:b/>
          <w:bCs/>
          <w:sz w:val="24"/>
          <w:szCs w:val="24"/>
        </w:rPr>
        <w:t>3.各项指标要求：</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203"/>
        <w:gridCol w:w="3049"/>
        <w:gridCol w:w="2126"/>
      </w:tblGrid>
      <w:tr w14:paraId="75AFE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02CCAAC">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31681F06">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指标项</w:t>
            </w:r>
          </w:p>
        </w:tc>
        <w:tc>
          <w:tcPr>
            <w:tcW w:w="1203" w:type="dxa"/>
            <w:vAlign w:val="center"/>
          </w:tcPr>
          <w:p w14:paraId="027AEA4C">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重要性</w:t>
            </w:r>
          </w:p>
        </w:tc>
        <w:tc>
          <w:tcPr>
            <w:tcW w:w="3049" w:type="dxa"/>
            <w:vAlign w:val="center"/>
          </w:tcPr>
          <w:p w14:paraId="407B132B">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4C9B1CE2">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证明材料要求</w:t>
            </w:r>
          </w:p>
        </w:tc>
      </w:tr>
      <w:tr w14:paraId="51EC6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835A14E">
            <w:pPr>
              <w:snapToGrid w:val="0"/>
              <w:jc w:val="center"/>
              <w:rPr>
                <w:rFonts w:hint="eastAsia" w:ascii="仿宋_GB2312" w:hAnsi="宋体" w:eastAsia="仿宋_GB2312"/>
                <w:szCs w:val="21"/>
              </w:rPr>
            </w:pPr>
            <w:r>
              <w:rPr>
                <w:rFonts w:ascii="仿宋_GB2312" w:hAnsi="宋体" w:eastAsia="仿宋_GB2312"/>
                <w:szCs w:val="21"/>
              </w:rPr>
              <w:t>1</w:t>
            </w:r>
          </w:p>
        </w:tc>
        <w:tc>
          <w:tcPr>
            <w:tcW w:w="1134" w:type="dxa"/>
            <w:vAlign w:val="center"/>
          </w:tcPr>
          <w:p w14:paraId="3C7A29F1">
            <w:pPr>
              <w:widowControl/>
              <w:snapToGrid w:val="0"/>
              <w:jc w:val="center"/>
              <w:rPr>
                <w:rFonts w:hint="eastAsia" w:ascii="仿宋_GB2312" w:hAnsi="宋体" w:eastAsia="仿宋_GB2312"/>
                <w:szCs w:val="21"/>
              </w:rPr>
            </w:pPr>
            <w:r>
              <w:rPr>
                <w:rFonts w:hint="eastAsia" w:ascii="仿宋_GB2312" w:hAnsi="宋体" w:eastAsia="仿宋_GB2312"/>
                <w:szCs w:val="21"/>
              </w:rPr>
              <w:t>激发激光</w:t>
            </w:r>
          </w:p>
        </w:tc>
        <w:tc>
          <w:tcPr>
            <w:tcW w:w="1203" w:type="dxa"/>
            <w:vAlign w:val="center"/>
          </w:tcPr>
          <w:p w14:paraId="35A7DF17">
            <w:pPr>
              <w:widowControl/>
              <w:snapToGrid w:val="0"/>
              <w:jc w:val="center"/>
              <w:rPr>
                <w:rFonts w:hint="eastAsia" w:ascii="仿宋_GB2312" w:hAnsi="宋体" w:eastAsia="仿宋_GB2312"/>
                <w:szCs w:val="21"/>
              </w:rPr>
            </w:pPr>
          </w:p>
        </w:tc>
        <w:tc>
          <w:tcPr>
            <w:tcW w:w="3049" w:type="dxa"/>
            <w:vAlign w:val="center"/>
          </w:tcPr>
          <w:p w14:paraId="04263559">
            <w:pPr>
              <w:snapToGrid w:val="0"/>
              <w:rPr>
                <w:rFonts w:hint="eastAsia" w:ascii="仿宋_GB2312" w:hAnsi="宋体" w:eastAsia="仿宋_GB2312"/>
                <w:szCs w:val="21"/>
              </w:rPr>
            </w:pPr>
            <w:r>
              <w:rPr>
                <w:rFonts w:hint="eastAsia" w:ascii="仿宋_GB2312" w:hAnsi="宋体" w:eastAsia="仿宋_GB2312"/>
                <w:szCs w:val="21"/>
              </w:rPr>
              <w:t>波长：785.0±0.5nm</w:t>
            </w:r>
          </w:p>
          <w:p w14:paraId="48D94F74">
            <w:pPr>
              <w:snapToGrid w:val="0"/>
              <w:rPr>
                <w:rFonts w:hint="eastAsia" w:ascii="仿宋_GB2312" w:hAnsi="宋体" w:eastAsia="仿宋_GB2312"/>
                <w:szCs w:val="21"/>
              </w:rPr>
            </w:pPr>
            <w:r>
              <w:rPr>
                <w:rFonts w:hint="eastAsia" w:ascii="仿宋_GB2312" w:hAnsi="宋体" w:eastAsia="仿宋_GB2312"/>
                <w:szCs w:val="21"/>
              </w:rPr>
              <w:t>线宽：&lt;0.2m</w:t>
            </w:r>
          </w:p>
          <w:p w14:paraId="53C9F0DA">
            <w:pPr>
              <w:snapToGrid w:val="0"/>
              <w:rPr>
                <w:rFonts w:hint="eastAsia" w:ascii="仿宋_GB2312" w:hAnsi="宋体" w:eastAsia="仿宋_GB2312"/>
                <w:szCs w:val="21"/>
              </w:rPr>
            </w:pPr>
            <w:r>
              <w:rPr>
                <w:rFonts w:hint="eastAsia" w:ascii="仿宋_GB2312" w:hAnsi="宋体" w:eastAsia="仿宋_GB2312"/>
                <w:szCs w:val="21"/>
              </w:rPr>
              <w:t>功率：0-500mW连续可调，光纤输出</w:t>
            </w:r>
          </w:p>
          <w:p w14:paraId="0529C1A0">
            <w:pPr>
              <w:snapToGrid w:val="0"/>
              <w:rPr>
                <w:rFonts w:hint="eastAsia" w:ascii="仿宋_GB2312" w:hAnsi="宋体" w:eastAsia="仿宋_GB2312"/>
                <w:szCs w:val="21"/>
              </w:rPr>
            </w:pPr>
            <w:r>
              <w:rPr>
                <w:rFonts w:hint="eastAsia" w:ascii="仿宋_GB2312" w:hAnsi="宋体" w:eastAsia="仿宋_GB2312"/>
                <w:szCs w:val="21"/>
              </w:rPr>
              <w:t>功率稳定性:≤3%RMS(@2hrs)</w:t>
            </w:r>
          </w:p>
          <w:p w14:paraId="2DF5D637">
            <w:pPr>
              <w:snapToGrid w:val="0"/>
              <w:jc w:val="center"/>
              <w:rPr>
                <w:rFonts w:hint="eastAsia" w:ascii="仿宋_GB2312" w:hAnsi="宋体" w:eastAsia="仿宋_GB2312"/>
                <w:szCs w:val="21"/>
              </w:rPr>
            </w:pPr>
          </w:p>
        </w:tc>
        <w:tc>
          <w:tcPr>
            <w:tcW w:w="2126" w:type="dxa"/>
            <w:vAlign w:val="center"/>
          </w:tcPr>
          <w:p w14:paraId="4B27D392">
            <w:pPr>
              <w:widowControl/>
              <w:snapToGrid w:val="0"/>
              <w:jc w:val="center"/>
              <w:rPr>
                <w:rFonts w:hint="eastAsia" w:ascii="仿宋_GB2312" w:hAnsi="宋体" w:eastAsia="仿宋_GB2312"/>
                <w:szCs w:val="21"/>
              </w:rPr>
            </w:pPr>
            <w:r>
              <w:rPr>
                <w:rFonts w:hint="eastAsia" w:ascii="仿宋_GB2312" w:hAnsi="宋体" w:eastAsia="仿宋_GB2312"/>
                <w:szCs w:val="21"/>
              </w:rPr>
              <w:t>否</w:t>
            </w:r>
          </w:p>
        </w:tc>
      </w:tr>
      <w:tr w14:paraId="44E2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6651009">
            <w:pPr>
              <w:snapToGrid w:val="0"/>
              <w:jc w:val="center"/>
              <w:rPr>
                <w:rFonts w:hint="eastAsia" w:ascii="仿宋_GB2312" w:hAnsi="宋体" w:eastAsia="仿宋_GB2312"/>
                <w:szCs w:val="21"/>
              </w:rPr>
            </w:pPr>
            <w:r>
              <w:rPr>
                <w:rFonts w:hint="eastAsia" w:ascii="仿宋_GB2312" w:hAnsi="宋体" w:eastAsia="仿宋_GB2312"/>
                <w:szCs w:val="21"/>
              </w:rPr>
              <w:t>2</w:t>
            </w:r>
          </w:p>
        </w:tc>
        <w:tc>
          <w:tcPr>
            <w:tcW w:w="1134" w:type="dxa"/>
            <w:vAlign w:val="center"/>
          </w:tcPr>
          <w:p w14:paraId="1E25129F">
            <w:pPr>
              <w:widowControl/>
              <w:snapToGrid w:val="0"/>
              <w:jc w:val="center"/>
              <w:rPr>
                <w:rFonts w:hint="eastAsia" w:ascii="仿宋_GB2312" w:hAnsi="宋体" w:eastAsia="仿宋_GB2312"/>
                <w:szCs w:val="21"/>
              </w:rPr>
            </w:pPr>
            <w:r>
              <w:rPr>
                <w:rFonts w:hint="eastAsia" w:ascii="仿宋_GB2312" w:hAnsi="宋体" w:eastAsia="仿宋_GB2312"/>
                <w:szCs w:val="21"/>
              </w:rPr>
              <w:t>波数范围</w:t>
            </w:r>
          </w:p>
        </w:tc>
        <w:tc>
          <w:tcPr>
            <w:tcW w:w="1203" w:type="dxa"/>
            <w:vAlign w:val="center"/>
          </w:tcPr>
          <w:p w14:paraId="0F48203A">
            <w:pPr>
              <w:widowControl/>
              <w:snapToGrid w:val="0"/>
              <w:jc w:val="center"/>
              <w:rPr>
                <w:rFonts w:hint="eastAsia" w:ascii="仿宋_GB2312" w:hAnsi="宋体" w:eastAsia="仿宋_GB2312"/>
                <w:szCs w:val="21"/>
              </w:rPr>
            </w:pPr>
          </w:p>
        </w:tc>
        <w:tc>
          <w:tcPr>
            <w:tcW w:w="3049" w:type="dxa"/>
            <w:vAlign w:val="center"/>
          </w:tcPr>
          <w:p w14:paraId="5D0908F7">
            <w:pPr>
              <w:snapToGrid w:val="0"/>
              <w:rPr>
                <w:rFonts w:hint="eastAsia" w:ascii="仿宋_GB2312" w:hAnsi="宋体" w:eastAsia="仿宋_GB2312"/>
                <w:szCs w:val="21"/>
              </w:rPr>
            </w:pPr>
            <w:r>
              <w:rPr>
                <w:rFonts w:hint="eastAsia" w:ascii="仿宋_GB2312" w:hAnsi="宋体" w:eastAsia="仿宋_GB2312"/>
                <w:szCs w:val="21"/>
              </w:rPr>
              <w:t>不小于175-3215cm-1</w:t>
            </w:r>
          </w:p>
          <w:p w14:paraId="3EA9D8E7">
            <w:pPr>
              <w:snapToGrid w:val="0"/>
              <w:rPr>
                <w:rFonts w:hint="eastAsia" w:ascii="仿宋_GB2312" w:hAnsi="宋体" w:eastAsia="仿宋_GB2312"/>
                <w:szCs w:val="21"/>
              </w:rPr>
            </w:pPr>
          </w:p>
        </w:tc>
        <w:tc>
          <w:tcPr>
            <w:tcW w:w="2126" w:type="dxa"/>
            <w:vAlign w:val="center"/>
          </w:tcPr>
          <w:p w14:paraId="14F2E259">
            <w:pPr>
              <w:widowControl/>
              <w:snapToGrid w:val="0"/>
              <w:jc w:val="center"/>
              <w:rPr>
                <w:rFonts w:hint="eastAsia" w:ascii="仿宋_GB2312" w:hAnsi="宋体" w:eastAsia="仿宋_GB2312"/>
                <w:szCs w:val="21"/>
              </w:rPr>
            </w:pPr>
            <w:r>
              <w:rPr>
                <w:rFonts w:hint="eastAsia" w:ascii="仿宋_GB2312" w:hAnsi="宋体" w:eastAsia="仿宋_GB2312"/>
                <w:szCs w:val="21"/>
              </w:rPr>
              <w:t>否</w:t>
            </w:r>
          </w:p>
        </w:tc>
      </w:tr>
      <w:tr w14:paraId="00E4C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416FBC4">
            <w:pPr>
              <w:snapToGrid w:val="0"/>
              <w:jc w:val="center"/>
              <w:rPr>
                <w:rFonts w:hint="eastAsia" w:ascii="仿宋_GB2312" w:hAnsi="宋体" w:eastAsia="仿宋_GB2312"/>
                <w:szCs w:val="21"/>
              </w:rPr>
            </w:pPr>
            <w:r>
              <w:rPr>
                <w:rFonts w:hint="eastAsia" w:ascii="仿宋_GB2312" w:hAnsi="宋体" w:eastAsia="仿宋_GB2312"/>
                <w:szCs w:val="21"/>
              </w:rPr>
              <w:t>3</w:t>
            </w:r>
          </w:p>
        </w:tc>
        <w:tc>
          <w:tcPr>
            <w:tcW w:w="1134" w:type="dxa"/>
            <w:vAlign w:val="center"/>
          </w:tcPr>
          <w:p w14:paraId="70C56617">
            <w:pPr>
              <w:widowControl/>
              <w:snapToGrid w:val="0"/>
              <w:jc w:val="center"/>
              <w:rPr>
                <w:rFonts w:hint="eastAsia" w:ascii="仿宋_GB2312" w:hAnsi="宋体" w:eastAsia="仿宋_GB2312"/>
                <w:szCs w:val="21"/>
              </w:rPr>
            </w:pPr>
            <w:r>
              <w:rPr>
                <w:rFonts w:hint="eastAsia" w:ascii="仿宋_GB2312" w:hAnsi="宋体" w:eastAsia="仿宋_GB2312"/>
                <w:szCs w:val="21"/>
              </w:rPr>
              <w:t>狭缝</w:t>
            </w:r>
          </w:p>
        </w:tc>
        <w:tc>
          <w:tcPr>
            <w:tcW w:w="1203" w:type="dxa"/>
            <w:vAlign w:val="center"/>
          </w:tcPr>
          <w:p w14:paraId="5FEA8307">
            <w:pPr>
              <w:widowControl/>
              <w:snapToGrid w:val="0"/>
              <w:jc w:val="center"/>
              <w:rPr>
                <w:rFonts w:hint="eastAsia" w:ascii="仿宋_GB2312" w:hAnsi="宋体" w:eastAsia="仿宋_GB2312"/>
                <w:szCs w:val="21"/>
              </w:rPr>
            </w:pPr>
          </w:p>
        </w:tc>
        <w:tc>
          <w:tcPr>
            <w:tcW w:w="3049" w:type="dxa"/>
            <w:vAlign w:val="center"/>
          </w:tcPr>
          <w:p w14:paraId="42B19B5A">
            <w:pPr>
              <w:snapToGrid w:val="0"/>
              <w:rPr>
                <w:rFonts w:hint="eastAsia" w:ascii="仿宋_GB2312" w:hAnsi="宋体" w:eastAsia="仿宋_GB2312"/>
                <w:szCs w:val="21"/>
              </w:rPr>
            </w:pPr>
            <w:r>
              <w:rPr>
                <w:rFonts w:hint="eastAsia" w:ascii="仿宋_GB2312" w:hAnsi="宋体" w:eastAsia="仿宋_GB2312"/>
                <w:szCs w:val="21"/>
              </w:rPr>
              <w:t>≤10 um</w:t>
            </w:r>
          </w:p>
        </w:tc>
        <w:tc>
          <w:tcPr>
            <w:tcW w:w="2126" w:type="dxa"/>
            <w:vAlign w:val="center"/>
          </w:tcPr>
          <w:p w14:paraId="32A1B68B">
            <w:pPr>
              <w:widowControl/>
              <w:snapToGrid w:val="0"/>
              <w:jc w:val="center"/>
              <w:rPr>
                <w:rFonts w:hint="eastAsia" w:ascii="仿宋_GB2312" w:hAnsi="宋体" w:eastAsia="仿宋_GB2312"/>
                <w:szCs w:val="21"/>
              </w:rPr>
            </w:pPr>
            <w:r>
              <w:rPr>
                <w:rFonts w:hint="eastAsia" w:ascii="仿宋_GB2312" w:hAnsi="宋体" w:eastAsia="仿宋_GB2312"/>
                <w:szCs w:val="21"/>
              </w:rPr>
              <w:t>否</w:t>
            </w:r>
          </w:p>
        </w:tc>
      </w:tr>
      <w:tr w14:paraId="204A4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49C8F9E">
            <w:pPr>
              <w:snapToGrid w:val="0"/>
              <w:jc w:val="center"/>
              <w:rPr>
                <w:rFonts w:hint="eastAsia" w:ascii="仿宋_GB2312" w:hAnsi="宋体" w:eastAsia="仿宋_GB2312"/>
                <w:szCs w:val="21"/>
              </w:rPr>
            </w:pPr>
            <w:r>
              <w:rPr>
                <w:rFonts w:hint="eastAsia" w:ascii="仿宋_GB2312" w:hAnsi="宋体" w:eastAsia="仿宋_GB2312"/>
                <w:szCs w:val="21"/>
              </w:rPr>
              <w:t>4</w:t>
            </w:r>
          </w:p>
        </w:tc>
        <w:tc>
          <w:tcPr>
            <w:tcW w:w="1134" w:type="dxa"/>
            <w:vAlign w:val="center"/>
          </w:tcPr>
          <w:p w14:paraId="653E9D4E">
            <w:pPr>
              <w:widowControl/>
              <w:snapToGrid w:val="0"/>
              <w:jc w:val="center"/>
              <w:rPr>
                <w:rFonts w:hint="eastAsia" w:ascii="仿宋_GB2312" w:hAnsi="宋体" w:eastAsia="仿宋_GB2312"/>
                <w:szCs w:val="21"/>
              </w:rPr>
            </w:pPr>
            <w:r>
              <w:rPr>
                <w:rFonts w:hint="eastAsia" w:ascii="仿宋_GB2312" w:hAnsi="宋体" w:eastAsia="仿宋_GB2312"/>
                <w:szCs w:val="21"/>
              </w:rPr>
              <w:t>分辨率</w:t>
            </w:r>
          </w:p>
        </w:tc>
        <w:tc>
          <w:tcPr>
            <w:tcW w:w="1203" w:type="dxa"/>
            <w:vAlign w:val="center"/>
          </w:tcPr>
          <w:p w14:paraId="2E2596C6">
            <w:pPr>
              <w:widowControl/>
              <w:snapToGrid w:val="0"/>
              <w:jc w:val="center"/>
              <w:rPr>
                <w:rFonts w:hint="eastAsia" w:ascii="仿宋_GB2312" w:hAnsi="宋体" w:eastAsia="仿宋_GB2312"/>
                <w:szCs w:val="21"/>
              </w:rPr>
            </w:pPr>
          </w:p>
        </w:tc>
        <w:tc>
          <w:tcPr>
            <w:tcW w:w="3049" w:type="dxa"/>
            <w:vAlign w:val="center"/>
          </w:tcPr>
          <w:p w14:paraId="7315F0CF">
            <w:pPr>
              <w:snapToGrid w:val="0"/>
              <w:rPr>
                <w:rFonts w:hint="eastAsia" w:ascii="仿宋_GB2312" w:hAnsi="宋体" w:eastAsia="仿宋_GB2312"/>
                <w:szCs w:val="21"/>
              </w:rPr>
            </w:pPr>
            <w:r>
              <w:rPr>
                <w:rFonts w:hint="eastAsia" w:ascii="仿宋_GB2312" w:hAnsi="宋体" w:eastAsia="仿宋_GB2312"/>
                <w:szCs w:val="21"/>
              </w:rPr>
              <w:t>≤8cm-1</w:t>
            </w:r>
          </w:p>
        </w:tc>
        <w:tc>
          <w:tcPr>
            <w:tcW w:w="2126" w:type="dxa"/>
            <w:vAlign w:val="center"/>
          </w:tcPr>
          <w:p w14:paraId="2BC42EF6">
            <w:pPr>
              <w:widowControl/>
              <w:snapToGrid w:val="0"/>
              <w:jc w:val="center"/>
              <w:rPr>
                <w:rFonts w:hint="eastAsia" w:ascii="仿宋_GB2312" w:hAnsi="宋体" w:eastAsia="仿宋_GB2312"/>
                <w:szCs w:val="21"/>
              </w:rPr>
            </w:pPr>
            <w:r>
              <w:rPr>
                <w:rFonts w:hint="eastAsia" w:ascii="仿宋_GB2312" w:hAnsi="宋体" w:eastAsia="仿宋_GB2312"/>
                <w:szCs w:val="21"/>
              </w:rPr>
              <w:t>否</w:t>
            </w:r>
          </w:p>
        </w:tc>
      </w:tr>
      <w:tr w14:paraId="73D40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D83D304">
            <w:pPr>
              <w:snapToGrid w:val="0"/>
              <w:jc w:val="center"/>
              <w:rPr>
                <w:rFonts w:hint="eastAsia" w:ascii="仿宋_GB2312" w:hAnsi="宋体" w:eastAsia="仿宋_GB2312"/>
                <w:szCs w:val="21"/>
              </w:rPr>
            </w:pPr>
            <w:r>
              <w:rPr>
                <w:rFonts w:hint="eastAsia" w:ascii="仿宋_GB2312" w:hAnsi="宋体" w:eastAsia="仿宋_GB2312"/>
                <w:szCs w:val="21"/>
              </w:rPr>
              <w:t>5</w:t>
            </w:r>
          </w:p>
        </w:tc>
        <w:tc>
          <w:tcPr>
            <w:tcW w:w="1134" w:type="dxa"/>
            <w:vAlign w:val="center"/>
          </w:tcPr>
          <w:p w14:paraId="25433711">
            <w:pPr>
              <w:widowControl/>
              <w:snapToGrid w:val="0"/>
              <w:jc w:val="center"/>
              <w:rPr>
                <w:rFonts w:hint="eastAsia" w:ascii="仿宋_GB2312" w:hAnsi="宋体" w:eastAsia="仿宋_GB2312"/>
                <w:szCs w:val="21"/>
              </w:rPr>
            </w:pPr>
            <w:r>
              <w:rPr>
                <w:rFonts w:hint="eastAsia" w:ascii="仿宋_GB2312" w:hAnsi="宋体" w:eastAsia="仿宋_GB2312"/>
                <w:szCs w:val="21"/>
              </w:rPr>
              <w:t>光路结构</w:t>
            </w:r>
          </w:p>
        </w:tc>
        <w:tc>
          <w:tcPr>
            <w:tcW w:w="1203" w:type="dxa"/>
            <w:vAlign w:val="center"/>
          </w:tcPr>
          <w:p w14:paraId="1EA44F42">
            <w:pPr>
              <w:widowControl/>
              <w:snapToGrid w:val="0"/>
              <w:jc w:val="center"/>
              <w:rPr>
                <w:rFonts w:hint="eastAsia" w:ascii="仿宋_GB2312" w:hAnsi="宋体" w:eastAsia="仿宋_GB2312"/>
                <w:szCs w:val="21"/>
              </w:rPr>
            </w:pPr>
          </w:p>
        </w:tc>
        <w:tc>
          <w:tcPr>
            <w:tcW w:w="3049" w:type="dxa"/>
            <w:vAlign w:val="center"/>
          </w:tcPr>
          <w:p w14:paraId="208166C7">
            <w:pPr>
              <w:snapToGrid w:val="0"/>
              <w:rPr>
                <w:rFonts w:hint="eastAsia" w:ascii="仿宋_GB2312" w:hAnsi="宋体" w:eastAsia="仿宋_GB2312"/>
                <w:szCs w:val="21"/>
              </w:rPr>
            </w:pPr>
            <w:r>
              <w:rPr>
                <w:rFonts w:ascii="仿宋_GB2312" w:hAnsi="宋体" w:eastAsia="仿宋_GB2312"/>
                <w:szCs w:val="21"/>
              </w:rPr>
              <w:t>采用交叉CzernyTurner光路</w:t>
            </w:r>
            <w:r>
              <w:rPr>
                <w:rFonts w:hint="eastAsia" w:ascii="仿宋_GB2312" w:hAnsi="宋体" w:eastAsia="仿宋_GB2312"/>
                <w:szCs w:val="21"/>
              </w:rPr>
              <w:t>，</w:t>
            </w:r>
            <w:r>
              <w:rPr>
                <w:rFonts w:ascii="仿宋_GB2312" w:hAnsi="宋体" w:eastAsia="仿宋_GB2312"/>
                <w:szCs w:val="21"/>
              </w:rPr>
              <w:t>焦距10</w:t>
            </w:r>
            <w:r>
              <w:rPr>
                <w:rFonts w:hint="eastAsia" w:ascii="仿宋_GB2312" w:hAnsi="宋体" w:eastAsia="仿宋_GB2312"/>
                <w:szCs w:val="21"/>
              </w:rPr>
              <w:t>0</w:t>
            </w:r>
            <w:r>
              <w:rPr>
                <w:rFonts w:ascii="仿宋_GB2312" w:hAnsi="宋体" w:eastAsia="仿宋_GB2312"/>
                <w:szCs w:val="21"/>
              </w:rPr>
              <w:t>mm</w:t>
            </w:r>
            <w:r>
              <w:rPr>
                <w:rFonts w:hint="eastAsia" w:ascii="仿宋_GB2312" w:hAnsi="宋体" w:eastAsia="仿宋_GB2312"/>
                <w:szCs w:val="21"/>
              </w:rPr>
              <w:t>，f数4.5</w:t>
            </w:r>
          </w:p>
        </w:tc>
        <w:tc>
          <w:tcPr>
            <w:tcW w:w="2126" w:type="dxa"/>
            <w:vAlign w:val="center"/>
          </w:tcPr>
          <w:p w14:paraId="1F50A4EE">
            <w:pPr>
              <w:widowControl/>
              <w:snapToGrid w:val="0"/>
              <w:jc w:val="center"/>
              <w:rPr>
                <w:rFonts w:hint="eastAsia" w:ascii="仿宋_GB2312" w:hAnsi="宋体" w:eastAsia="仿宋_GB2312"/>
                <w:szCs w:val="21"/>
              </w:rPr>
            </w:pPr>
            <w:r>
              <w:rPr>
                <w:rFonts w:hint="eastAsia" w:ascii="仿宋_GB2312" w:hAnsi="宋体" w:eastAsia="仿宋_GB2312"/>
                <w:szCs w:val="21"/>
              </w:rPr>
              <w:t>否</w:t>
            </w:r>
          </w:p>
        </w:tc>
      </w:tr>
      <w:tr w14:paraId="6AED7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728BC83">
            <w:pPr>
              <w:snapToGrid w:val="0"/>
              <w:jc w:val="center"/>
              <w:rPr>
                <w:rFonts w:hint="eastAsia" w:ascii="仿宋_GB2312" w:hAnsi="宋体" w:eastAsia="仿宋_GB2312"/>
                <w:szCs w:val="21"/>
              </w:rPr>
            </w:pPr>
            <w:r>
              <w:rPr>
                <w:rFonts w:hint="eastAsia" w:ascii="仿宋_GB2312" w:hAnsi="宋体" w:eastAsia="仿宋_GB2312"/>
                <w:szCs w:val="21"/>
              </w:rPr>
              <w:t>6</w:t>
            </w:r>
          </w:p>
        </w:tc>
        <w:tc>
          <w:tcPr>
            <w:tcW w:w="1134" w:type="dxa"/>
            <w:vAlign w:val="center"/>
          </w:tcPr>
          <w:p w14:paraId="60D4C508">
            <w:pPr>
              <w:widowControl/>
              <w:snapToGrid w:val="0"/>
              <w:jc w:val="center"/>
              <w:rPr>
                <w:rFonts w:hint="eastAsia" w:ascii="仿宋_GB2312" w:hAnsi="宋体" w:eastAsia="仿宋_GB2312"/>
                <w:szCs w:val="21"/>
              </w:rPr>
            </w:pPr>
            <w:r>
              <w:rPr>
                <w:rFonts w:hint="eastAsia" w:ascii="仿宋_GB2312" w:hAnsi="宋体" w:eastAsia="仿宋_GB2312"/>
                <w:szCs w:val="21"/>
              </w:rPr>
              <w:t>探测器</w:t>
            </w:r>
          </w:p>
        </w:tc>
        <w:tc>
          <w:tcPr>
            <w:tcW w:w="1203" w:type="dxa"/>
            <w:vAlign w:val="center"/>
          </w:tcPr>
          <w:p w14:paraId="5D979CC5">
            <w:pPr>
              <w:widowControl/>
              <w:snapToGrid w:val="0"/>
              <w:jc w:val="center"/>
              <w:rPr>
                <w:rFonts w:hint="eastAsia" w:ascii="仿宋_GB2312" w:hAnsi="宋体" w:eastAsia="仿宋_GB2312"/>
                <w:szCs w:val="21"/>
              </w:rPr>
            </w:pPr>
            <w:r>
              <w:rPr>
                <w:rFonts w:hint="eastAsia" w:ascii="仿宋_GB2312" w:hAnsi="宋体" w:eastAsia="仿宋_GB2312"/>
                <w:szCs w:val="21"/>
              </w:rPr>
              <w:t>★</w:t>
            </w:r>
          </w:p>
        </w:tc>
        <w:tc>
          <w:tcPr>
            <w:tcW w:w="3049" w:type="dxa"/>
            <w:vAlign w:val="center"/>
          </w:tcPr>
          <w:p w14:paraId="1C661BBE">
            <w:pPr>
              <w:snapToGrid w:val="0"/>
              <w:rPr>
                <w:rFonts w:hint="eastAsia" w:ascii="仿宋_GB2312" w:hAnsi="宋体" w:eastAsia="仿宋_GB2312"/>
                <w:szCs w:val="21"/>
              </w:rPr>
            </w:pPr>
            <w:r>
              <w:rPr>
                <w:rFonts w:ascii="仿宋_GB2312" w:hAnsi="宋体" w:eastAsia="仿宋_GB2312"/>
                <w:szCs w:val="21"/>
              </w:rPr>
              <w:t>64×1044 pixels，64 行背照式</w:t>
            </w:r>
          </w:p>
        </w:tc>
        <w:tc>
          <w:tcPr>
            <w:tcW w:w="2126" w:type="dxa"/>
            <w:vAlign w:val="center"/>
          </w:tcPr>
          <w:p w14:paraId="14430A43">
            <w:pPr>
              <w:widowControl/>
              <w:snapToGrid w:val="0"/>
              <w:jc w:val="center"/>
              <w:rPr>
                <w:rFonts w:hint="eastAsia" w:ascii="仿宋_GB2312" w:hAnsi="宋体" w:eastAsia="仿宋_GB2312"/>
                <w:szCs w:val="21"/>
              </w:rPr>
            </w:pPr>
            <w:r>
              <w:rPr>
                <w:rFonts w:hint="eastAsia" w:ascii="仿宋_GB2312" w:hAnsi="宋体" w:eastAsia="仿宋_GB2312"/>
                <w:szCs w:val="21"/>
              </w:rPr>
              <w:t>是</w:t>
            </w:r>
          </w:p>
        </w:tc>
      </w:tr>
      <w:tr w14:paraId="3F5D0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2C900D6">
            <w:pPr>
              <w:snapToGrid w:val="0"/>
              <w:jc w:val="center"/>
              <w:rPr>
                <w:rFonts w:hint="eastAsia" w:ascii="仿宋_GB2312" w:hAnsi="宋体" w:eastAsia="仿宋_GB2312"/>
                <w:szCs w:val="21"/>
              </w:rPr>
            </w:pPr>
            <w:r>
              <w:rPr>
                <w:rFonts w:hint="eastAsia" w:ascii="仿宋_GB2312" w:hAnsi="宋体" w:eastAsia="仿宋_GB2312"/>
                <w:szCs w:val="21"/>
              </w:rPr>
              <w:t>7</w:t>
            </w:r>
          </w:p>
        </w:tc>
        <w:tc>
          <w:tcPr>
            <w:tcW w:w="1134" w:type="dxa"/>
            <w:vAlign w:val="center"/>
          </w:tcPr>
          <w:p w14:paraId="6431DD31">
            <w:pPr>
              <w:widowControl/>
              <w:snapToGrid w:val="0"/>
              <w:jc w:val="center"/>
              <w:rPr>
                <w:rFonts w:hint="eastAsia" w:ascii="仿宋_GB2312" w:hAnsi="宋体" w:eastAsia="仿宋_GB2312"/>
                <w:szCs w:val="21"/>
              </w:rPr>
            </w:pPr>
            <w:r>
              <w:rPr>
                <w:rFonts w:ascii="仿宋_GB2312" w:hAnsi="宋体" w:eastAsia="仿宋_GB2312"/>
                <w:szCs w:val="21"/>
              </w:rPr>
              <w:t>积分时间</w:t>
            </w:r>
          </w:p>
        </w:tc>
        <w:tc>
          <w:tcPr>
            <w:tcW w:w="1203" w:type="dxa"/>
            <w:vAlign w:val="center"/>
          </w:tcPr>
          <w:p w14:paraId="67FF9DA1">
            <w:pPr>
              <w:widowControl/>
              <w:snapToGrid w:val="0"/>
              <w:jc w:val="center"/>
              <w:rPr>
                <w:rFonts w:hint="eastAsia" w:ascii="仿宋_GB2312" w:hAnsi="宋体" w:eastAsia="仿宋_GB2312"/>
                <w:szCs w:val="21"/>
              </w:rPr>
            </w:pPr>
            <w:r>
              <w:rPr>
                <w:rFonts w:hint="eastAsia" w:ascii="仿宋_GB2312" w:hAnsi="宋体" w:eastAsia="仿宋_GB2312"/>
                <w:szCs w:val="21"/>
              </w:rPr>
              <w:t>★</w:t>
            </w:r>
          </w:p>
        </w:tc>
        <w:tc>
          <w:tcPr>
            <w:tcW w:w="3049" w:type="dxa"/>
            <w:vAlign w:val="center"/>
          </w:tcPr>
          <w:p w14:paraId="544F1ADB">
            <w:pPr>
              <w:snapToGrid w:val="0"/>
              <w:rPr>
                <w:rFonts w:hint="eastAsia" w:ascii="仿宋_GB2312" w:hAnsi="宋体" w:eastAsia="仿宋_GB2312"/>
                <w:szCs w:val="21"/>
              </w:rPr>
            </w:pPr>
            <w:r>
              <w:rPr>
                <w:rFonts w:ascii="仿宋_GB2312" w:hAnsi="宋体" w:eastAsia="仿宋_GB2312"/>
                <w:szCs w:val="21"/>
              </w:rPr>
              <w:t>积分时间：最短可达4ms，</w:t>
            </w:r>
            <w:r>
              <w:rPr>
                <w:rFonts w:hint="eastAsia" w:ascii="仿宋_GB2312" w:hAnsi="宋体" w:eastAsia="仿宋_GB2312"/>
                <w:szCs w:val="21"/>
              </w:rPr>
              <w:t>且需</w:t>
            </w:r>
            <w:r>
              <w:rPr>
                <w:rFonts w:ascii="仿宋_GB2312" w:hAnsi="宋体" w:eastAsia="仿宋_GB2312"/>
                <w:szCs w:val="21"/>
              </w:rPr>
              <w:t>提供4ms，6ms，8ms不同积分时间下测量光谱数据；</w:t>
            </w:r>
          </w:p>
        </w:tc>
        <w:tc>
          <w:tcPr>
            <w:tcW w:w="2126" w:type="dxa"/>
            <w:vAlign w:val="center"/>
          </w:tcPr>
          <w:p w14:paraId="79C61693">
            <w:pPr>
              <w:widowControl/>
              <w:snapToGrid w:val="0"/>
              <w:jc w:val="center"/>
              <w:rPr>
                <w:rFonts w:hint="eastAsia" w:ascii="仿宋_GB2312" w:hAnsi="宋体" w:eastAsia="仿宋_GB2312"/>
                <w:szCs w:val="21"/>
              </w:rPr>
            </w:pPr>
            <w:r>
              <w:rPr>
                <w:rFonts w:hint="eastAsia" w:ascii="仿宋_GB2312" w:hAnsi="宋体" w:eastAsia="仿宋_GB2312"/>
                <w:szCs w:val="21"/>
              </w:rPr>
              <w:t>是</w:t>
            </w:r>
          </w:p>
        </w:tc>
      </w:tr>
      <w:tr w14:paraId="23AF7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0284BFB">
            <w:pPr>
              <w:snapToGrid w:val="0"/>
              <w:jc w:val="center"/>
              <w:rPr>
                <w:rFonts w:hint="eastAsia" w:ascii="仿宋_GB2312" w:hAnsi="宋体" w:eastAsia="仿宋_GB2312"/>
                <w:szCs w:val="21"/>
              </w:rPr>
            </w:pPr>
            <w:r>
              <w:rPr>
                <w:rFonts w:hint="eastAsia" w:ascii="仿宋_GB2312" w:hAnsi="宋体" w:eastAsia="仿宋_GB2312"/>
                <w:szCs w:val="21"/>
              </w:rPr>
              <w:t>8</w:t>
            </w:r>
          </w:p>
        </w:tc>
        <w:tc>
          <w:tcPr>
            <w:tcW w:w="1134" w:type="dxa"/>
            <w:vAlign w:val="center"/>
          </w:tcPr>
          <w:p w14:paraId="54F7DC03">
            <w:pPr>
              <w:widowControl/>
              <w:snapToGrid w:val="0"/>
              <w:jc w:val="center"/>
              <w:rPr>
                <w:rFonts w:hint="eastAsia" w:ascii="仿宋_GB2312" w:hAnsi="宋体" w:eastAsia="仿宋_GB2312"/>
                <w:szCs w:val="21"/>
              </w:rPr>
            </w:pPr>
            <w:r>
              <w:rPr>
                <w:rFonts w:ascii="仿宋_GB2312" w:hAnsi="宋体" w:eastAsia="仿宋_GB2312"/>
                <w:szCs w:val="21"/>
              </w:rPr>
              <w:t>信噪比</w:t>
            </w:r>
          </w:p>
        </w:tc>
        <w:tc>
          <w:tcPr>
            <w:tcW w:w="1203" w:type="dxa"/>
            <w:vAlign w:val="center"/>
          </w:tcPr>
          <w:p w14:paraId="43C0346F">
            <w:pPr>
              <w:widowControl/>
              <w:snapToGrid w:val="0"/>
              <w:jc w:val="center"/>
              <w:rPr>
                <w:rFonts w:hint="eastAsia" w:ascii="仿宋_GB2312" w:hAnsi="宋体" w:eastAsia="仿宋_GB2312"/>
                <w:szCs w:val="21"/>
              </w:rPr>
            </w:pPr>
            <w:r>
              <w:rPr>
                <w:rFonts w:hint="eastAsia" w:ascii="仿宋_GB2312" w:hAnsi="宋体" w:eastAsia="仿宋_GB2312"/>
                <w:szCs w:val="21"/>
              </w:rPr>
              <w:t>#</w:t>
            </w:r>
          </w:p>
        </w:tc>
        <w:tc>
          <w:tcPr>
            <w:tcW w:w="3049" w:type="dxa"/>
            <w:vAlign w:val="center"/>
          </w:tcPr>
          <w:p w14:paraId="3FA85BE5">
            <w:pPr>
              <w:snapToGrid w:val="0"/>
              <w:rPr>
                <w:rFonts w:hint="eastAsia" w:ascii="仿宋_GB2312" w:hAnsi="宋体" w:eastAsia="仿宋_GB2312"/>
                <w:szCs w:val="21"/>
              </w:rPr>
            </w:pPr>
            <w:r>
              <w:rPr>
                <w:rFonts w:ascii="仿宋_GB2312" w:hAnsi="宋体" w:eastAsia="仿宋_GB2312"/>
                <w:szCs w:val="21"/>
              </w:rPr>
              <w:t>信噪比：</w:t>
            </w:r>
            <w:r>
              <w:rPr>
                <w:rFonts w:hint="eastAsia" w:ascii="仿宋_GB2312" w:hAnsi="宋体" w:eastAsia="仿宋_GB2312"/>
                <w:szCs w:val="21"/>
              </w:rPr>
              <w:t>≥</w:t>
            </w:r>
            <w:r>
              <w:rPr>
                <w:rFonts w:ascii="仿宋_GB2312" w:hAnsi="宋体" w:eastAsia="仿宋_GB2312"/>
                <w:szCs w:val="21"/>
              </w:rPr>
              <w:t>1000:1</w:t>
            </w:r>
          </w:p>
        </w:tc>
        <w:tc>
          <w:tcPr>
            <w:tcW w:w="2126" w:type="dxa"/>
            <w:vAlign w:val="center"/>
          </w:tcPr>
          <w:p w14:paraId="38DA244D">
            <w:pPr>
              <w:widowControl/>
              <w:snapToGrid w:val="0"/>
              <w:jc w:val="center"/>
              <w:rPr>
                <w:rFonts w:hint="eastAsia" w:ascii="仿宋_GB2312" w:hAnsi="宋体" w:eastAsia="仿宋_GB2312"/>
                <w:szCs w:val="21"/>
              </w:rPr>
            </w:pPr>
            <w:r>
              <w:rPr>
                <w:rFonts w:hint="eastAsia" w:ascii="仿宋_GB2312" w:hAnsi="宋体" w:eastAsia="仿宋_GB2312"/>
                <w:szCs w:val="21"/>
              </w:rPr>
              <w:t>是</w:t>
            </w:r>
          </w:p>
        </w:tc>
      </w:tr>
      <w:tr w14:paraId="5BCB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E3810DD">
            <w:pPr>
              <w:snapToGrid w:val="0"/>
              <w:jc w:val="center"/>
              <w:rPr>
                <w:rFonts w:hint="eastAsia" w:ascii="仿宋_GB2312" w:hAnsi="宋体" w:eastAsia="仿宋_GB2312"/>
                <w:szCs w:val="21"/>
              </w:rPr>
            </w:pPr>
            <w:r>
              <w:rPr>
                <w:rFonts w:hint="eastAsia" w:ascii="仿宋_GB2312" w:hAnsi="宋体" w:eastAsia="仿宋_GB2312"/>
                <w:szCs w:val="21"/>
              </w:rPr>
              <w:t>9</w:t>
            </w:r>
          </w:p>
        </w:tc>
        <w:tc>
          <w:tcPr>
            <w:tcW w:w="1134" w:type="dxa"/>
            <w:vAlign w:val="center"/>
          </w:tcPr>
          <w:p w14:paraId="67EBC2F4">
            <w:pPr>
              <w:widowControl/>
              <w:snapToGrid w:val="0"/>
              <w:jc w:val="center"/>
              <w:rPr>
                <w:rFonts w:hint="eastAsia" w:ascii="仿宋_GB2312" w:hAnsi="宋体" w:eastAsia="仿宋_GB2312"/>
                <w:szCs w:val="21"/>
              </w:rPr>
            </w:pPr>
            <w:r>
              <w:rPr>
                <w:rFonts w:ascii="仿宋_GB2312" w:hAnsi="宋体" w:eastAsia="仿宋_GB2312"/>
                <w:szCs w:val="21"/>
              </w:rPr>
              <w:t>动态范围</w:t>
            </w:r>
          </w:p>
        </w:tc>
        <w:tc>
          <w:tcPr>
            <w:tcW w:w="1203" w:type="dxa"/>
            <w:vAlign w:val="center"/>
          </w:tcPr>
          <w:p w14:paraId="5AA2EE38">
            <w:pPr>
              <w:widowControl/>
              <w:snapToGrid w:val="0"/>
              <w:jc w:val="center"/>
              <w:rPr>
                <w:rFonts w:hint="eastAsia" w:ascii="仿宋_GB2312" w:hAnsi="宋体" w:eastAsia="仿宋_GB2312"/>
                <w:szCs w:val="21"/>
              </w:rPr>
            </w:pPr>
            <w:r>
              <w:rPr>
                <w:rFonts w:hint="eastAsia" w:ascii="仿宋_GB2312" w:hAnsi="宋体" w:eastAsia="仿宋_GB2312"/>
                <w:szCs w:val="21"/>
              </w:rPr>
              <w:t>#</w:t>
            </w:r>
          </w:p>
        </w:tc>
        <w:tc>
          <w:tcPr>
            <w:tcW w:w="3049" w:type="dxa"/>
            <w:vAlign w:val="center"/>
          </w:tcPr>
          <w:p w14:paraId="3799C38B">
            <w:pPr>
              <w:snapToGrid w:val="0"/>
              <w:rPr>
                <w:rFonts w:hint="eastAsia" w:ascii="仿宋_GB2312" w:hAnsi="宋体" w:eastAsia="仿宋_GB2312"/>
                <w:szCs w:val="21"/>
              </w:rPr>
            </w:pPr>
            <w:r>
              <w:rPr>
                <w:rFonts w:ascii="仿宋_GB2312" w:hAnsi="宋体" w:eastAsia="仿宋_GB2312"/>
                <w:szCs w:val="21"/>
              </w:rPr>
              <w:t>动态范围：</w:t>
            </w:r>
            <w:r>
              <w:rPr>
                <w:rFonts w:hint="eastAsia" w:ascii="仿宋_GB2312" w:hAnsi="宋体" w:eastAsia="仿宋_GB2312"/>
                <w:szCs w:val="21"/>
              </w:rPr>
              <w:t>≥10</w:t>
            </w:r>
            <w:r>
              <w:rPr>
                <w:rFonts w:ascii="仿宋_GB2312" w:hAnsi="宋体" w:eastAsia="仿宋_GB2312"/>
                <w:szCs w:val="21"/>
              </w:rPr>
              <w:t>,000:1</w:t>
            </w:r>
          </w:p>
          <w:p w14:paraId="20EF863D">
            <w:pPr>
              <w:snapToGrid w:val="0"/>
              <w:rPr>
                <w:rFonts w:hint="eastAsia" w:ascii="仿宋_GB2312" w:hAnsi="宋体" w:eastAsia="仿宋_GB2312"/>
                <w:szCs w:val="21"/>
              </w:rPr>
            </w:pPr>
          </w:p>
        </w:tc>
        <w:tc>
          <w:tcPr>
            <w:tcW w:w="2126" w:type="dxa"/>
            <w:vAlign w:val="center"/>
          </w:tcPr>
          <w:p w14:paraId="1FFD845D">
            <w:pPr>
              <w:widowControl/>
              <w:snapToGrid w:val="0"/>
              <w:jc w:val="center"/>
              <w:rPr>
                <w:rFonts w:hint="eastAsia" w:ascii="仿宋_GB2312" w:hAnsi="宋体" w:eastAsia="仿宋_GB2312"/>
                <w:szCs w:val="21"/>
              </w:rPr>
            </w:pPr>
            <w:r>
              <w:rPr>
                <w:rFonts w:hint="eastAsia" w:ascii="仿宋_GB2312" w:hAnsi="宋体" w:eastAsia="仿宋_GB2312"/>
                <w:szCs w:val="21"/>
              </w:rPr>
              <w:t>是</w:t>
            </w:r>
          </w:p>
        </w:tc>
      </w:tr>
      <w:tr w14:paraId="266EF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07BC8B7">
            <w:pPr>
              <w:snapToGrid w:val="0"/>
              <w:jc w:val="center"/>
              <w:rPr>
                <w:rFonts w:hint="eastAsia" w:ascii="仿宋_GB2312" w:hAnsi="宋体" w:eastAsia="仿宋_GB2312"/>
                <w:szCs w:val="21"/>
              </w:rPr>
            </w:pPr>
            <w:r>
              <w:rPr>
                <w:rFonts w:hint="eastAsia" w:ascii="仿宋_GB2312" w:hAnsi="宋体" w:eastAsia="仿宋_GB2312"/>
                <w:szCs w:val="21"/>
              </w:rPr>
              <w:t>10</w:t>
            </w:r>
          </w:p>
        </w:tc>
        <w:tc>
          <w:tcPr>
            <w:tcW w:w="1134" w:type="dxa"/>
            <w:vAlign w:val="center"/>
          </w:tcPr>
          <w:p w14:paraId="17CFDC57">
            <w:pPr>
              <w:widowControl/>
              <w:snapToGrid w:val="0"/>
              <w:jc w:val="center"/>
              <w:rPr>
                <w:rFonts w:hint="eastAsia" w:ascii="仿宋_GB2312" w:hAnsi="宋体" w:eastAsia="仿宋_GB2312"/>
                <w:szCs w:val="21"/>
              </w:rPr>
            </w:pPr>
            <w:r>
              <w:rPr>
                <w:rFonts w:hint="eastAsia" w:ascii="仿宋_GB2312" w:hAnsi="宋体" w:eastAsia="仿宋_GB2312"/>
                <w:szCs w:val="21"/>
              </w:rPr>
              <w:t>软件</w:t>
            </w:r>
          </w:p>
        </w:tc>
        <w:tc>
          <w:tcPr>
            <w:tcW w:w="1203" w:type="dxa"/>
            <w:vAlign w:val="center"/>
          </w:tcPr>
          <w:p w14:paraId="1C44B080">
            <w:pPr>
              <w:widowControl/>
              <w:snapToGrid w:val="0"/>
              <w:jc w:val="center"/>
              <w:rPr>
                <w:rFonts w:hint="eastAsia" w:ascii="仿宋_GB2312" w:hAnsi="宋体" w:eastAsia="仿宋_GB2312"/>
                <w:szCs w:val="21"/>
              </w:rPr>
            </w:pPr>
          </w:p>
        </w:tc>
        <w:tc>
          <w:tcPr>
            <w:tcW w:w="3049" w:type="dxa"/>
            <w:vAlign w:val="center"/>
          </w:tcPr>
          <w:p w14:paraId="1233EF80">
            <w:pPr>
              <w:snapToGrid w:val="0"/>
              <w:rPr>
                <w:rFonts w:hint="eastAsia" w:ascii="仿宋_GB2312" w:hAnsi="宋体" w:eastAsia="仿宋_GB2312"/>
                <w:szCs w:val="21"/>
              </w:rPr>
            </w:pPr>
            <w:r>
              <w:rPr>
                <w:rFonts w:hint="eastAsia" w:ascii="仿宋_GB2312" w:hAnsi="宋体" w:eastAsia="仿宋_GB2312"/>
                <w:szCs w:val="21"/>
              </w:rPr>
              <w:t>支持峰位分析、谱图缩放、多段寻峰等操作；多种光谱预处理算法，包括：平滑、平均；内置波长定标、辐照度校准、拉曼频移校准等校正功能；支持同数据源多视图多功能实时计算。</w:t>
            </w:r>
          </w:p>
        </w:tc>
        <w:tc>
          <w:tcPr>
            <w:tcW w:w="2126" w:type="dxa"/>
            <w:vAlign w:val="center"/>
          </w:tcPr>
          <w:p w14:paraId="6D77C289">
            <w:pPr>
              <w:widowControl/>
              <w:snapToGrid w:val="0"/>
              <w:jc w:val="center"/>
              <w:rPr>
                <w:rFonts w:hint="eastAsia" w:ascii="仿宋_GB2312" w:hAnsi="宋体" w:eastAsia="仿宋_GB2312"/>
                <w:szCs w:val="21"/>
              </w:rPr>
            </w:pPr>
            <w:r>
              <w:rPr>
                <w:rFonts w:hint="eastAsia" w:ascii="仿宋_GB2312" w:hAnsi="宋体" w:eastAsia="仿宋_GB2312"/>
                <w:szCs w:val="21"/>
              </w:rPr>
              <w:t>否</w:t>
            </w:r>
          </w:p>
        </w:tc>
      </w:tr>
      <w:tr w14:paraId="2CB3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9BD1574">
            <w:pPr>
              <w:snapToGrid w:val="0"/>
              <w:jc w:val="center"/>
              <w:rPr>
                <w:rFonts w:hint="eastAsia" w:ascii="仿宋_GB2312" w:hAnsi="宋体" w:eastAsia="仿宋_GB2312"/>
                <w:szCs w:val="21"/>
              </w:rPr>
            </w:pPr>
            <w:r>
              <w:rPr>
                <w:rFonts w:hint="eastAsia" w:ascii="仿宋_GB2312" w:hAnsi="宋体" w:eastAsia="仿宋_GB2312"/>
                <w:szCs w:val="21"/>
              </w:rPr>
              <w:t>11</w:t>
            </w:r>
          </w:p>
        </w:tc>
        <w:tc>
          <w:tcPr>
            <w:tcW w:w="1134" w:type="dxa"/>
            <w:vAlign w:val="center"/>
          </w:tcPr>
          <w:p w14:paraId="35ECA90E">
            <w:pPr>
              <w:widowControl/>
              <w:snapToGrid w:val="0"/>
              <w:jc w:val="center"/>
              <w:rPr>
                <w:rFonts w:hint="eastAsia" w:ascii="仿宋_GB2312" w:hAnsi="宋体" w:eastAsia="仿宋_GB2312"/>
                <w:szCs w:val="21"/>
              </w:rPr>
            </w:pPr>
            <w:r>
              <w:rPr>
                <w:rFonts w:hint="eastAsia" w:ascii="仿宋_GB2312" w:hAnsi="宋体" w:eastAsia="仿宋_GB2312"/>
                <w:szCs w:val="21"/>
              </w:rPr>
              <w:t>拓展</w:t>
            </w:r>
          </w:p>
        </w:tc>
        <w:tc>
          <w:tcPr>
            <w:tcW w:w="1203" w:type="dxa"/>
            <w:vAlign w:val="center"/>
          </w:tcPr>
          <w:p w14:paraId="531E547A">
            <w:pPr>
              <w:widowControl/>
              <w:snapToGrid w:val="0"/>
              <w:jc w:val="center"/>
              <w:rPr>
                <w:rFonts w:hint="eastAsia" w:ascii="仿宋_GB2312" w:hAnsi="宋体" w:eastAsia="仿宋_GB2312"/>
                <w:szCs w:val="21"/>
              </w:rPr>
            </w:pPr>
          </w:p>
        </w:tc>
        <w:tc>
          <w:tcPr>
            <w:tcW w:w="3049" w:type="dxa"/>
            <w:vAlign w:val="center"/>
          </w:tcPr>
          <w:p w14:paraId="4D9BB6B8">
            <w:pPr>
              <w:snapToGrid w:val="0"/>
              <w:rPr>
                <w:rFonts w:hint="eastAsia" w:ascii="仿宋_GB2312" w:hAnsi="宋体" w:eastAsia="仿宋_GB2312"/>
                <w:szCs w:val="21"/>
              </w:rPr>
            </w:pPr>
            <w:r>
              <w:rPr>
                <w:rFonts w:hint="eastAsia" w:ascii="仿宋_GB2312" w:hAnsi="宋体" w:eastAsia="仿宋_GB2312"/>
                <w:szCs w:val="21"/>
              </w:rPr>
              <w:t>支持和宏观角分辨光谱系统连用，在R1软件实现一键操作自动化控制。</w:t>
            </w:r>
          </w:p>
          <w:p w14:paraId="69BD87FC">
            <w:pPr>
              <w:snapToGrid w:val="0"/>
              <w:rPr>
                <w:rFonts w:hint="eastAsia" w:ascii="仿宋_GB2312" w:hAnsi="宋体" w:eastAsia="仿宋_GB2312"/>
                <w:szCs w:val="21"/>
              </w:rPr>
            </w:pPr>
          </w:p>
        </w:tc>
        <w:tc>
          <w:tcPr>
            <w:tcW w:w="2126" w:type="dxa"/>
            <w:vAlign w:val="center"/>
          </w:tcPr>
          <w:p w14:paraId="2716B1E7">
            <w:pPr>
              <w:widowControl/>
              <w:snapToGrid w:val="0"/>
              <w:jc w:val="center"/>
              <w:rPr>
                <w:rFonts w:hint="eastAsia" w:ascii="仿宋_GB2312" w:hAnsi="宋体" w:eastAsia="仿宋_GB2312"/>
                <w:szCs w:val="21"/>
              </w:rPr>
            </w:pPr>
            <w:bookmarkStart w:id="1" w:name="OLE_LINK2"/>
            <w:r>
              <w:rPr>
                <w:rFonts w:hint="eastAsia" w:ascii="仿宋_GB2312" w:hAnsi="宋体" w:eastAsia="仿宋_GB2312"/>
                <w:szCs w:val="21"/>
              </w:rPr>
              <w:t>否</w:t>
            </w:r>
            <w:bookmarkEnd w:id="1"/>
          </w:p>
        </w:tc>
      </w:tr>
      <w:tr w14:paraId="560C3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6BB61B9">
            <w:pPr>
              <w:snapToGrid w:val="0"/>
              <w:jc w:val="center"/>
              <w:rPr>
                <w:rFonts w:hint="eastAsia" w:ascii="仿宋_GB2312" w:hAnsi="宋体" w:eastAsia="仿宋_GB2312"/>
                <w:szCs w:val="21"/>
              </w:rPr>
            </w:pPr>
            <w:r>
              <w:rPr>
                <w:rFonts w:hint="eastAsia" w:ascii="仿宋_GB2312" w:hAnsi="宋体" w:eastAsia="仿宋_GB2312"/>
                <w:szCs w:val="21"/>
              </w:rPr>
              <w:t>12</w:t>
            </w:r>
          </w:p>
        </w:tc>
        <w:tc>
          <w:tcPr>
            <w:tcW w:w="1134" w:type="dxa"/>
            <w:vAlign w:val="center"/>
          </w:tcPr>
          <w:p w14:paraId="5DA0A749">
            <w:pPr>
              <w:widowControl/>
              <w:snapToGrid w:val="0"/>
              <w:jc w:val="center"/>
              <w:rPr>
                <w:rFonts w:hint="eastAsia" w:ascii="仿宋_GB2312" w:hAnsi="宋体" w:eastAsia="仿宋_GB2312"/>
                <w:szCs w:val="21"/>
              </w:rPr>
            </w:pPr>
            <w:r>
              <w:rPr>
                <w:rFonts w:hint="eastAsia" w:ascii="仿宋_GB2312" w:hAnsi="宋体" w:eastAsia="仿宋_GB2312"/>
                <w:szCs w:val="21"/>
              </w:rPr>
              <w:t>探头配置</w:t>
            </w:r>
          </w:p>
        </w:tc>
        <w:tc>
          <w:tcPr>
            <w:tcW w:w="1203" w:type="dxa"/>
            <w:vAlign w:val="center"/>
          </w:tcPr>
          <w:p w14:paraId="773E7462">
            <w:pPr>
              <w:widowControl/>
              <w:snapToGrid w:val="0"/>
              <w:jc w:val="center"/>
              <w:rPr>
                <w:rFonts w:hint="eastAsia" w:ascii="仿宋_GB2312" w:hAnsi="宋体" w:eastAsia="仿宋_GB2312"/>
                <w:szCs w:val="21"/>
              </w:rPr>
            </w:pPr>
          </w:p>
        </w:tc>
        <w:tc>
          <w:tcPr>
            <w:tcW w:w="3049" w:type="dxa"/>
            <w:vAlign w:val="center"/>
          </w:tcPr>
          <w:p w14:paraId="3203BDC7">
            <w:pPr>
              <w:snapToGrid w:val="0"/>
              <w:rPr>
                <w:rFonts w:hint="eastAsia" w:ascii="仿宋_GB2312" w:hAnsi="宋体" w:eastAsia="仿宋_GB2312"/>
                <w:szCs w:val="21"/>
              </w:rPr>
            </w:pPr>
            <w:r>
              <w:rPr>
                <w:rFonts w:ascii="仿宋_GB2312" w:hAnsi="宋体" w:eastAsia="仿宋_GB2312"/>
                <w:szCs w:val="21"/>
              </w:rPr>
              <w:t>焦距：7.5mm，且可切换为平行光∞输出 2.2 端口：样品端金属Ferrel，外径9.5mm，光谱仪端SMA905接口，激光端FC接口</w:t>
            </w:r>
          </w:p>
        </w:tc>
        <w:tc>
          <w:tcPr>
            <w:tcW w:w="2126" w:type="dxa"/>
          </w:tcPr>
          <w:p w14:paraId="54943D9B">
            <w:pPr>
              <w:widowControl/>
              <w:snapToGrid w:val="0"/>
              <w:jc w:val="center"/>
              <w:rPr>
                <w:rFonts w:hint="eastAsia" w:ascii="仿宋_GB2312" w:hAnsi="宋体" w:eastAsia="仿宋_GB2312"/>
                <w:szCs w:val="21"/>
              </w:rPr>
            </w:pPr>
            <w:r>
              <w:rPr>
                <w:rFonts w:hint="eastAsia" w:ascii="仿宋_GB2312" w:hAnsi="宋体" w:eastAsia="仿宋_GB2312"/>
                <w:szCs w:val="21"/>
              </w:rPr>
              <w:t>否</w:t>
            </w:r>
          </w:p>
        </w:tc>
      </w:tr>
      <w:tr w14:paraId="1C092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D259CE7">
            <w:pPr>
              <w:snapToGrid w:val="0"/>
              <w:jc w:val="center"/>
              <w:rPr>
                <w:rFonts w:hint="eastAsia" w:ascii="仿宋_GB2312" w:hAnsi="宋体" w:eastAsia="仿宋_GB2312"/>
                <w:szCs w:val="21"/>
              </w:rPr>
            </w:pPr>
            <w:r>
              <w:rPr>
                <w:rFonts w:hint="eastAsia" w:ascii="仿宋_GB2312" w:hAnsi="宋体" w:eastAsia="仿宋_GB2312"/>
                <w:szCs w:val="21"/>
              </w:rPr>
              <w:t>13</w:t>
            </w:r>
          </w:p>
        </w:tc>
        <w:tc>
          <w:tcPr>
            <w:tcW w:w="1134" w:type="dxa"/>
            <w:vAlign w:val="center"/>
          </w:tcPr>
          <w:p w14:paraId="17011599">
            <w:pPr>
              <w:widowControl/>
              <w:snapToGrid w:val="0"/>
              <w:jc w:val="center"/>
              <w:rPr>
                <w:rFonts w:hint="eastAsia" w:ascii="仿宋_GB2312" w:hAnsi="宋体" w:eastAsia="仿宋_GB2312"/>
                <w:szCs w:val="21"/>
              </w:rPr>
            </w:pPr>
            <w:r>
              <w:rPr>
                <w:rFonts w:hint="eastAsia" w:ascii="仿宋_GB2312" w:hAnsi="宋体" w:eastAsia="仿宋_GB2312"/>
                <w:szCs w:val="21"/>
              </w:rPr>
              <w:t>支架</w:t>
            </w:r>
          </w:p>
        </w:tc>
        <w:tc>
          <w:tcPr>
            <w:tcW w:w="1203" w:type="dxa"/>
            <w:vAlign w:val="center"/>
          </w:tcPr>
          <w:p w14:paraId="1FA65398">
            <w:pPr>
              <w:widowControl/>
              <w:snapToGrid w:val="0"/>
              <w:jc w:val="center"/>
              <w:rPr>
                <w:rFonts w:hint="eastAsia" w:ascii="仿宋_GB2312" w:hAnsi="宋体" w:eastAsia="仿宋_GB2312"/>
                <w:szCs w:val="21"/>
              </w:rPr>
            </w:pPr>
          </w:p>
        </w:tc>
        <w:tc>
          <w:tcPr>
            <w:tcW w:w="3049" w:type="dxa"/>
            <w:vAlign w:val="center"/>
          </w:tcPr>
          <w:p w14:paraId="4AE1ACDC">
            <w:pPr>
              <w:snapToGrid w:val="0"/>
              <w:rPr>
                <w:rFonts w:hint="eastAsia" w:ascii="仿宋_GB2312" w:hAnsi="宋体" w:eastAsia="仿宋_GB2312"/>
                <w:szCs w:val="21"/>
              </w:rPr>
            </w:pPr>
            <w:r>
              <w:rPr>
                <w:rFonts w:ascii="仿宋_GB2312" w:hAnsi="宋体" w:eastAsia="仿宋_GB2312"/>
                <w:szCs w:val="21"/>
              </w:rPr>
              <w:t>支架基座材质：阳极氧化处理铝</w:t>
            </w:r>
          </w:p>
          <w:p w14:paraId="4EB14811">
            <w:pPr>
              <w:snapToGrid w:val="0"/>
              <w:rPr>
                <w:rFonts w:hint="eastAsia" w:ascii="仿宋_GB2312" w:hAnsi="宋体" w:eastAsia="仿宋_GB2312"/>
                <w:szCs w:val="21"/>
              </w:rPr>
            </w:pPr>
            <w:r>
              <w:rPr>
                <w:rFonts w:hint="eastAsia" w:ascii="仿宋_GB2312" w:hAnsi="宋体" w:eastAsia="仿宋_GB2312"/>
                <w:szCs w:val="21"/>
              </w:rPr>
              <w:t>4.2 可调节距离：0.5cm-10cm可调</w:t>
            </w:r>
          </w:p>
        </w:tc>
        <w:tc>
          <w:tcPr>
            <w:tcW w:w="2126" w:type="dxa"/>
          </w:tcPr>
          <w:p w14:paraId="02268D58">
            <w:pPr>
              <w:widowControl/>
              <w:snapToGrid w:val="0"/>
              <w:jc w:val="center"/>
              <w:rPr>
                <w:rFonts w:hint="eastAsia" w:ascii="仿宋_GB2312" w:hAnsi="宋体" w:eastAsia="仿宋_GB2312"/>
                <w:szCs w:val="21"/>
              </w:rPr>
            </w:pPr>
            <w:r>
              <w:rPr>
                <w:rFonts w:hint="eastAsia" w:ascii="仿宋_GB2312" w:hAnsi="宋体" w:eastAsia="仿宋_GB2312"/>
                <w:szCs w:val="21"/>
              </w:rPr>
              <w:t>否</w:t>
            </w:r>
          </w:p>
        </w:tc>
      </w:tr>
    </w:tbl>
    <w:p w14:paraId="67341C23">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552867D8">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0A24B059">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3C8E08DE">
      <w:pPr>
        <w:widowControl/>
        <w:shd w:val="clear" w:color="auto" w:fill="FFFFFF"/>
        <w:spacing w:line="360" w:lineRule="auto"/>
        <w:jc w:val="center"/>
        <w:rPr>
          <w:rFonts w:ascii="Times New Roman" w:hAnsi="Times New Roman" w:eastAsia="仿宋_GB2312" w:cs="Times New Roman"/>
          <w:color w:val="000000"/>
          <w:kern w:val="0"/>
          <w:sz w:val="28"/>
          <w:szCs w:val="28"/>
          <w:shd w:val="clear" w:color="auto" w:fill="FFFFFF"/>
        </w:rPr>
      </w:pPr>
      <w:r>
        <w:rPr>
          <w:rFonts w:ascii="Times New Roman" w:hAnsi="Times New Roman" w:eastAsia="仿宋_GB2312" w:cs="Times New Roman"/>
          <w:color w:val="000000"/>
          <w:kern w:val="0"/>
          <w:sz w:val="28"/>
          <w:szCs w:val="28"/>
          <w:shd w:val="clear" w:color="auto" w:fill="FFFFFF"/>
        </w:rPr>
        <w:t>（五）</w:t>
      </w:r>
      <w:r>
        <w:rPr>
          <w:rFonts w:ascii="Times New Roman" w:hAnsi="Times New Roman" w:eastAsia="仿宋_GB2312" w:cs="Times New Roman"/>
          <w:sz w:val="28"/>
          <w:szCs w:val="28"/>
        </w:rPr>
        <w:t>微区X射线荧光光谱仪</w:t>
      </w:r>
      <w:r>
        <w:rPr>
          <w:rFonts w:ascii="Times New Roman" w:hAnsi="Times New Roman" w:eastAsia="仿宋_GB2312" w:cs="Times New Roman"/>
          <w:color w:val="000000"/>
          <w:kern w:val="0"/>
          <w:sz w:val="28"/>
          <w:szCs w:val="28"/>
          <w:shd w:val="clear" w:color="auto" w:fill="FFFFFF"/>
        </w:rPr>
        <w:t>（1台）</w:t>
      </w:r>
    </w:p>
    <w:p w14:paraId="2FF711E1">
      <w:pPr>
        <w:autoSpaceDE w:val="0"/>
        <w:autoSpaceDN w:val="0"/>
        <w:adjustRightInd w:val="0"/>
        <w:snapToGrid w:val="0"/>
        <w:spacing w:line="360" w:lineRule="auto"/>
        <w:jc w:val="left"/>
        <w:rPr>
          <w:rFonts w:hint="eastAsia" w:ascii="仿宋_GB2312" w:hAnsi="宋体" w:eastAsia="仿宋_GB2312"/>
          <w:b/>
          <w:bCs/>
          <w:sz w:val="24"/>
          <w:szCs w:val="24"/>
        </w:rPr>
      </w:pPr>
      <w:r>
        <w:rPr>
          <w:rFonts w:hint="eastAsia" w:ascii="仿宋_GB2312" w:hAnsi="宋体" w:eastAsia="仿宋_GB2312"/>
          <w:b/>
          <w:bCs/>
          <w:sz w:val="24"/>
          <w:szCs w:val="24"/>
        </w:rPr>
        <w:t>1.功能要求：</w:t>
      </w:r>
    </w:p>
    <w:p w14:paraId="3475A76D">
      <w:pPr>
        <w:autoSpaceDE w:val="0"/>
        <w:autoSpaceDN w:val="0"/>
        <w:adjustRightInd w:val="0"/>
        <w:snapToGrid w:val="0"/>
        <w:spacing w:line="360" w:lineRule="auto"/>
        <w:ind w:firstLine="480" w:firstLineChars="200"/>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微区无损元素成像与原位定量分析是地质学、矿物学、古生物学及行星科学等前沿领域研究与教学的关键技术。地质样品（如薄片、矿物颗粒、陨石、化石及岩心）通常具有极高的空间异质性，传统整体化学分析会丢失重要的空间位置信息。微区XRF通过微米级聚焦与高灵敏度能量色散探测器的结合，能够在无需复杂前处理（甚至完全无损）的条件下，实现大面积样品表面微区元素的快速定性、半定量分析及高分辨率元素分布成像，为揭示矿物结晶过程、元素迁移规律和古环境演化提供了直观且精准的微区空间视角。</w:t>
      </w:r>
    </w:p>
    <w:p w14:paraId="20A4CD67">
      <w:pPr>
        <w:autoSpaceDE w:val="0"/>
        <w:autoSpaceDN w:val="0"/>
        <w:adjustRightInd w:val="0"/>
        <w:snapToGrid w:val="0"/>
        <w:spacing w:line="360" w:lineRule="auto"/>
        <w:ind w:firstLine="480" w:firstLineChars="200"/>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本设备主要用于地球与行星科学领域的原位无损微区元素分析与成分面扫描，重点服务于《结晶学与矿物学》、《岩石学》、《</w:t>
      </w:r>
      <w:r>
        <w:rPr>
          <w:rFonts w:hint="eastAsia" w:ascii="Times New Roman" w:hAnsi="Times New Roman" w:eastAsia="仿宋_GB2312" w:cs="Times New Roman"/>
          <w:snapToGrid w:val="0"/>
          <w:kern w:val="0"/>
          <w:sz w:val="24"/>
          <w:szCs w:val="24"/>
        </w:rPr>
        <w:t>分析地球化学</w:t>
      </w:r>
      <w:r>
        <w:rPr>
          <w:rFonts w:ascii="Times New Roman" w:hAnsi="Times New Roman" w:eastAsia="仿宋_GB2312" w:cs="Times New Roman"/>
          <w:snapToGrid w:val="0"/>
          <w:kern w:val="0"/>
          <w:sz w:val="24"/>
          <w:szCs w:val="24"/>
        </w:rPr>
        <w:t>》</w:t>
      </w:r>
      <w:r>
        <w:rPr>
          <w:rFonts w:hint="eastAsia" w:ascii="Times New Roman" w:hAnsi="Times New Roman" w:eastAsia="仿宋_GB2312" w:cs="Times New Roman"/>
          <w:snapToGrid w:val="0"/>
          <w:kern w:val="0"/>
          <w:sz w:val="24"/>
          <w:szCs w:val="24"/>
        </w:rPr>
        <w:t>、《地学现代测试技术》</w:t>
      </w:r>
      <w:r>
        <w:rPr>
          <w:rFonts w:ascii="Times New Roman" w:hAnsi="Times New Roman" w:eastAsia="仿宋_GB2312" w:cs="Times New Roman"/>
          <w:snapToGrid w:val="0"/>
          <w:kern w:val="0"/>
          <w:sz w:val="24"/>
          <w:szCs w:val="24"/>
        </w:rPr>
        <w:t>等本科课程实验与综合实践教学，满足本科生毕业设计、创新创业训练及研究生论文研究中的样品无损预筛选与微区结构分析需求。同时，为成矿机制、岩石圈演化、陨石/月球样品结构解译及古环境记录等前沿研究提供关键的微区元素分布数据。</w:t>
      </w:r>
    </w:p>
    <w:p w14:paraId="6D68A2DC">
      <w:pPr>
        <w:autoSpaceDE w:val="0"/>
        <w:autoSpaceDN w:val="0"/>
        <w:adjustRightInd w:val="0"/>
        <w:snapToGrid w:val="0"/>
        <w:spacing w:line="360" w:lineRule="auto"/>
        <w:ind w:firstLine="480" w:firstLineChars="200"/>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该设备主要能够实现以下功能：</w:t>
      </w:r>
    </w:p>
    <w:p w14:paraId="623CC5D6">
      <w:pPr>
        <w:numPr>
          <w:ilvl w:val="0"/>
          <w:numId w:val="9"/>
        </w:numPr>
        <w:autoSpaceDE w:val="0"/>
        <w:autoSpaceDN w:val="0"/>
        <w:adjustRightInd w:val="0"/>
        <w:snapToGrid w:val="0"/>
        <w:spacing w:line="360" w:lineRule="auto"/>
        <w:ind w:left="0" w:firstLine="482" w:firstLineChars="200"/>
        <w:rPr>
          <w:rFonts w:ascii="Times New Roman" w:hAnsi="Times New Roman" w:eastAsia="仿宋_GB2312" w:cs="Times New Roman"/>
          <w:snapToGrid w:val="0"/>
          <w:kern w:val="0"/>
          <w:sz w:val="24"/>
          <w:szCs w:val="24"/>
        </w:rPr>
      </w:pPr>
      <w:r>
        <w:rPr>
          <w:rFonts w:ascii="Times New Roman" w:hAnsi="Times New Roman" w:eastAsia="仿宋_GB2312" w:cs="Times New Roman"/>
          <w:b/>
          <w:bCs/>
          <w:snapToGrid w:val="0"/>
          <w:kern w:val="0"/>
          <w:sz w:val="24"/>
          <w:szCs w:val="24"/>
        </w:rPr>
        <w:t>原位无损微区元素分析与快速定性/定量：</w:t>
      </w:r>
      <w:r>
        <w:rPr>
          <w:rFonts w:ascii="Times New Roman" w:hAnsi="Times New Roman" w:eastAsia="仿宋_GB2312" w:cs="Times New Roman"/>
          <w:snapToGrid w:val="0"/>
          <w:kern w:val="0"/>
          <w:sz w:val="24"/>
          <w:szCs w:val="24"/>
        </w:rPr>
        <w:t> 实现岩石薄片、矿物单晶、古生物化石、陨石切片及环境沉积物等样品的原位无损微区点、线分析及主微量元素（如 Na 至 U）的快速定量/半定量分析。</w:t>
      </w:r>
    </w:p>
    <w:p w14:paraId="507E7C95">
      <w:pPr>
        <w:numPr>
          <w:ilvl w:val="0"/>
          <w:numId w:val="9"/>
        </w:numPr>
        <w:autoSpaceDE w:val="0"/>
        <w:autoSpaceDN w:val="0"/>
        <w:adjustRightInd w:val="0"/>
        <w:snapToGrid w:val="0"/>
        <w:spacing w:line="360" w:lineRule="auto"/>
        <w:ind w:left="0" w:firstLine="482" w:firstLineChars="200"/>
        <w:rPr>
          <w:rFonts w:ascii="Times New Roman" w:hAnsi="Times New Roman" w:eastAsia="仿宋_GB2312" w:cs="Times New Roman"/>
          <w:snapToGrid w:val="0"/>
          <w:kern w:val="0"/>
          <w:sz w:val="24"/>
          <w:szCs w:val="24"/>
        </w:rPr>
      </w:pPr>
      <w:r>
        <w:rPr>
          <w:rFonts w:ascii="Times New Roman" w:hAnsi="Times New Roman" w:eastAsia="仿宋_GB2312" w:cs="Times New Roman"/>
          <w:b/>
          <w:bCs/>
          <w:snapToGrid w:val="0"/>
          <w:kern w:val="0"/>
          <w:sz w:val="24"/>
          <w:szCs w:val="24"/>
        </w:rPr>
        <w:t>大面积微区元素分布成像：</w:t>
      </w:r>
      <w:r>
        <w:rPr>
          <w:rFonts w:ascii="Times New Roman" w:hAnsi="Times New Roman" w:eastAsia="仿宋_GB2312" w:cs="Times New Roman"/>
          <w:snapToGrid w:val="0"/>
          <w:kern w:val="0"/>
          <w:sz w:val="24"/>
          <w:szCs w:val="24"/>
        </w:rPr>
        <w:t> 具备高精度的样品台移动与连续扫描能力，能够对数厘米至数十厘米范围的大尺寸样品进行高空间分辨率的元素分布面扫描，直观呈现矿物环带、交代结构、脉纹充填及元素迁移轨迹。</w:t>
      </w:r>
    </w:p>
    <w:p w14:paraId="1F7E31CE">
      <w:pPr>
        <w:numPr>
          <w:ilvl w:val="0"/>
          <w:numId w:val="9"/>
        </w:numPr>
        <w:autoSpaceDE w:val="0"/>
        <w:autoSpaceDN w:val="0"/>
        <w:adjustRightInd w:val="0"/>
        <w:snapToGrid w:val="0"/>
        <w:spacing w:line="360" w:lineRule="auto"/>
        <w:ind w:left="0" w:firstLine="482" w:firstLineChars="200"/>
        <w:rPr>
          <w:rFonts w:ascii="Times New Roman" w:hAnsi="Times New Roman" w:eastAsia="仿宋_GB2312" w:cs="Times New Roman"/>
          <w:snapToGrid w:val="0"/>
          <w:kern w:val="0"/>
          <w:sz w:val="24"/>
          <w:szCs w:val="24"/>
        </w:rPr>
      </w:pPr>
      <w:r>
        <w:rPr>
          <w:rFonts w:ascii="Times New Roman" w:hAnsi="Times New Roman" w:eastAsia="仿宋_GB2312" w:cs="Times New Roman"/>
          <w:b/>
          <w:bCs/>
          <w:snapToGrid w:val="0"/>
          <w:kern w:val="0"/>
          <w:sz w:val="24"/>
          <w:szCs w:val="24"/>
        </w:rPr>
        <w:t>复杂形态与不规则样品的直接测试：</w:t>
      </w:r>
      <w:r>
        <w:rPr>
          <w:rFonts w:ascii="Times New Roman" w:hAnsi="Times New Roman" w:eastAsia="仿宋_GB2312" w:cs="Times New Roman"/>
          <w:snapToGrid w:val="0"/>
          <w:kern w:val="0"/>
          <w:sz w:val="24"/>
          <w:szCs w:val="24"/>
        </w:rPr>
        <w:t> 具备良好的大样品室空间与深焦距/多探测器设计，可直接对未经抛光的粗糙岩石手标本、岩心切块及珍贵地质/行星样品进行无需破坏的直接测试。</w:t>
      </w:r>
    </w:p>
    <w:p w14:paraId="64C91282">
      <w:pPr>
        <w:widowControl/>
        <w:numPr>
          <w:ilvl w:val="0"/>
          <w:numId w:val="10"/>
        </w:numPr>
        <w:shd w:val="clear" w:color="auto" w:fill="FFFFFF"/>
        <w:spacing w:line="360" w:lineRule="auto"/>
        <w:ind w:firstLine="482" w:firstLineChars="200"/>
        <w:jc w:val="left"/>
        <w:rPr>
          <w:rFonts w:hint="eastAsia" w:ascii="仿宋_GB2312" w:hAnsi="宋体" w:eastAsia="仿宋_GB2312"/>
          <w:b/>
          <w:bCs/>
          <w:sz w:val="24"/>
          <w:szCs w:val="24"/>
        </w:rPr>
      </w:pPr>
      <w:r>
        <w:rPr>
          <w:rFonts w:hint="eastAsia" w:ascii="仿宋_GB2312" w:hAnsi="宋体" w:eastAsia="仿宋_GB2312"/>
          <w:b/>
          <w:bCs/>
          <w:sz w:val="24"/>
          <w:szCs w:val="24"/>
        </w:rPr>
        <w:t>应遵循的相关国家标准、行业标准、地方标准等标准、规范：</w:t>
      </w:r>
    </w:p>
    <w:p w14:paraId="10D7F758">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主要参考国家标准：JJF 2024-2023《能量色散X射线荧光光谱仪校准规范》</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JJG 810-1993《波长色散X射线荧光光谱仪检定规程》</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GB/T 30735-2014《微区X射线荧光光谱分析方法通则》</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JB/T 11145-2011《X射线荧光光谱仪通用技术条件》</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GB/T 14506.28-2010《硅酸盐岩石化学分析方法 第28部分：16个主次成分的测定 X射线荧光光谱法》</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HJ 832-2017《土壤和沉积物 12种元素的测定 能量色散X射线荧光光谱法》等。</w:t>
      </w:r>
    </w:p>
    <w:p w14:paraId="4838B6F2">
      <w:pPr>
        <w:widowControl/>
        <w:numPr>
          <w:ilvl w:val="0"/>
          <w:numId w:val="10"/>
        </w:numPr>
        <w:shd w:val="clear" w:color="auto" w:fill="FFFFFF"/>
        <w:spacing w:line="360" w:lineRule="auto"/>
        <w:ind w:firstLine="482" w:firstLineChars="200"/>
        <w:rPr>
          <w:rFonts w:hint="eastAsia" w:ascii="仿宋_GB2312" w:hAnsi="宋体" w:eastAsia="仿宋_GB2312"/>
          <w:b/>
          <w:bCs/>
          <w:sz w:val="24"/>
          <w:szCs w:val="24"/>
        </w:rPr>
      </w:pPr>
      <w:r>
        <w:rPr>
          <w:rFonts w:hint="eastAsia" w:ascii="仿宋_GB2312" w:hAnsi="宋体" w:eastAsia="仿宋_GB2312"/>
          <w:b/>
          <w:bCs/>
          <w:sz w:val="24"/>
          <w:szCs w:val="24"/>
        </w:rPr>
        <w:t>后续运营维护、升级更新、备品备件等要求：</w:t>
      </w:r>
    </w:p>
    <w:p w14:paraId="42CF42CC">
      <w:pPr>
        <w:spacing w:line="360" w:lineRule="auto"/>
        <w:ind w:firstLine="480" w:firstLineChars="200"/>
        <w:outlineLvl w:val="0"/>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运维服务：供应商需提供≥2年整机质保（含</w:t>
      </w:r>
      <w:r>
        <w:rPr>
          <w:rFonts w:ascii="Times New Roman" w:hAnsi="Times New Roman" w:eastAsia="仿宋_GB2312" w:cs="Times New Roman"/>
          <w:sz w:val="24"/>
          <w:szCs w:val="24"/>
        </w:rPr>
        <w:t>光学定位系统</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X 射线管</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高频高压电源</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聚焦透镜</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探测器</w:t>
      </w:r>
      <w:r>
        <w:rPr>
          <w:rFonts w:hint="eastAsia" w:ascii="Times New Roman" w:hAnsi="Times New Roman" w:eastAsia="仿宋_GB2312" w:cs="Times New Roman"/>
          <w:sz w:val="24"/>
          <w:szCs w:val="24"/>
        </w:rPr>
        <w:t>等核心部件），质保期内每半年开展1次现场巡检，</w:t>
      </w:r>
      <w:r>
        <w:rPr>
          <w:rFonts w:ascii="Times New Roman" w:hAnsi="Times New Roman" w:eastAsia="仿宋_GB2312" w:cs="Times New Roman"/>
          <w:sz w:val="24"/>
          <w:szCs w:val="24"/>
        </w:rPr>
        <w:t>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w:t>
      </w:r>
      <w:r>
        <w:rPr>
          <w:rFonts w:hint="eastAsia" w:ascii="Times New Roman" w:hAnsi="Times New Roman" w:eastAsia="仿宋_GB2312" w:cs="Times New Roman"/>
          <w:sz w:val="24"/>
          <w:szCs w:val="24"/>
        </w:rPr>
        <w:t>。</w:t>
      </w:r>
      <w:r>
        <w:rPr>
          <w:rFonts w:ascii="Times New Roman" w:hAnsi="Times New Roman" w:eastAsia="仿宋_GB2312" w:cs="Times New Roman"/>
          <w:iCs/>
          <w:sz w:val="24"/>
          <w:szCs w:val="24"/>
        </w:rPr>
        <w:t>提供2天以上现场培训，交通等与培训相关的费用均由成交供应商承担。</w:t>
      </w:r>
    </w:p>
    <w:p w14:paraId="244260A1">
      <w:pPr>
        <w:spacing w:line="360" w:lineRule="auto"/>
        <w:ind w:firstLine="480" w:firstLineChars="200"/>
        <w:outlineLvl w:val="0"/>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升级更新：设备软件终身免费升级，硬件支持后续功能扩展，供应商需在新技术推出后30日内告知用户升级方案。</w:t>
      </w:r>
    </w:p>
    <w:p w14:paraId="2181D622">
      <w:pPr>
        <w:spacing w:line="360" w:lineRule="auto"/>
        <w:ind w:firstLine="480" w:firstLineChars="200"/>
        <w:outlineLvl w:val="0"/>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备品备件：质保期外提供全生命周期备件供应保障（承诺供应周期≥10年），常用备件需在用户提出需求后7个工作日内到货；提供备件价格清单，确保价格不高于市场同期水平。</w:t>
      </w:r>
    </w:p>
    <w:p w14:paraId="0D00A16F">
      <w:pPr>
        <w:spacing w:line="360" w:lineRule="auto"/>
        <w:ind w:firstLine="480" w:firstLineChars="200"/>
        <w:outlineLvl w:val="0"/>
        <w:rPr>
          <w:rFonts w:hint="eastAsia" w:ascii="仿宋_GB2312" w:hAnsi="宋体" w:eastAsia="仿宋_GB2312"/>
          <w:sz w:val="24"/>
          <w:szCs w:val="24"/>
        </w:rPr>
      </w:pPr>
      <w:r>
        <w:rPr>
          <w:rFonts w:hint="eastAsia" w:ascii="Times New Roman" w:hAnsi="Times New Roman" w:eastAsia="仿宋_GB2312" w:cs="Times New Roman"/>
          <w:sz w:val="24"/>
          <w:szCs w:val="24"/>
        </w:rPr>
        <w:t xml:space="preserve">  </w:t>
      </w:r>
      <w:r>
        <w:rPr>
          <w:rFonts w:hint="eastAsia" w:ascii="仿宋_GB2312" w:hAnsi="宋体" w:eastAsia="仿宋_GB2312"/>
          <w:b/>
          <w:bCs/>
          <w:sz w:val="24"/>
          <w:szCs w:val="24"/>
        </w:rPr>
        <w:t>4.各项指标要求：</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3998"/>
        <w:gridCol w:w="992"/>
      </w:tblGrid>
      <w:tr w14:paraId="5E892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C3DD2F3">
            <w:pPr>
              <w:jc w:val="center"/>
              <w:rPr>
                <w:rFonts w:ascii="Times New Roman" w:hAnsi="Times New Roman" w:eastAsia="仿宋_GB2312" w:cs="Times New Roman"/>
                <w:b/>
                <w:szCs w:val="21"/>
              </w:rPr>
            </w:pPr>
            <w:r>
              <w:rPr>
                <w:rFonts w:ascii="Times New Roman" w:hAnsi="Times New Roman" w:eastAsia="仿宋_GB2312" w:cs="Times New Roman"/>
                <w:b/>
                <w:szCs w:val="21"/>
              </w:rPr>
              <w:t>序号</w:t>
            </w:r>
          </w:p>
        </w:tc>
        <w:tc>
          <w:tcPr>
            <w:tcW w:w="1134" w:type="dxa"/>
            <w:vAlign w:val="center"/>
          </w:tcPr>
          <w:p w14:paraId="1AD293E3">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指标项</w:t>
            </w:r>
          </w:p>
        </w:tc>
        <w:tc>
          <w:tcPr>
            <w:tcW w:w="1388" w:type="dxa"/>
            <w:vAlign w:val="center"/>
          </w:tcPr>
          <w:p w14:paraId="1B803C9D">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重要性</w:t>
            </w:r>
          </w:p>
        </w:tc>
        <w:tc>
          <w:tcPr>
            <w:tcW w:w="3998" w:type="dxa"/>
            <w:vAlign w:val="center"/>
          </w:tcPr>
          <w:p w14:paraId="21A22203">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指标要求</w:t>
            </w:r>
          </w:p>
        </w:tc>
        <w:tc>
          <w:tcPr>
            <w:tcW w:w="992" w:type="dxa"/>
            <w:vAlign w:val="center"/>
          </w:tcPr>
          <w:p w14:paraId="63FF91CC">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证明材料要求</w:t>
            </w:r>
          </w:p>
        </w:tc>
      </w:tr>
      <w:tr w14:paraId="5827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FCDAE93">
            <w:pPr>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1134" w:type="dxa"/>
            <w:vAlign w:val="center"/>
          </w:tcPr>
          <w:p w14:paraId="20AF1512">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分析元素范围</w:t>
            </w:r>
          </w:p>
        </w:tc>
        <w:tc>
          <w:tcPr>
            <w:tcW w:w="1388" w:type="dxa"/>
            <w:vAlign w:val="center"/>
          </w:tcPr>
          <w:p w14:paraId="77C81AF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3998" w:type="dxa"/>
            <w:vAlign w:val="center"/>
          </w:tcPr>
          <w:p w14:paraId="52BE93B9">
            <w:pPr>
              <w:rPr>
                <w:rFonts w:ascii="Times New Roman" w:hAnsi="Times New Roman" w:eastAsia="仿宋_GB2312" w:cs="Times New Roman"/>
                <w:szCs w:val="21"/>
              </w:rPr>
            </w:pPr>
            <w:r>
              <w:rPr>
                <w:rFonts w:ascii="Times New Roman" w:hAnsi="Times New Roman" w:eastAsia="仿宋_GB2312" w:cs="Times New Roman"/>
                <w:szCs w:val="21"/>
              </w:rPr>
              <w:t>覆盖从钠到铀的元素定性和定量分析。</w:t>
            </w:r>
          </w:p>
        </w:tc>
        <w:tc>
          <w:tcPr>
            <w:tcW w:w="992" w:type="dxa"/>
            <w:vAlign w:val="center"/>
          </w:tcPr>
          <w:p w14:paraId="743609E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201F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34FB623">
            <w:pPr>
              <w:jc w:val="center"/>
              <w:rPr>
                <w:rFonts w:ascii="Times New Roman" w:hAnsi="Times New Roman" w:eastAsia="仿宋_GB2312" w:cs="Times New Roman"/>
                <w:szCs w:val="21"/>
              </w:rPr>
            </w:pPr>
            <w:r>
              <w:rPr>
                <w:rFonts w:ascii="Times New Roman" w:hAnsi="Times New Roman" w:eastAsia="仿宋_GB2312" w:cs="Times New Roman"/>
                <w:szCs w:val="21"/>
              </w:rPr>
              <w:t>2</w:t>
            </w:r>
          </w:p>
        </w:tc>
        <w:tc>
          <w:tcPr>
            <w:tcW w:w="1134" w:type="dxa"/>
            <w:vAlign w:val="center"/>
          </w:tcPr>
          <w:p w14:paraId="440B23D2">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检出限</w:t>
            </w:r>
          </w:p>
        </w:tc>
        <w:tc>
          <w:tcPr>
            <w:tcW w:w="1388" w:type="dxa"/>
            <w:vAlign w:val="center"/>
          </w:tcPr>
          <w:p w14:paraId="7A6A1796">
            <w:pPr>
              <w:widowControl/>
              <w:jc w:val="center"/>
              <w:rPr>
                <w:rFonts w:ascii="Times New Roman" w:hAnsi="Times New Roman" w:eastAsia="仿宋_GB2312" w:cs="Times New Roman"/>
                <w:szCs w:val="21"/>
              </w:rPr>
            </w:pPr>
          </w:p>
        </w:tc>
        <w:tc>
          <w:tcPr>
            <w:tcW w:w="3998" w:type="dxa"/>
            <w:vAlign w:val="center"/>
          </w:tcPr>
          <w:p w14:paraId="5317CFB3">
            <w:pPr>
              <w:rPr>
                <w:rFonts w:ascii="Times New Roman" w:hAnsi="Times New Roman" w:eastAsia="仿宋_GB2312" w:cs="Times New Roman"/>
                <w:szCs w:val="21"/>
              </w:rPr>
            </w:pPr>
            <w:r>
              <w:rPr>
                <w:rFonts w:ascii="Times New Roman" w:hAnsi="Times New Roman" w:eastAsia="仿宋_GB2312" w:cs="Times New Roman"/>
                <w:szCs w:val="21"/>
              </w:rPr>
              <w:t>S</w:t>
            </w:r>
            <w:r>
              <w:rPr>
                <w:rFonts w:hint="eastAsia" w:ascii="Times New Roman" w:hAnsi="Times New Roman" w:eastAsia="仿宋_GB2312" w:cs="Times New Roman"/>
                <w:szCs w:val="21"/>
              </w:rPr>
              <w:t>i≤0.01%</w:t>
            </w:r>
          </w:p>
        </w:tc>
        <w:tc>
          <w:tcPr>
            <w:tcW w:w="992" w:type="dxa"/>
            <w:vAlign w:val="center"/>
          </w:tcPr>
          <w:p w14:paraId="5387E9C2">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364F1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B146D45">
            <w:pPr>
              <w:jc w:val="center"/>
              <w:rPr>
                <w:rFonts w:ascii="Times New Roman" w:hAnsi="Times New Roman" w:eastAsia="仿宋_GB2312" w:cs="Times New Roman"/>
                <w:szCs w:val="21"/>
              </w:rPr>
            </w:pPr>
            <w:r>
              <w:rPr>
                <w:rFonts w:ascii="Times New Roman" w:hAnsi="Times New Roman" w:eastAsia="仿宋_GB2312" w:cs="Times New Roman"/>
                <w:szCs w:val="21"/>
              </w:rPr>
              <w:t>3</w:t>
            </w:r>
          </w:p>
        </w:tc>
        <w:tc>
          <w:tcPr>
            <w:tcW w:w="1134" w:type="dxa"/>
            <w:vAlign w:val="center"/>
          </w:tcPr>
          <w:p w14:paraId="29B0A890">
            <w:pPr>
              <w:widowControl/>
              <w:jc w:val="center"/>
              <w:rPr>
                <w:rFonts w:ascii="Times New Roman" w:hAnsi="Times New Roman" w:eastAsia="仿宋_GB2312" w:cs="Times New Roman"/>
                <w:szCs w:val="21"/>
              </w:rPr>
            </w:pPr>
            <w:r>
              <w:rPr>
                <w:rFonts w:ascii="Times New Roman" w:hAnsi="Times New Roman" w:eastAsia="仿宋_GB2312" w:cs="Times New Roman"/>
                <w:szCs w:val="21"/>
              </w:rPr>
              <w:t>焦斑</w:t>
            </w:r>
          </w:p>
        </w:tc>
        <w:tc>
          <w:tcPr>
            <w:tcW w:w="1388" w:type="dxa"/>
            <w:vAlign w:val="center"/>
          </w:tcPr>
          <w:p w14:paraId="793F7480">
            <w:pPr>
              <w:widowControl/>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3998" w:type="dxa"/>
            <w:vAlign w:val="center"/>
          </w:tcPr>
          <w:p w14:paraId="12654AB0">
            <w:pPr>
              <w:rPr>
                <w:rFonts w:ascii="Times New Roman" w:hAnsi="Times New Roman" w:eastAsia="仿宋_GB2312" w:cs="Times New Roman"/>
                <w:szCs w:val="21"/>
              </w:rPr>
            </w:pPr>
            <w:r>
              <w:rPr>
                <w:rFonts w:ascii="Times New Roman" w:hAnsi="Times New Roman" w:eastAsia="仿宋_GB2312" w:cs="Times New Roman"/>
                <w:szCs w:val="21"/>
              </w:rPr>
              <w:t>焦斑尺寸≤</w:t>
            </w:r>
            <w:r>
              <w:rPr>
                <w:rFonts w:hint="eastAsia" w:ascii="Times New Roman" w:hAnsi="Times New Roman" w:eastAsia="仿宋_GB2312" w:cs="Times New Roman"/>
                <w:szCs w:val="21"/>
              </w:rPr>
              <w:t>50</w:t>
            </w:r>
            <w:r>
              <w:rPr>
                <w:rFonts w:ascii="Times New Roman" w:hAnsi="Times New Roman" w:eastAsia="仿宋_GB2312" w:cs="Times New Roman"/>
                <w:szCs w:val="21"/>
              </w:rPr>
              <w:t>μm</w:t>
            </w:r>
          </w:p>
        </w:tc>
        <w:tc>
          <w:tcPr>
            <w:tcW w:w="992" w:type="dxa"/>
            <w:vAlign w:val="center"/>
          </w:tcPr>
          <w:p w14:paraId="52EF02E6">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5B515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43AF36C">
            <w:pPr>
              <w:jc w:val="center"/>
              <w:rPr>
                <w:rFonts w:ascii="Times New Roman" w:hAnsi="Times New Roman" w:eastAsia="仿宋_GB2312" w:cs="Times New Roman"/>
                <w:szCs w:val="21"/>
              </w:rPr>
            </w:pPr>
            <w:r>
              <w:rPr>
                <w:rFonts w:ascii="Times New Roman" w:hAnsi="Times New Roman" w:eastAsia="仿宋_GB2312" w:cs="Times New Roman"/>
                <w:szCs w:val="21"/>
              </w:rPr>
              <w:t>4</w:t>
            </w:r>
          </w:p>
        </w:tc>
        <w:tc>
          <w:tcPr>
            <w:tcW w:w="1134" w:type="dxa"/>
            <w:vAlign w:val="center"/>
          </w:tcPr>
          <w:p w14:paraId="34993B2B">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探测器</w:t>
            </w:r>
          </w:p>
        </w:tc>
        <w:tc>
          <w:tcPr>
            <w:tcW w:w="1388" w:type="dxa"/>
            <w:vAlign w:val="center"/>
          </w:tcPr>
          <w:p w14:paraId="757FBEA7">
            <w:pPr>
              <w:widowControl/>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3998" w:type="dxa"/>
            <w:vAlign w:val="center"/>
          </w:tcPr>
          <w:p w14:paraId="40C20B4C">
            <w:pPr>
              <w:rPr>
                <w:rFonts w:ascii="Times New Roman" w:hAnsi="Times New Roman" w:eastAsia="仿宋_GB2312" w:cs="Times New Roman"/>
                <w:szCs w:val="21"/>
              </w:rPr>
            </w:pPr>
            <w:r>
              <w:rPr>
                <w:rFonts w:ascii="Times New Roman" w:hAnsi="Times New Roman" w:eastAsia="仿宋_GB2312" w:cs="Times New Roman"/>
                <w:szCs w:val="21"/>
              </w:rPr>
              <w:t>配备高分辨率硅漂移探测器（SDD），能量分辨率（FWHM）≤130 eV；有效区域面积≥25 mm²，最大计数率≥100kcps。</w:t>
            </w:r>
          </w:p>
        </w:tc>
        <w:tc>
          <w:tcPr>
            <w:tcW w:w="992" w:type="dxa"/>
            <w:vAlign w:val="center"/>
          </w:tcPr>
          <w:p w14:paraId="6F383B8C">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7F8C2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0C26AAE">
            <w:pPr>
              <w:jc w:val="center"/>
              <w:rPr>
                <w:rFonts w:ascii="Times New Roman" w:hAnsi="Times New Roman" w:eastAsia="仿宋_GB2312" w:cs="Times New Roman"/>
                <w:szCs w:val="21"/>
              </w:rPr>
            </w:pPr>
            <w:r>
              <w:rPr>
                <w:rFonts w:ascii="Times New Roman" w:hAnsi="Times New Roman" w:eastAsia="仿宋_GB2312" w:cs="Times New Roman"/>
                <w:szCs w:val="21"/>
              </w:rPr>
              <w:t>5</w:t>
            </w:r>
          </w:p>
        </w:tc>
        <w:tc>
          <w:tcPr>
            <w:tcW w:w="1134" w:type="dxa"/>
            <w:vAlign w:val="center"/>
          </w:tcPr>
          <w:p w14:paraId="6D8391D0">
            <w:pPr>
              <w:widowControl/>
              <w:jc w:val="center"/>
              <w:rPr>
                <w:rFonts w:ascii="Times New Roman" w:hAnsi="Times New Roman" w:eastAsia="仿宋_GB2312" w:cs="Times New Roman"/>
                <w:szCs w:val="21"/>
              </w:rPr>
            </w:pPr>
            <w:r>
              <w:rPr>
                <w:rFonts w:ascii="Times New Roman" w:hAnsi="Times New Roman" w:eastAsia="仿宋_GB2312" w:cs="Times New Roman"/>
                <w:szCs w:val="21"/>
              </w:rPr>
              <w:t>窗口</w:t>
            </w:r>
          </w:p>
        </w:tc>
        <w:tc>
          <w:tcPr>
            <w:tcW w:w="1388" w:type="dxa"/>
            <w:vAlign w:val="center"/>
          </w:tcPr>
          <w:p w14:paraId="6B7DDB76">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3998" w:type="dxa"/>
            <w:vAlign w:val="center"/>
          </w:tcPr>
          <w:p w14:paraId="5659244B">
            <w:pPr>
              <w:rPr>
                <w:rFonts w:ascii="Times New Roman" w:hAnsi="Times New Roman" w:eastAsia="仿宋_GB2312" w:cs="Times New Roman"/>
                <w:szCs w:val="21"/>
              </w:rPr>
            </w:pPr>
            <w:r>
              <w:rPr>
                <w:rFonts w:ascii="Times New Roman" w:hAnsi="Times New Roman" w:eastAsia="仿宋_GB2312" w:cs="Times New Roman"/>
                <w:szCs w:val="21"/>
              </w:rPr>
              <w:t>探测器配备超薄窗口（石墨烯窗口、超薄聚合物窗口或等效技术）</w:t>
            </w:r>
          </w:p>
        </w:tc>
        <w:tc>
          <w:tcPr>
            <w:tcW w:w="992" w:type="dxa"/>
            <w:vAlign w:val="center"/>
          </w:tcPr>
          <w:p w14:paraId="34D236C6">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067E4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B1CF3A1">
            <w:pPr>
              <w:jc w:val="center"/>
              <w:rPr>
                <w:rFonts w:ascii="Times New Roman" w:hAnsi="Times New Roman" w:eastAsia="仿宋_GB2312" w:cs="Times New Roman"/>
                <w:szCs w:val="21"/>
              </w:rPr>
            </w:pPr>
            <w:r>
              <w:rPr>
                <w:rFonts w:ascii="Times New Roman" w:hAnsi="Times New Roman" w:eastAsia="仿宋_GB2312" w:cs="Times New Roman"/>
                <w:szCs w:val="21"/>
              </w:rPr>
              <w:t>6</w:t>
            </w:r>
          </w:p>
        </w:tc>
        <w:tc>
          <w:tcPr>
            <w:tcW w:w="1134" w:type="dxa"/>
            <w:vAlign w:val="center"/>
          </w:tcPr>
          <w:p w14:paraId="00BB3F29">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激发源</w:t>
            </w:r>
          </w:p>
        </w:tc>
        <w:tc>
          <w:tcPr>
            <w:tcW w:w="1388" w:type="dxa"/>
            <w:vAlign w:val="center"/>
          </w:tcPr>
          <w:p w14:paraId="2A72A8F1">
            <w:pPr>
              <w:widowControl/>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3998" w:type="dxa"/>
            <w:vAlign w:val="center"/>
          </w:tcPr>
          <w:p w14:paraId="0BC7DD01">
            <w:pPr>
              <w:rPr>
                <w:rFonts w:ascii="Times New Roman" w:hAnsi="Times New Roman" w:eastAsia="仿宋_GB2312" w:cs="Times New Roman"/>
                <w:szCs w:val="21"/>
              </w:rPr>
            </w:pPr>
            <w:r>
              <w:rPr>
                <w:rFonts w:ascii="Times New Roman" w:hAnsi="Times New Roman" w:eastAsia="仿宋_GB2312" w:cs="Times New Roman"/>
                <w:szCs w:val="21"/>
              </w:rPr>
              <w:t>X射线管靶材为铑（Rh）靶，激发电压≥50kV，功率≥50W</w:t>
            </w:r>
          </w:p>
        </w:tc>
        <w:tc>
          <w:tcPr>
            <w:tcW w:w="992" w:type="dxa"/>
            <w:vAlign w:val="center"/>
          </w:tcPr>
          <w:p w14:paraId="0D7617D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4DC2C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56C09B4">
            <w:pPr>
              <w:jc w:val="center"/>
              <w:rPr>
                <w:rFonts w:ascii="Times New Roman" w:hAnsi="Times New Roman" w:eastAsia="仿宋_GB2312" w:cs="Times New Roman"/>
                <w:szCs w:val="21"/>
              </w:rPr>
            </w:pPr>
            <w:r>
              <w:rPr>
                <w:rFonts w:ascii="Times New Roman" w:hAnsi="Times New Roman" w:eastAsia="仿宋_GB2312" w:cs="Times New Roman"/>
                <w:szCs w:val="21"/>
              </w:rPr>
              <w:t>7</w:t>
            </w:r>
          </w:p>
        </w:tc>
        <w:tc>
          <w:tcPr>
            <w:tcW w:w="1134" w:type="dxa"/>
            <w:vAlign w:val="center"/>
          </w:tcPr>
          <w:p w14:paraId="0CBCFC19">
            <w:pPr>
              <w:widowControl/>
              <w:jc w:val="center"/>
              <w:rPr>
                <w:rFonts w:ascii="Times New Roman" w:hAnsi="Times New Roman" w:eastAsia="仿宋_GB2312" w:cs="Times New Roman"/>
                <w:szCs w:val="21"/>
              </w:rPr>
            </w:pPr>
            <w:r>
              <w:rPr>
                <w:rFonts w:ascii="Times New Roman" w:hAnsi="Times New Roman" w:eastAsia="仿宋_GB2312" w:cs="Times New Roman"/>
                <w:szCs w:val="21"/>
              </w:rPr>
              <w:t>高频高压电源</w:t>
            </w:r>
          </w:p>
        </w:tc>
        <w:tc>
          <w:tcPr>
            <w:tcW w:w="1388" w:type="dxa"/>
            <w:vAlign w:val="center"/>
          </w:tcPr>
          <w:p w14:paraId="492001A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3998" w:type="dxa"/>
            <w:vAlign w:val="center"/>
          </w:tcPr>
          <w:p w14:paraId="6BEB6051">
            <w:pPr>
              <w:rPr>
                <w:rFonts w:ascii="Times New Roman" w:hAnsi="Times New Roman" w:eastAsia="仿宋_GB2312" w:cs="Times New Roman"/>
                <w:szCs w:val="21"/>
              </w:rPr>
            </w:pPr>
            <w:r>
              <w:rPr>
                <w:rFonts w:ascii="Times New Roman" w:hAnsi="Times New Roman" w:eastAsia="仿宋_GB2312" w:cs="Times New Roman"/>
                <w:szCs w:val="21"/>
              </w:rPr>
              <w:t>最大输出电压：50kV；最大输出管流： 2mA；最大功率：50W；长期稳定度：优于 0.02%/8h</w:t>
            </w:r>
          </w:p>
        </w:tc>
        <w:tc>
          <w:tcPr>
            <w:tcW w:w="992" w:type="dxa"/>
            <w:vAlign w:val="center"/>
          </w:tcPr>
          <w:p w14:paraId="3FDAF3AB">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48A4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406E850">
            <w:pPr>
              <w:jc w:val="center"/>
              <w:rPr>
                <w:rFonts w:ascii="Times New Roman" w:hAnsi="Times New Roman" w:eastAsia="仿宋_GB2312" w:cs="Times New Roman"/>
                <w:szCs w:val="21"/>
              </w:rPr>
            </w:pPr>
            <w:r>
              <w:rPr>
                <w:rFonts w:ascii="Times New Roman" w:hAnsi="Times New Roman" w:eastAsia="仿宋_GB2312" w:cs="Times New Roman"/>
                <w:szCs w:val="21"/>
              </w:rPr>
              <w:t>8</w:t>
            </w:r>
          </w:p>
        </w:tc>
        <w:tc>
          <w:tcPr>
            <w:tcW w:w="1134" w:type="dxa"/>
            <w:vAlign w:val="center"/>
          </w:tcPr>
          <w:p w14:paraId="580B2E56">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滤光片系统</w:t>
            </w:r>
          </w:p>
        </w:tc>
        <w:tc>
          <w:tcPr>
            <w:tcW w:w="1388" w:type="dxa"/>
            <w:vAlign w:val="center"/>
          </w:tcPr>
          <w:p w14:paraId="3FFD7AF3">
            <w:pPr>
              <w:widowControl/>
              <w:jc w:val="center"/>
              <w:rPr>
                <w:rFonts w:ascii="Times New Roman" w:hAnsi="Times New Roman" w:eastAsia="仿宋_GB2312" w:cs="Times New Roman"/>
                <w:szCs w:val="21"/>
              </w:rPr>
            </w:pPr>
          </w:p>
        </w:tc>
        <w:tc>
          <w:tcPr>
            <w:tcW w:w="3998" w:type="dxa"/>
            <w:vAlign w:val="center"/>
          </w:tcPr>
          <w:p w14:paraId="7A6290B8">
            <w:pPr>
              <w:widowControl/>
              <w:jc w:val="left"/>
              <w:rPr>
                <w:rFonts w:ascii="Times New Roman" w:hAnsi="Times New Roman" w:eastAsia="仿宋_GB2312" w:cs="Times New Roman"/>
                <w:szCs w:val="21"/>
              </w:rPr>
            </w:pPr>
            <w:r>
              <w:rPr>
                <w:rFonts w:ascii="Times New Roman" w:hAnsi="Times New Roman" w:eastAsia="仿宋_GB2312" w:cs="Times New Roman"/>
                <w:szCs w:val="21"/>
              </w:rPr>
              <w:t>配备自动多滤光片切换系统，滤片位置≥8位，以适应不同基体样品的测试需求。</w:t>
            </w:r>
          </w:p>
        </w:tc>
        <w:tc>
          <w:tcPr>
            <w:tcW w:w="992" w:type="dxa"/>
            <w:vAlign w:val="center"/>
          </w:tcPr>
          <w:p w14:paraId="3256D7E2">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0677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4AACB53">
            <w:pPr>
              <w:jc w:val="center"/>
              <w:rPr>
                <w:rFonts w:ascii="Times New Roman" w:hAnsi="Times New Roman" w:eastAsia="仿宋_GB2312" w:cs="Times New Roman"/>
                <w:szCs w:val="21"/>
              </w:rPr>
            </w:pPr>
            <w:r>
              <w:rPr>
                <w:rFonts w:ascii="Times New Roman" w:hAnsi="Times New Roman" w:eastAsia="仿宋_GB2312" w:cs="Times New Roman"/>
                <w:szCs w:val="21"/>
              </w:rPr>
              <w:t>9</w:t>
            </w:r>
          </w:p>
        </w:tc>
        <w:tc>
          <w:tcPr>
            <w:tcW w:w="1134" w:type="dxa"/>
            <w:vAlign w:val="center"/>
          </w:tcPr>
          <w:p w14:paraId="5747306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样品台与样品室</w:t>
            </w:r>
          </w:p>
        </w:tc>
        <w:tc>
          <w:tcPr>
            <w:tcW w:w="1388" w:type="dxa"/>
            <w:vAlign w:val="center"/>
          </w:tcPr>
          <w:p w14:paraId="6118C5FE">
            <w:pPr>
              <w:widowControl/>
              <w:jc w:val="center"/>
              <w:rPr>
                <w:rFonts w:ascii="Times New Roman" w:hAnsi="Times New Roman" w:eastAsia="仿宋_GB2312" w:cs="Times New Roman"/>
                <w:szCs w:val="21"/>
              </w:rPr>
            </w:pPr>
          </w:p>
        </w:tc>
        <w:tc>
          <w:tcPr>
            <w:tcW w:w="3998" w:type="dxa"/>
            <w:vAlign w:val="center"/>
          </w:tcPr>
          <w:p w14:paraId="0E7094AB">
            <w:pPr>
              <w:rPr>
                <w:rFonts w:ascii="Times New Roman" w:hAnsi="Times New Roman" w:eastAsia="仿宋_GB2312" w:cs="Times New Roman"/>
                <w:szCs w:val="21"/>
              </w:rPr>
            </w:pPr>
            <w:r>
              <w:rPr>
                <w:rFonts w:ascii="Times New Roman" w:hAnsi="Times New Roman" w:eastAsia="仿宋_GB2312" w:cs="Times New Roman"/>
                <w:szCs w:val="21"/>
              </w:rPr>
              <w:t>配备高精度 X、Y、Z 三轴载物样品台，最大载重 ≥10 kg。样品室能够容纳样品尺寸≥400×400×150 mm。</w:t>
            </w:r>
          </w:p>
        </w:tc>
        <w:tc>
          <w:tcPr>
            <w:tcW w:w="992" w:type="dxa"/>
            <w:vAlign w:val="center"/>
          </w:tcPr>
          <w:p w14:paraId="10040D1C">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2E7BC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81C2050">
            <w:pPr>
              <w:jc w:val="center"/>
              <w:rPr>
                <w:rFonts w:ascii="Times New Roman" w:hAnsi="Times New Roman" w:eastAsia="仿宋_GB2312" w:cs="Times New Roman"/>
                <w:szCs w:val="21"/>
              </w:rPr>
            </w:pPr>
            <w:r>
              <w:rPr>
                <w:rFonts w:ascii="Times New Roman" w:hAnsi="Times New Roman" w:eastAsia="仿宋_GB2312" w:cs="Times New Roman"/>
                <w:szCs w:val="21"/>
              </w:rPr>
              <w:t>10</w:t>
            </w:r>
          </w:p>
        </w:tc>
        <w:tc>
          <w:tcPr>
            <w:tcW w:w="1134" w:type="dxa"/>
            <w:vAlign w:val="center"/>
          </w:tcPr>
          <w:p w14:paraId="2A105D34">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光学定位系统</w:t>
            </w:r>
          </w:p>
        </w:tc>
        <w:tc>
          <w:tcPr>
            <w:tcW w:w="1388" w:type="dxa"/>
            <w:vAlign w:val="center"/>
          </w:tcPr>
          <w:p w14:paraId="50D459F3">
            <w:pPr>
              <w:widowControl/>
              <w:jc w:val="center"/>
              <w:rPr>
                <w:rFonts w:ascii="Times New Roman" w:hAnsi="Times New Roman" w:eastAsia="仿宋_GB2312" w:cs="Times New Roman"/>
                <w:szCs w:val="21"/>
              </w:rPr>
            </w:pPr>
          </w:p>
        </w:tc>
        <w:tc>
          <w:tcPr>
            <w:tcW w:w="3998" w:type="dxa"/>
            <w:vAlign w:val="center"/>
          </w:tcPr>
          <w:p w14:paraId="7D8B92BE">
            <w:pPr>
              <w:widowControl/>
              <w:jc w:val="left"/>
              <w:rPr>
                <w:rFonts w:ascii="Times New Roman" w:hAnsi="Times New Roman" w:eastAsia="仿宋_GB2312" w:cs="Times New Roman"/>
                <w:szCs w:val="21"/>
              </w:rPr>
            </w:pPr>
            <w:r>
              <w:rPr>
                <w:rFonts w:ascii="Times New Roman" w:hAnsi="Times New Roman" w:eastAsia="仿宋_GB2312" w:cs="Times New Roman"/>
                <w:szCs w:val="21"/>
              </w:rPr>
              <w:t>配备高分辨率 CCD 显微摄像机及激光定位系统，放大倍数≥ 20 倍，≥ 1000 万像素，确保微小分析点的精准可视与定位。</w:t>
            </w:r>
          </w:p>
        </w:tc>
        <w:tc>
          <w:tcPr>
            <w:tcW w:w="992" w:type="dxa"/>
            <w:vAlign w:val="center"/>
          </w:tcPr>
          <w:p w14:paraId="6E89908F">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64C86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CDF6662">
            <w:pPr>
              <w:jc w:val="center"/>
              <w:rPr>
                <w:rFonts w:ascii="Times New Roman" w:hAnsi="Times New Roman" w:eastAsia="仿宋_GB2312" w:cs="Times New Roman"/>
                <w:szCs w:val="21"/>
              </w:rPr>
            </w:pPr>
            <w:r>
              <w:rPr>
                <w:rFonts w:ascii="Times New Roman" w:hAnsi="Times New Roman" w:eastAsia="仿宋_GB2312" w:cs="Times New Roman"/>
                <w:szCs w:val="21"/>
              </w:rPr>
              <w:t>11</w:t>
            </w:r>
          </w:p>
        </w:tc>
        <w:tc>
          <w:tcPr>
            <w:tcW w:w="1134" w:type="dxa"/>
            <w:vAlign w:val="center"/>
          </w:tcPr>
          <w:p w14:paraId="0167ADB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分析气氛</w:t>
            </w:r>
          </w:p>
        </w:tc>
        <w:tc>
          <w:tcPr>
            <w:tcW w:w="1388" w:type="dxa"/>
            <w:vAlign w:val="center"/>
          </w:tcPr>
          <w:p w14:paraId="017F555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3998" w:type="dxa"/>
            <w:vAlign w:val="center"/>
          </w:tcPr>
          <w:p w14:paraId="0CF8BB21">
            <w:pPr>
              <w:widowControl/>
              <w:jc w:val="left"/>
              <w:rPr>
                <w:rFonts w:ascii="Times New Roman" w:hAnsi="Times New Roman" w:eastAsia="仿宋_GB2312" w:cs="Times New Roman"/>
                <w:szCs w:val="21"/>
              </w:rPr>
            </w:pPr>
            <w:r>
              <w:rPr>
                <w:rFonts w:ascii="Times New Roman" w:hAnsi="Times New Roman" w:eastAsia="仿宋_GB2312" w:cs="Times New Roman"/>
                <w:szCs w:val="21"/>
              </w:rPr>
              <w:t>标配全自动高纯氦气吹扫系统或</w:t>
            </w:r>
            <w:r>
              <w:rPr>
                <w:rFonts w:hint="eastAsia" w:ascii="Times New Roman" w:hAnsi="Times New Roman" w:eastAsia="仿宋_GB2312" w:cs="Times New Roman"/>
                <w:szCs w:val="21"/>
              </w:rPr>
              <w:t>真空系统，以便于轻元素的分析</w:t>
            </w:r>
          </w:p>
        </w:tc>
        <w:tc>
          <w:tcPr>
            <w:tcW w:w="992" w:type="dxa"/>
            <w:vAlign w:val="center"/>
          </w:tcPr>
          <w:p w14:paraId="3D2F9087">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5528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CECE7E5">
            <w:pPr>
              <w:jc w:val="center"/>
              <w:rPr>
                <w:rFonts w:ascii="Times New Roman" w:hAnsi="Times New Roman" w:eastAsia="仿宋_GB2312" w:cs="Times New Roman"/>
                <w:szCs w:val="21"/>
              </w:rPr>
            </w:pPr>
            <w:r>
              <w:rPr>
                <w:rFonts w:ascii="Times New Roman" w:hAnsi="Times New Roman" w:eastAsia="仿宋_GB2312" w:cs="Times New Roman"/>
                <w:szCs w:val="21"/>
              </w:rPr>
              <w:t>12</w:t>
            </w:r>
          </w:p>
        </w:tc>
        <w:tc>
          <w:tcPr>
            <w:tcW w:w="1134" w:type="dxa"/>
            <w:vAlign w:val="center"/>
          </w:tcPr>
          <w:p w14:paraId="0789299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软件</w:t>
            </w:r>
          </w:p>
        </w:tc>
        <w:tc>
          <w:tcPr>
            <w:tcW w:w="1388" w:type="dxa"/>
            <w:vAlign w:val="center"/>
          </w:tcPr>
          <w:p w14:paraId="340D40D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3998" w:type="dxa"/>
            <w:vAlign w:val="center"/>
          </w:tcPr>
          <w:p w14:paraId="7B7CB69D">
            <w:pPr>
              <w:rPr>
                <w:rFonts w:ascii="Times New Roman" w:hAnsi="Times New Roman" w:eastAsia="仿宋_GB2312" w:cs="Times New Roman"/>
                <w:szCs w:val="21"/>
              </w:rPr>
            </w:pPr>
            <w:r>
              <w:rPr>
                <w:rFonts w:ascii="Times New Roman" w:hAnsi="Times New Roman" w:eastAsia="仿宋_GB2312" w:cs="Times New Roman"/>
                <w:szCs w:val="21"/>
              </w:rPr>
              <w:t>1.软件需支持定性、半定量及定量分析，包含基本参数法（FP）及无标样分析功能。</w:t>
            </w:r>
          </w:p>
          <w:p w14:paraId="7A76AEAD">
            <w:pPr>
              <w:rPr>
                <w:rFonts w:ascii="Times New Roman" w:hAnsi="Times New Roman" w:eastAsia="仿宋_GB2312" w:cs="Times New Roman"/>
                <w:szCs w:val="21"/>
              </w:rPr>
            </w:pPr>
            <w:r>
              <w:rPr>
                <w:rFonts w:ascii="Times New Roman" w:hAnsi="Times New Roman" w:eastAsia="仿宋_GB2312" w:cs="Times New Roman"/>
                <w:szCs w:val="21"/>
              </w:rPr>
              <w:t>2．成像与处理：具备强大的面扫描数据处理能力，支持在扫描结果中提取光谱、进行线面扫描数据提取、及尺寸测量功能。</w:t>
            </w:r>
          </w:p>
        </w:tc>
        <w:tc>
          <w:tcPr>
            <w:tcW w:w="992" w:type="dxa"/>
            <w:vAlign w:val="center"/>
          </w:tcPr>
          <w:p w14:paraId="3618169D">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2726A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6B5E11B">
            <w:pPr>
              <w:jc w:val="center"/>
              <w:rPr>
                <w:rFonts w:ascii="Times New Roman" w:hAnsi="Times New Roman" w:eastAsia="仿宋_GB2312" w:cs="Times New Roman"/>
                <w:bCs/>
                <w:szCs w:val="21"/>
              </w:rPr>
            </w:pPr>
          </w:p>
        </w:tc>
        <w:tc>
          <w:tcPr>
            <w:tcW w:w="1134" w:type="dxa"/>
            <w:vAlign w:val="center"/>
          </w:tcPr>
          <w:p w14:paraId="0A897B17">
            <w:pPr>
              <w:widowControl/>
              <w:jc w:val="center"/>
              <w:rPr>
                <w:rFonts w:ascii="Times New Roman" w:hAnsi="Times New Roman" w:cs="Times New Roman"/>
                <w:bCs/>
                <w:szCs w:val="21"/>
              </w:rPr>
            </w:pPr>
          </w:p>
        </w:tc>
        <w:tc>
          <w:tcPr>
            <w:tcW w:w="1388" w:type="dxa"/>
            <w:vAlign w:val="center"/>
          </w:tcPr>
          <w:p w14:paraId="5743D042">
            <w:pPr>
              <w:widowControl/>
              <w:jc w:val="center"/>
              <w:rPr>
                <w:rFonts w:ascii="Times New Roman" w:hAnsi="Times New Roman" w:cs="Times New Roman"/>
                <w:bCs/>
                <w:szCs w:val="21"/>
              </w:rPr>
            </w:pPr>
          </w:p>
        </w:tc>
        <w:tc>
          <w:tcPr>
            <w:tcW w:w="3998" w:type="dxa"/>
            <w:vAlign w:val="center"/>
          </w:tcPr>
          <w:p w14:paraId="5F9968F0">
            <w:pPr>
              <w:widowControl/>
              <w:jc w:val="left"/>
              <w:rPr>
                <w:rFonts w:ascii="Times New Roman" w:hAnsi="Times New Roman" w:cs="Times New Roman"/>
                <w:bCs/>
                <w:szCs w:val="21"/>
              </w:rPr>
            </w:pPr>
          </w:p>
        </w:tc>
        <w:tc>
          <w:tcPr>
            <w:tcW w:w="992" w:type="dxa"/>
            <w:vAlign w:val="center"/>
          </w:tcPr>
          <w:p w14:paraId="1B5BADC9">
            <w:pPr>
              <w:widowControl/>
              <w:jc w:val="center"/>
              <w:rPr>
                <w:rFonts w:ascii="Times New Roman" w:hAnsi="Times New Roman" w:eastAsia="仿宋_GB2312" w:cs="Times New Roman"/>
                <w:bCs/>
                <w:szCs w:val="21"/>
              </w:rPr>
            </w:pPr>
          </w:p>
        </w:tc>
      </w:tr>
    </w:tbl>
    <w:p w14:paraId="12237216">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74DC78E6">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491717A0">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15F22992">
      <w:pPr>
        <w:widowControl/>
        <w:shd w:val="clear" w:color="auto" w:fill="FFFFFF"/>
        <w:spacing w:line="360" w:lineRule="auto"/>
        <w:jc w:val="center"/>
        <w:rPr>
          <w:rFonts w:ascii="Times New Roman" w:hAnsi="Times New Roman" w:eastAsia="仿宋_GB2312" w:cs="Times New Roman"/>
          <w:color w:val="000000"/>
          <w:kern w:val="0"/>
          <w:sz w:val="28"/>
          <w:szCs w:val="28"/>
          <w:shd w:val="clear" w:color="auto" w:fill="FFFFFF"/>
        </w:rPr>
      </w:pPr>
      <w:r>
        <w:rPr>
          <w:rFonts w:ascii="Times New Roman" w:hAnsi="Times New Roman" w:eastAsia="仿宋_GB2312" w:cs="Times New Roman"/>
          <w:color w:val="000000"/>
          <w:kern w:val="0"/>
          <w:sz w:val="28"/>
          <w:szCs w:val="28"/>
          <w:shd w:val="clear" w:color="auto" w:fill="FFFFFF"/>
        </w:rPr>
        <w:t>（六）</w:t>
      </w:r>
      <w:r>
        <w:rPr>
          <w:rFonts w:ascii="Times New Roman" w:hAnsi="Times New Roman" w:eastAsia="仿宋_GB2312" w:cs="Times New Roman"/>
          <w:sz w:val="28"/>
          <w:szCs w:val="28"/>
        </w:rPr>
        <w:t>高灵敏ICP光谱仪</w:t>
      </w:r>
      <w:r>
        <w:rPr>
          <w:rFonts w:ascii="Times New Roman" w:hAnsi="Times New Roman" w:eastAsia="仿宋_GB2312" w:cs="Times New Roman"/>
          <w:color w:val="000000"/>
          <w:kern w:val="0"/>
          <w:sz w:val="28"/>
          <w:szCs w:val="28"/>
          <w:shd w:val="clear" w:color="auto" w:fill="FFFFFF"/>
        </w:rPr>
        <w:t>（1台）</w:t>
      </w:r>
    </w:p>
    <w:p w14:paraId="063194B8">
      <w:pPr>
        <w:widowControl/>
        <w:shd w:val="clear" w:color="auto" w:fill="FFFFFF"/>
        <w:spacing w:line="360" w:lineRule="auto"/>
        <w:ind w:firstLine="482" w:firstLineChars="200"/>
        <w:jc w:val="left"/>
        <w:rPr>
          <w:rFonts w:hint="eastAsia" w:ascii="仿宋_GB2312" w:hAnsi="宋体" w:eastAsia="仿宋_GB2312"/>
          <w:b/>
          <w:bCs/>
          <w:i/>
          <w:iCs/>
          <w:sz w:val="24"/>
          <w:szCs w:val="24"/>
        </w:rPr>
      </w:pPr>
      <w:r>
        <w:rPr>
          <w:rFonts w:hint="eastAsia" w:ascii="仿宋_GB2312" w:hAnsi="宋体" w:eastAsia="仿宋_GB2312"/>
          <w:b/>
          <w:bCs/>
          <w:sz w:val="24"/>
          <w:szCs w:val="24"/>
        </w:rPr>
        <w:t>1.功能要求：</w:t>
      </w:r>
      <w:r>
        <w:rPr>
          <w:rFonts w:hint="eastAsia" w:ascii="仿宋_GB2312" w:hAnsi="宋体" w:eastAsia="仿宋_GB2312"/>
          <w:b/>
          <w:bCs/>
          <w:i/>
          <w:iCs/>
          <w:sz w:val="24"/>
          <w:szCs w:val="24"/>
        </w:rPr>
        <w:t xml:space="preserve"> </w:t>
      </w:r>
    </w:p>
    <w:p w14:paraId="3722FFAE">
      <w:pPr>
        <w:pStyle w:val="10"/>
        <w:spacing w:line="360" w:lineRule="auto"/>
        <w:ind w:firstLine="480"/>
        <w:rPr>
          <w:rFonts w:ascii="Times New Roman" w:hAnsi="Times New Roman" w:eastAsia="仿宋_GB2312" w:cs="Times New Roman"/>
          <w:sz w:val="24"/>
          <w:szCs w:val="24"/>
        </w:rPr>
      </w:pPr>
      <w:r>
        <w:rPr>
          <w:rFonts w:ascii="Times New Roman" w:hAnsi="Times New Roman" w:eastAsia="仿宋_GB2312" w:cs="Times New Roman"/>
          <w:sz w:val="24"/>
          <w:szCs w:val="24"/>
        </w:rPr>
        <w:t>常量的微量与主量元素分析是地球科学、环境科学及相关交叉学科的日常测试与实践教学基础，尤其在面对复杂地质基体（如高盐度水体、高铁钙硅岩矿等）批量样品时，对仪器的抗干扰能力、测试通量、宽动态范围和长期运行稳定性提出了极高要求。ICP-OES凭借高能量等离子体光源与高分辨率光学系统的结合，具备强大的耐高盐基体能力和极宽的线性范围，相较于质谱类仪器，在常量及微量元素的高通量、低成本测试中具有不可替代的优势，能够有效补齐常规质谱在测定高浓度主量元素时易饱和、易污染的短板。</w:t>
      </w:r>
    </w:p>
    <w:p w14:paraId="54B78FD3">
      <w:pPr>
        <w:pStyle w:val="10"/>
        <w:spacing w:line="360" w:lineRule="auto"/>
        <w:ind w:firstLine="480"/>
        <w:rPr>
          <w:rFonts w:ascii="Times New Roman" w:hAnsi="Times New Roman" w:eastAsia="仿宋_GB2312" w:cs="Times New Roman"/>
          <w:sz w:val="24"/>
          <w:szCs w:val="24"/>
        </w:rPr>
      </w:pPr>
      <w:r>
        <w:rPr>
          <w:rFonts w:ascii="Times New Roman" w:hAnsi="Times New Roman" w:eastAsia="仿宋_GB2312" w:cs="Times New Roman"/>
          <w:sz w:val="24"/>
          <w:szCs w:val="24"/>
        </w:rPr>
        <w:t>本设备主要用于地球与行星科学领域的常量、主量及部分微量元素分析，重点服务于《地球化学》、《</w:t>
      </w:r>
      <w:r>
        <w:rPr>
          <w:rFonts w:hint="eastAsia" w:ascii="Times New Roman" w:hAnsi="Times New Roman" w:eastAsia="仿宋_GB2312" w:cs="Times New Roman"/>
          <w:sz w:val="24"/>
          <w:szCs w:val="24"/>
        </w:rPr>
        <w:t>分析地球化学</w:t>
      </w:r>
      <w:r>
        <w:rPr>
          <w:rFonts w:ascii="Times New Roman" w:hAnsi="Times New Roman" w:eastAsia="仿宋_GB2312" w:cs="Times New Roman"/>
          <w:sz w:val="24"/>
          <w:szCs w:val="24"/>
        </w:rPr>
        <w:t>》、《</w:t>
      </w:r>
      <w:r>
        <w:rPr>
          <w:rFonts w:hint="eastAsia" w:ascii="Times New Roman" w:hAnsi="Times New Roman" w:eastAsia="仿宋_GB2312" w:cs="Times New Roman"/>
          <w:sz w:val="24"/>
          <w:szCs w:val="24"/>
        </w:rPr>
        <w:t>地学现代测试技术</w:t>
      </w:r>
      <w:r>
        <w:rPr>
          <w:rFonts w:ascii="Times New Roman" w:hAnsi="Times New Roman" w:eastAsia="仿宋_GB2312" w:cs="Times New Roman"/>
          <w:sz w:val="24"/>
          <w:szCs w:val="24"/>
        </w:rPr>
        <w:t>》、</w:t>
      </w:r>
      <w:r>
        <w:rPr>
          <w:rFonts w:hint="eastAsia" w:ascii="Times New Roman" w:hAnsi="Times New Roman" w:eastAsia="仿宋_GB2312" w:cs="Times New Roman"/>
          <w:sz w:val="24"/>
          <w:szCs w:val="24"/>
        </w:rPr>
        <w:t>《环境地球化学》、</w:t>
      </w:r>
      <w:r>
        <w:rPr>
          <w:rFonts w:ascii="Times New Roman" w:hAnsi="Times New Roman" w:eastAsia="仿宋_GB2312" w:cs="Times New Roman"/>
          <w:sz w:val="24"/>
          <w:szCs w:val="24"/>
        </w:rPr>
        <w:t>《大型仪器分析基础与实践》等本科课程实验与综合实习，满足本科生毕业设计、研究生论文研究及“大创”等项目的常规样品测试需求。同时，为成矿物质来源、岩石圈演化、水土环境演变及古气候环境重建等科研方向提供高效、可靠的基础数据支撑。</w:t>
      </w:r>
    </w:p>
    <w:p w14:paraId="211574C9">
      <w:pPr>
        <w:pStyle w:val="10"/>
        <w:spacing w:line="360" w:lineRule="auto"/>
        <w:ind w:firstLine="480"/>
        <w:rPr>
          <w:rFonts w:ascii="Times New Roman" w:hAnsi="Times New Roman" w:eastAsia="仿宋_GB2312" w:cs="Times New Roman"/>
          <w:sz w:val="24"/>
          <w:szCs w:val="24"/>
        </w:rPr>
      </w:pPr>
      <w:r>
        <w:rPr>
          <w:rFonts w:ascii="Times New Roman" w:hAnsi="Times New Roman" w:eastAsia="仿宋_GB2312" w:cs="Times New Roman"/>
          <w:sz w:val="24"/>
          <w:szCs w:val="24"/>
        </w:rPr>
        <w:t>该设备主要能够实现以下功能：</w:t>
      </w:r>
    </w:p>
    <w:p w14:paraId="4F2E0269">
      <w:pPr>
        <w:pStyle w:val="10"/>
        <w:numPr>
          <w:ilvl w:val="0"/>
          <w:numId w:val="11"/>
        </w:numPr>
        <w:spacing w:line="360" w:lineRule="auto"/>
        <w:ind w:left="0" w:firstLine="480"/>
        <w:rPr>
          <w:rFonts w:ascii="Times New Roman" w:hAnsi="Times New Roman" w:eastAsia="仿宋_GB2312" w:cs="Times New Roman"/>
          <w:sz w:val="24"/>
          <w:szCs w:val="24"/>
        </w:rPr>
      </w:pPr>
      <w:r>
        <w:rPr>
          <w:rFonts w:ascii="Times New Roman" w:hAnsi="Times New Roman" w:eastAsia="仿宋_GB2312" w:cs="Times New Roman"/>
          <w:b/>
          <w:bCs/>
          <w:sz w:val="24"/>
          <w:szCs w:val="24"/>
        </w:rPr>
        <w:t>复杂地质与环境样品主微量元素高通量分析：</w:t>
      </w:r>
      <w:r>
        <w:rPr>
          <w:rFonts w:ascii="Times New Roman" w:hAnsi="Times New Roman" w:eastAsia="仿宋_GB2312" w:cs="Times New Roman"/>
          <w:sz w:val="24"/>
          <w:szCs w:val="24"/>
        </w:rPr>
        <w:t> 实现岩石、矿物、土壤、沉积物及水体样品中主量（如 Si、Al、Fe、Ca、Mg、Na、K 等）与常见微量元素（如 Sr、Ba、Mn、Ti、P 等）的高精密度快速定量分析。</w:t>
      </w:r>
    </w:p>
    <w:p w14:paraId="331F433F">
      <w:pPr>
        <w:pStyle w:val="10"/>
        <w:numPr>
          <w:ilvl w:val="0"/>
          <w:numId w:val="11"/>
        </w:numPr>
        <w:spacing w:line="360" w:lineRule="auto"/>
        <w:ind w:left="0" w:firstLine="480"/>
        <w:rPr>
          <w:rFonts w:ascii="Times New Roman" w:hAnsi="Times New Roman" w:eastAsia="仿宋_GB2312" w:cs="Times New Roman"/>
          <w:sz w:val="24"/>
          <w:szCs w:val="24"/>
        </w:rPr>
      </w:pPr>
      <w:r>
        <w:rPr>
          <w:rFonts w:ascii="Times New Roman" w:hAnsi="Times New Roman" w:eastAsia="仿宋_GB2312" w:cs="Times New Roman"/>
          <w:b/>
          <w:bCs/>
          <w:sz w:val="24"/>
          <w:szCs w:val="24"/>
        </w:rPr>
        <w:t>高盐/高基质样品的直接测定：</w:t>
      </w:r>
      <w:r>
        <w:rPr>
          <w:rFonts w:ascii="Times New Roman" w:hAnsi="Times New Roman" w:eastAsia="仿宋_GB2312" w:cs="Times New Roman"/>
          <w:sz w:val="24"/>
          <w:szCs w:val="24"/>
        </w:rPr>
        <w:t> 具备强大的耐基质干扰能力，可直接测定高溶解性总固体（TDS）水样（如地下水、盐湖水、海水及浸出液）和高酸度消解样品，减少复杂的稀释与前处理步骤。</w:t>
      </w:r>
    </w:p>
    <w:p w14:paraId="51639E34">
      <w:pPr>
        <w:pStyle w:val="10"/>
        <w:numPr>
          <w:ilvl w:val="0"/>
          <w:numId w:val="11"/>
        </w:numPr>
        <w:spacing w:line="360" w:lineRule="auto"/>
        <w:ind w:left="0" w:firstLine="480"/>
        <w:rPr>
          <w:rFonts w:ascii="Times New Roman" w:hAnsi="Times New Roman" w:eastAsia="仿宋_GB2312" w:cs="Times New Roman"/>
          <w:sz w:val="24"/>
          <w:szCs w:val="24"/>
        </w:rPr>
      </w:pPr>
      <w:r>
        <w:rPr>
          <w:rFonts w:ascii="Times New Roman" w:hAnsi="Times New Roman" w:eastAsia="仿宋_GB2312" w:cs="Times New Roman"/>
          <w:b/>
          <w:bCs/>
          <w:sz w:val="24"/>
          <w:szCs w:val="24"/>
        </w:rPr>
        <w:t>多元素同测与宽线性范围分析：</w:t>
      </w:r>
      <w:r>
        <w:rPr>
          <w:rFonts w:ascii="Times New Roman" w:hAnsi="Times New Roman" w:eastAsia="仿宋_GB2312" w:cs="Times New Roman"/>
          <w:sz w:val="24"/>
          <w:szCs w:val="24"/>
        </w:rPr>
        <w:t> 凭借全谱直读能力与宽线性动态范围，实现样品中高浓度主量元素与低浓度微量元素在同一次吸样过程中的全元素同时测定，大幅提升教学实训与科研测试效率。</w:t>
      </w:r>
    </w:p>
    <w:p w14:paraId="584D690D">
      <w:pPr>
        <w:widowControl/>
        <w:numPr>
          <w:ilvl w:val="0"/>
          <w:numId w:val="10"/>
        </w:numPr>
        <w:shd w:val="clear" w:color="auto" w:fill="FFFFFF"/>
        <w:spacing w:line="360" w:lineRule="auto"/>
        <w:ind w:firstLine="482" w:firstLineChars="200"/>
        <w:jc w:val="left"/>
        <w:rPr>
          <w:rFonts w:hint="eastAsia" w:ascii="仿宋_GB2312" w:hAnsi="宋体" w:eastAsia="仿宋_GB2312"/>
          <w:b/>
          <w:bCs/>
          <w:sz w:val="24"/>
          <w:szCs w:val="24"/>
        </w:rPr>
      </w:pPr>
      <w:r>
        <w:rPr>
          <w:rFonts w:hint="eastAsia" w:ascii="仿宋_GB2312" w:hAnsi="宋体" w:eastAsia="仿宋_GB2312"/>
          <w:b/>
          <w:bCs/>
          <w:sz w:val="24"/>
          <w:szCs w:val="24"/>
        </w:rPr>
        <w:t>应遵循的相关国家标准、行业标准、地方标准等标准、规范：</w:t>
      </w:r>
    </w:p>
    <w:p w14:paraId="2CC3FADB">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主要参考国家标准：JJG 768-2005《发射光谱仪检定规程》，GB/T 36244-2018《电感耦合等离子体原子发射光谱仪》，HJ 974-2018《土壤和沉积物 11种元素测定 碱熔-电感耦合等离子体发射光谱法》，HJ 776-2015《水质 32种元素的测定 电感耦合等离子体发射光谱法》等。</w:t>
      </w:r>
    </w:p>
    <w:p w14:paraId="757B62F2">
      <w:pPr>
        <w:widowControl/>
        <w:numPr>
          <w:ilvl w:val="0"/>
          <w:numId w:val="10"/>
        </w:numPr>
        <w:shd w:val="clear" w:color="auto" w:fill="FFFFFF"/>
        <w:spacing w:line="360" w:lineRule="auto"/>
        <w:ind w:firstLine="482" w:firstLineChars="200"/>
        <w:rPr>
          <w:rFonts w:hint="eastAsia" w:ascii="仿宋_GB2312" w:hAnsi="宋体" w:eastAsia="仿宋_GB2312"/>
          <w:b/>
          <w:bCs/>
          <w:sz w:val="24"/>
          <w:szCs w:val="24"/>
        </w:rPr>
      </w:pPr>
      <w:r>
        <w:rPr>
          <w:rFonts w:hint="eastAsia" w:ascii="仿宋_GB2312" w:hAnsi="宋体" w:eastAsia="仿宋_GB2312"/>
          <w:b/>
          <w:bCs/>
          <w:sz w:val="24"/>
          <w:szCs w:val="24"/>
        </w:rPr>
        <w:t>后续运营维护、升级更新、备品备件等要求：</w:t>
      </w:r>
    </w:p>
    <w:p w14:paraId="387C8DAA">
      <w:pPr>
        <w:spacing w:line="360" w:lineRule="auto"/>
        <w:ind w:firstLine="480" w:firstLineChars="200"/>
        <w:outlineLvl w:val="0"/>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运维服务：供应商需提供≥2年整机质保（含ICP源，光栅，CCD检测器等核心部件），质保期内每半年开展1次现场巡检，</w:t>
      </w:r>
      <w:r>
        <w:rPr>
          <w:rFonts w:ascii="Times New Roman" w:hAnsi="Times New Roman" w:eastAsia="仿宋_GB2312" w:cs="Times New Roman"/>
          <w:sz w:val="24"/>
          <w:szCs w:val="24"/>
        </w:rPr>
        <w:t>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w:t>
      </w:r>
      <w:r>
        <w:rPr>
          <w:rFonts w:hint="eastAsia" w:ascii="Times New Roman" w:hAnsi="Times New Roman" w:eastAsia="仿宋_GB2312" w:cs="Times New Roman"/>
          <w:sz w:val="24"/>
          <w:szCs w:val="24"/>
        </w:rPr>
        <w:t>。</w:t>
      </w:r>
      <w:r>
        <w:rPr>
          <w:rFonts w:ascii="Times New Roman" w:hAnsi="Times New Roman" w:eastAsia="仿宋_GB2312" w:cs="Times New Roman"/>
          <w:iCs/>
          <w:sz w:val="24"/>
          <w:szCs w:val="24"/>
        </w:rPr>
        <w:t>提供2天以上现场培训，交通等与培训相关的费用均由成交供应商承担。</w:t>
      </w:r>
    </w:p>
    <w:p w14:paraId="3D604CA2">
      <w:pPr>
        <w:spacing w:line="360" w:lineRule="auto"/>
        <w:ind w:firstLine="480" w:firstLineChars="200"/>
        <w:outlineLvl w:val="0"/>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升级更新：设备软件终身免费升级，硬件支持后续功能扩展，供应商需在新技术推出后30日内告知用户升级方案。</w:t>
      </w:r>
    </w:p>
    <w:p w14:paraId="3268A6E3">
      <w:pPr>
        <w:spacing w:line="360" w:lineRule="auto"/>
        <w:ind w:firstLine="480" w:firstLineChars="200"/>
        <w:outlineLvl w:val="0"/>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备品备件：质保期外提供全生命周期备件供应保障（承诺供应周期≥10年），常用备件（如矩管、雾室、雾化器、蠕动泵管等）需在用户提出需求后7个工作日内到货；提供备件价格清单，确保价格不高于市场同期水平。</w:t>
      </w:r>
    </w:p>
    <w:p w14:paraId="73D7299B">
      <w:pPr>
        <w:spacing w:line="360" w:lineRule="auto"/>
        <w:ind w:firstLine="480" w:firstLineChars="200"/>
        <w:outlineLvl w:val="0"/>
        <w:rPr>
          <w:rFonts w:hint="eastAsia" w:ascii="仿宋_GB2312" w:hAnsi="宋体" w:eastAsia="仿宋_GB2312"/>
          <w:sz w:val="24"/>
          <w:szCs w:val="24"/>
        </w:rPr>
      </w:pPr>
      <w:r>
        <w:rPr>
          <w:rFonts w:hint="eastAsia" w:ascii="Times New Roman" w:hAnsi="Times New Roman" w:eastAsia="仿宋_GB2312" w:cs="Times New Roman"/>
          <w:sz w:val="24"/>
          <w:szCs w:val="24"/>
        </w:rPr>
        <w:t xml:space="preserve">  </w:t>
      </w:r>
      <w:r>
        <w:rPr>
          <w:rFonts w:hint="eastAsia" w:ascii="仿宋_GB2312" w:hAnsi="宋体" w:eastAsia="仿宋_GB2312"/>
          <w:b/>
          <w:bCs/>
          <w:sz w:val="24"/>
          <w:szCs w:val="24"/>
        </w:rPr>
        <w:t>4.各项指标要求：</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3998"/>
        <w:gridCol w:w="992"/>
      </w:tblGrid>
      <w:tr w14:paraId="3AB2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06402AA">
            <w:pPr>
              <w:jc w:val="center"/>
              <w:rPr>
                <w:rFonts w:ascii="Times New Roman" w:hAnsi="Times New Roman" w:eastAsia="仿宋_GB2312" w:cs="Times New Roman"/>
                <w:b/>
                <w:szCs w:val="21"/>
              </w:rPr>
            </w:pPr>
            <w:r>
              <w:rPr>
                <w:rFonts w:ascii="Times New Roman" w:hAnsi="Times New Roman" w:eastAsia="仿宋_GB2312" w:cs="Times New Roman"/>
                <w:b/>
                <w:szCs w:val="21"/>
              </w:rPr>
              <w:t>序号</w:t>
            </w:r>
          </w:p>
        </w:tc>
        <w:tc>
          <w:tcPr>
            <w:tcW w:w="1134" w:type="dxa"/>
            <w:vAlign w:val="center"/>
          </w:tcPr>
          <w:p w14:paraId="37C70834">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指标项</w:t>
            </w:r>
          </w:p>
        </w:tc>
        <w:tc>
          <w:tcPr>
            <w:tcW w:w="1388" w:type="dxa"/>
            <w:vAlign w:val="center"/>
          </w:tcPr>
          <w:p w14:paraId="69928190">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重要性</w:t>
            </w:r>
          </w:p>
        </w:tc>
        <w:tc>
          <w:tcPr>
            <w:tcW w:w="3998" w:type="dxa"/>
            <w:vAlign w:val="center"/>
          </w:tcPr>
          <w:p w14:paraId="348166E0">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指标要求</w:t>
            </w:r>
          </w:p>
        </w:tc>
        <w:tc>
          <w:tcPr>
            <w:tcW w:w="992" w:type="dxa"/>
            <w:vAlign w:val="center"/>
          </w:tcPr>
          <w:p w14:paraId="635478FD">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证明材料要求</w:t>
            </w:r>
          </w:p>
        </w:tc>
      </w:tr>
      <w:tr w14:paraId="1A97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8DB1662">
            <w:pPr>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1</w:t>
            </w:r>
          </w:p>
        </w:tc>
        <w:tc>
          <w:tcPr>
            <w:tcW w:w="1134" w:type="dxa"/>
            <w:vAlign w:val="center"/>
          </w:tcPr>
          <w:p w14:paraId="37F6A111">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总体要求</w:t>
            </w:r>
          </w:p>
        </w:tc>
        <w:tc>
          <w:tcPr>
            <w:tcW w:w="1388" w:type="dxa"/>
            <w:vAlign w:val="center"/>
          </w:tcPr>
          <w:p w14:paraId="0B8DDF7F">
            <w:pPr>
              <w:widowControl/>
              <w:snapToGrid w:val="0"/>
              <w:jc w:val="center"/>
              <w:rPr>
                <w:rFonts w:ascii="Times New Roman" w:hAnsi="Times New Roman" w:eastAsia="仿宋_GB2312" w:cs="Times New Roman"/>
                <w:sz w:val="24"/>
                <w:szCs w:val="24"/>
              </w:rPr>
            </w:pPr>
          </w:p>
        </w:tc>
        <w:tc>
          <w:tcPr>
            <w:tcW w:w="3998" w:type="dxa"/>
            <w:vAlign w:val="center"/>
          </w:tcPr>
          <w:p w14:paraId="5CC3C834">
            <w:pPr>
              <w:snapToGrid w:val="0"/>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全谱直读型电感耦合等离子体发射光谱仪，可进行定性、半定量和精确的定量分析。  </w:t>
            </w:r>
          </w:p>
        </w:tc>
        <w:tc>
          <w:tcPr>
            <w:tcW w:w="992" w:type="dxa"/>
            <w:vAlign w:val="center"/>
          </w:tcPr>
          <w:p w14:paraId="5DE44E27">
            <w:pPr>
              <w:widowControl/>
              <w:snapToGrid w:val="0"/>
              <w:jc w:val="center"/>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否</w:t>
            </w:r>
          </w:p>
        </w:tc>
      </w:tr>
      <w:tr w14:paraId="6402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079B69F">
            <w:pPr>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2</w:t>
            </w:r>
          </w:p>
        </w:tc>
        <w:tc>
          <w:tcPr>
            <w:tcW w:w="1134" w:type="dxa"/>
            <w:vAlign w:val="center"/>
          </w:tcPr>
          <w:p w14:paraId="485FC71B">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进样系统</w:t>
            </w:r>
          </w:p>
        </w:tc>
        <w:tc>
          <w:tcPr>
            <w:tcW w:w="1388" w:type="dxa"/>
            <w:vAlign w:val="center"/>
          </w:tcPr>
          <w:p w14:paraId="1D662C61">
            <w:pPr>
              <w:widowControl/>
              <w:snapToGrid w:val="0"/>
              <w:jc w:val="center"/>
              <w:rPr>
                <w:rFonts w:ascii="Times New Roman" w:hAnsi="Times New Roman" w:eastAsia="仿宋_GB2312" w:cs="Times New Roman"/>
                <w:sz w:val="24"/>
                <w:szCs w:val="24"/>
              </w:rPr>
            </w:pPr>
          </w:p>
        </w:tc>
        <w:tc>
          <w:tcPr>
            <w:tcW w:w="3998" w:type="dxa"/>
            <w:vAlign w:val="center"/>
          </w:tcPr>
          <w:p w14:paraId="73C14958">
            <w:pPr>
              <w:snapToGrid w:val="0"/>
              <w:rPr>
                <w:rFonts w:ascii="Times New Roman" w:hAnsi="Times New Roman" w:eastAsia="仿宋_GB2312" w:cs="Times New Roman"/>
                <w:sz w:val="24"/>
                <w:szCs w:val="24"/>
              </w:rPr>
            </w:pPr>
            <w:r>
              <w:rPr>
                <w:rFonts w:ascii="Times New Roman" w:hAnsi="Times New Roman" w:eastAsia="仿宋_GB2312" w:cs="Times New Roman"/>
                <w:sz w:val="24"/>
                <w:szCs w:val="24"/>
              </w:rPr>
              <w:t>标配高效石英进样系统，并可扩展耐高盐、耐氢氟酸、耐有机物等多种进样系统可选</w:t>
            </w:r>
          </w:p>
        </w:tc>
        <w:tc>
          <w:tcPr>
            <w:tcW w:w="992" w:type="dxa"/>
            <w:vAlign w:val="center"/>
          </w:tcPr>
          <w:p w14:paraId="5927B971">
            <w:pPr>
              <w:widowControl/>
              <w:snapToGrid w:val="0"/>
              <w:jc w:val="center"/>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否</w:t>
            </w:r>
          </w:p>
        </w:tc>
      </w:tr>
      <w:tr w14:paraId="1875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C44DC30">
            <w:pPr>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3</w:t>
            </w:r>
          </w:p>
        </w:tc>
        <w:tc>
          <w:tcPr>
            <w:tcW w:w="1134" w:type="dxa"/>
            <w:vAlign w:val="center"/>
          </w:tcPr>
          <w:p w14:paraId="38C00105">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检测器</w:t>
            </w:r>
          </w:p>
        </w:tc>
        <w:tc>
          <w:tcPr>
            <w:tcW w:w="1388" w:type="dxa"/>
            <w:vAlign w:val="center"/>
          </w:tcPr>
          <w:p w14:paraId="38F3DFA7">
            <w:pPr>
              <w:widowControl/>
              <w:snapToGrid w:val="0"/>
              <w:jc w:val="center"/>
              <w:rPr>
                <w:rFonts w:ascii="Times New Roman" w:hAnsi="Times New Roman" w:eastAsia="仿宋_GB2312" w:cs="Times New Roman"/>
                <w:sz w:val="24"/>
                <w:szCs w:val="24"/>
              </w:rPr>
            </w:pPr>
            <w:r>
              <w:rPr>
                <w:rFonts w:ascii="Segoe UI Symbol" w:hAnsi="Segoe UI Symbol" w:eastAsia="仿宋_GB2312" w:cs="Segoe UI Symbol"/>
                <w:sz w:val="24"/>
                <w:szCs w:val="24"/>
              </w:rPr>
              <w:t>★</w:t>
            </w:r>
          </w:p>
        </w:tc>
        <w:tc>
          <w:tcPr>
            <w:tcW w:w="3998" w:type="dxa"/>
            <w:vAlign w:val="center"/>
          </w:tcPr>
          <w:p w14:paraId="7ED7E467">
            <w:pPr>
              <w:snapToGrid w:val="0"/>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1.检测单元：≥100万像素CCD检测器，一次曝光；CCD成像尺寸：≥24.5μm×24.5μm (须响应具体的数值)； </w:t>
            </w:r>
          </w:p>
          <w:p w14:paraId="3B624259">
            <w:pPr>
              <w:snapToGrid w:val="0"/>
              <w:rPr>
                <w:rFonts w:ascii="Times New Roman" w:hAnsi="Times New Roman" w:eastAsia="仿宋_GB2312" w:cs="Times New Roman"/>
                <w:sz w:val="24"/>
                <w:szCs w:val="24"/>
              </w:rPr>
            </w:pPr>
            <w:r>
              <w:rPr>
                <w:rFonts w:ascii="Times New Roman" w:hAnsi="Times New Roman" w:eastAsia="仿宋_GB2312" w:cs="Times New Roman"/>
                <w:sz w:val="24"/>
                <w:szCs w:val="24"/>
              </w:rPr>
              <w:t>2. 封装在传感器内部的TEC进行检测器恒温，恒温温度不低于-10℃；（须响应具体的温度数值，恒温温度提供软件截图并盖章证明）</w:t>
            </w:r>
          </w:p>
          <w:p w14:paraId="43981EC8">
            <w:pPr>
              <w:snapToGrid w:val="0"/>
              <w:rPr>
                <w:rFonts w:ascii="Times New Roman" w:hAnsi="Times New Roman" w:eastAsia="仿宋_GB2312" w:cs="Times New Roman"/>
                <w:sz w:val="24"/>
                <w:szCs w:val="24"/>
              </w:rPr>
            </w:pPr>
          </w:p>
        </w:tc>
        <w:tc>
          <w:tcPr>
            <w:tcW w:w="992" w:type="dxa"/>
            <w:vAlign w:val="center"/>
          </w:tcPr>
          <w:p w14:paraId="3DE1BF50">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r w14:paraId="58143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60CCFA3">
            <w:pPr>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4</w:t>
            </w:r>
          </w:p>
        </w:tc>
        <w:tc>
          <w:tcPr>
            <w:tcW w:w="1134" w:type="dxa"/>
            <w:vAlign w:val="center"/>
          </w:tcPr>
          <w:p w14:paraId="14869089">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光学系统</w:t>
            </w:r>
          </w:p>
        </w:tc>
        <w:tc>
          <w:tcPr>
            <w:tcW w:w="1388" w:type="dxa"/>
            <w:vAlign w:val="center"/>
          </w:tcPr>
          <w:p w14:paraId="096395F7">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w:t>
            </w:r>
          </w:p>
        </w:tc>
        <w:tc>
          <w:tcPr>
            <w:tcW w:w="3998" w:type="dxa"/>
            <w:vAlign w:val="center"/>
          </w:tcPr>
          <w:p w14:paraId="4C7CCF11">
            <w:pPr>
              <w:snapToGrid w:val="0"/>
              <w:rPr>
                <w:rFonts w:ascii="Times New Roman" w:hAnsi="Times New Roman" w:eastAsia="仿宋_GB2312" w:cs="Times New Roman"/>
                <w:sz w:val="24"/>
                <w:szCs w:val="24"/>
              </w:rPr>
            </w:pPr>
            <w:r>
              <w:rPr>
                <w:rFonts w:ascii="Times New Roman" w:hAnsi="Times New Roman" w:eastAsia="仿宋_GB2312" w:cs="Times New Roman"/>
                <w:sz w:val="24"/>
                <w:szCs w:val="24"/>
              </w:rPr>
              <w:t>稳定高效的中阶梯光栅光学系统</w:t>
            </w:r>
          </w:p>
          <w:p w14:paraId="6B208AB4">
            <w:pPr>
              <w:snapToGrid w:val="0"/>
              <w:rPr>
                <w:rFonts w:ascii="Times New Roman" w:hAnsi="Times New Roman" w:eastAsia="仿宋_GB2312" w:cs="Times New Roman"/>
                <w:sz w:val="24"/>
                <w:szCs w:val="24"/>
              </w:rPr>
            </w:pPr>
            <w:r>
              <w:rPr>
                <w:rFonts w:ascii="Times New Roman" w:hAnsi="Times New Roman" w:eastAsia="仿宋_GB2312" w:cs="Times New Roman"/>
                <w:sz w:val="24"/>
                <w:szCs w:val="24"/>
              </w:rPr>
              <w:t>1. 恒温温度≤36℃，精密度±0.1℃，驱氩气；（须响应具体的数值，恒温温度提供软件截图并盖章证明）</w:t>
            </w:r>
          </w:p>
          <w:p w14:paraId="5A75F8D3">
            <w:pPr>
              <w:snapToGrid w:val="0"/>
              <w:rPr>
                <w:rFonts w:ascii="Times New Roman" w:hAnsi="Times New Roman" w:eastAsia="仿宋_GB2312" w:cs="Times New Roman"/>
                <w:sz w:val="24"/>
                <w:szCs w:val="24"/>
              </w:rPr>
            </w:pPr>
            <w:bookmarkStart w:id="2" w:name="OLE_LINK10"/>
            <w:r>
              <w:rPr>
                <w:rFonts w:ascii="Times New Roman" w:hAnsi="Times New Roman" w:eastAsia="仿宋_GB2312" w:cs="Times New Roman"/>
                <w:sz w:val="24"/>
                <w:szCs w:val="24"/>
              </w:rPr>
              <w:t>2.中阶梯光栅石英棱镜二维分光系统，不接受CaF2棱镜系统，中阶梯光栅刻线密度≥80条/毫米；</w:t>
            </w:r>
          </w:p>
          <w:bookmarkEnd w:id="2"/>
          <w:p w14:paraId="7AD7A3F8">
            <w:pPr>
              <w:snapToGrid w:val="0"/>
              <w:rPr>
                <w:rFonts w:ascii="Times New Roman" w:hAnsi="Times New Roman" w:eastAsia="仿宋_GB2312" w:cs="Times New Roman"/>
                <w:sz w:val="24"/>
                <w:szCs w:val="24"/>
              </w:rPr>
            </w:pPr>
            <w:r>
              <w:rPr>
                <w:rFonts w:ascii="Times New Roman" w:hAnsi="Times New Roman" w:eastAsia="仿宋_GB2312" w:cs="Times New Roman"/>
                <w:sz w:val="24"/>
                <w:szCs w:val="24"/>
              </w:rPr>
              <w:t>3.焦距:≤390mm；</w:t>
            </w:r>
          </w:p>
          <w:p w14:paraId="3DBA61D2">
            <w:pPr>
              <w:snapToGrid w:val="0"/>
              <w:rPr>
                <w:rFonts w:ascii="Times New Roman" w:hAnsi="Times New Roman" w:eastAsia="仿宋_GB2312" w:cs="Times New Roman"/>
                <w:sz w:val="24"/>
                <w:szCs w:val="24"/>
              </w:rPr>
            </w:pPr>
            <w:r>
              <w:rPr>
                <w:rFonts w:ascii="Times New Roman" w:hAnsi="Times New Roman" w:eastAsia="仿宋_GB2312" w:cs="Times New Roman"/>
                <w:sz w:val="24"/>
                <w:szCs w:val="24"/>
              </w:rPr>
              <w:t>4.全谱直读，全波长覆盖，165-850nm；可测Al 167.079nm，可以采集510nm-530nm波长段的分子光谱。（提供Al 167.079nm谱线的测量截图并盖章证明）</w:t>
            </w:r>
          </w:p>
          <w:p w14:paraId="32479187">
            <w:pPr>
              <w:snapToGrid w:val="0"/>
              <w:rPr>
                <w:rFonts w:ascii="Times New Roman" w:hAnsi="Times New Roman" w:eastAsia="仿宋_GB2312" w:cs="Times New Roman"/>
                <w:sz w:val="24"/>
                <w:szCs w:val="24"/>
              </w:rPr>
            </w:pPr>
            <w:bookmarkStart w:id="3" w:name="OLE_LINK7"/>
            <w:r>
              <w:rPr>
                <w:rFonts w:ascii="Times New Roman" w:hAnsi="Times New Roman" w:eastAsia="仿宋_GB2312" w:cs="Times New Roman"/>
                <w:sz w:val="24"/>
                <w:szCs w:val="24"/>
              </w:rPr>
              <w:t>5. 波长校正: 每次点火，仅用C、N、Ar谱线，自动进行光谱位置校正无须波长校正溶液；（提供软件截图并盖章证明）</w:t>
            </w:r>
          </w:p>
          <w:bookmarkEnd w:id="3"/>
          <w:p w14:paraId="7EA6B285">
            <w:pPr>
              <w:snapToGrid w:val="0"/>
              <w:rPr>
                <w:rFonts w:ascii="Times New Roman" w:hAnsi="Times New Roman" w:eastAsia="仿宋_GB2312" w:cs="Times New Roman"/>
                <w:sz w:val="24"/>
                <w:szCs w:val="24"/>
              </w:rPr>
            </w:pPr>
            <w:bookmarkStart w:id="4" w:name="OLE_LINK5"/>
            <w:r>
              <w:rPr>
                <w:rFonts w:ascii="Times New Roman" w:hAnsi="Times New Roman" w:eastAsia="仿宋_GB2312" w:cs="Times New Roman"/>
                <w:sz w:val="24"/>
                <w:szCs w:val="24"/>
              </w:rPr>
              <w:t>6．利用无干扰的氖特征谱线，对光谱的细微偏移进行实时校正，确保长期稳定性；</w:t>
            </w:r>
          </w:p>
          <w:bookmarkEnd w:id="4"/>
          <w:p w14:paraId="5C1B8749">
            <w:pPr>
              <w:snapToGrid w:val="0"/>
              <w:rPr>
                <w:rFonts w:ascii="Times New Roman" w:hAnsi="Times New Roman" w:eastAsia="仿宋_GB2312" w:cs="Times New Roman"/>
                <w:sz w:val="24"/>
                <w:szCs w:val="24"/>
              </w:rPr>
            </w:pPr>
            <w:r>
              <w:rPr>
                <w:rFonts w:ascii="Times New Roman" w:hAnsi="Times New Roman" w:eastAsia="仿宋_GB2312" w:cs="Times New Roman"/>
                <w:sz w:val="24"/>
                <w:szCs w:val="24"/>
              </w:rPr>
              <w:t>7. 光学分辨率（FWHM）：≤7pm @200 nm；</w:t>
            </w:r>
          </w:p>
        </w:tc>
        <w:tc>
          <w:tcPr>
            <w:tcW w:w="992" w:type="dxa"/>
            <w:vAlign w:val="center"/>
          </w:tcPr>
          <w:p w14:paraId="2721D5CF">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r w14:paraId="79810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B347974">
            <w:pPr>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5</w:t>
            </w:r>
          </w:p>
        </w:tc>
        <w:tc>
          <w:tcPr>
            <w:tcW w:w="1134" w:type="dxa"/>
            <w:vAlign w:val="center"/>
          </w:tcPr>
          <w:p w14:paraId="4724279D">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等离子体</w:t>
            </w:r>
          </w:p>
        </w:tc>
        <w:tc>
          <w:tcPr>
            <w:tcW w:w="1388" w:type="dxa"/>
            <w:vAlign w:val="center"/>
          </w:tcPr>
          <w:p w14:paraId="51108F05">
            <w:pPr>
              <w:widowControl/>
              <w:snapToGrid w:val="0"/>
              <w:jc w:val="center"/>
              <w:rPr>
                <w:rFonts w:ascii="Times New Roman" w:hAnsi="Times New Roman" w:eastAsia="仿宋_GB2312" w:cs="Times New Roman"/>
                <w:sz w:val="24"/>
                <w:szCs w:val="24"/>
              </w:rPr>
            </w:pPr>
            <w:r>
              <w:rPr>
                <w:rFonts w:ascii="Segoe UI Symbol" w:hAnsi="Segoe UI Symbol" w:eastAsia="仿宋_GB2312" w:cs="Segoe UI Symbol"/>
                <w:sz w:val="24"/>
                <w:szCs w:val="24"/>
              </w:rPr>
              <w:t>★</w:t>
            </w:r>
          </w:p>
        </w:tc>
        <w:tc>
          <w:tcPr>
            <w:tcW w:w="3998" w:type="dxa"/>
            <w:vAlign w:val="center"/>
          </w:tcPr>
          <w:p w14:paraId="034B9C9F">
            <w:pPr>
              <w:snapToGrid w:val="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1． 自激式全固态射频电源，电源功率：700-1600W，连续1W可调；（提供功率设置界面截图并盖章证明）</w:t>
            </w:r>
          </w:p>
          <w:p w14:paraId="06C41F29">
            <w:pPr>
              <w:snapToGrid w:val="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2．垂直矩管，轴向、径向双向观测；</w:t>
            </w:r>
          </w:p>
        </w:tc>
        <w:tc>
          <w:tcPr>
            <w:tcW w:w="992" w:type="dxa"/>
            <w:vAlign w:val="center"/>
          </w:tcPr>
          <w:p w14:paraId="2CEC1F7F">
            <w:pPr>
              <w:widowControl/>
              <w:snapToGrid w:val="0"/>
              <w:jc w:val="center"/>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是</w:t>
            </w:r>
          </w:p>
        </w:tc>
      </w:tr>
      <w:tr w14:paraId="637E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6DF09C5">
            <w:pPr>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6</w:t>
            </w:r>
          </w:p>
        </w:tc>
        <w:tc>
          <w:tcPr>
            <w:tcW w:w="1134" w:type="dxa"/>
            <w:vAlign w:val="center"/>
          </w:tcPr>
          <w:p w14:paraId="1586C2D4">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软件</w:t>
            </w:r>
          </w:p>
        </w:tc>
        <w:tc>
          <w:tcPr>
            <w:tcW w:w="1388" w:type="dxa"/>
            <w:vAlign w:val="center"/>
          </w:tcPr>
          <w:p w14:paraId="6DED06F2">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w:t>
            </w:r>
          </w:p>
        </w:tc>
        <w:tc>
          <w:tcPr>
            <w:tcW w:w="3998" w:type="dxa"/>
            <w:vAlign w:val="center"/>
          </w:tcPr>
          <w:p w14:paraId="39305A24">
            <w:pPr>
              <w:widowControl/>
              <w:snapToGrid w:val="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具有全谱采集功能，软件上可直接获取完整全谱图。</w:t>
            </w:r>
          </w:p>
        </w:tc>
        <w:tc>
          <w:tcPr>
            <w:tcW w:w="992" w:type="dxa"/>
            <w:vAlign w:val="center"/>
          </w:tcPr>
          <w:p w14:paraId="0EFEE408">
            <w:pPr>
              <w:widowControl/>
              <w:snapToGrid w:val="0"/>
              <w:jc w:val="center"/>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是</w:t>
            </w:r>
          </w:p>
        </w:tc>
      </w:tr>
      <w:tr w14:paraId="6B2A4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2E30F32">
            <w:pPr>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7</w:t>
            </w:r>
          </w:p>
        </w:tc>
        <w:tc>
          <w:tcPr>
            <w:tcW w:w="1134" w:type="dxa"/>
            <w:vAlign w:val="center"/>
          </w:tcPr>
          <w:p w14:paraId="2BCAA551">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线性范围</w:t>
            </w:r>
          </w:p>
        </w:tc>
        <w:tc>
          <w:tcPr>
            <w:tcW w:w="1388" w:type="dxa"/>
            <w:vAlign w:val="center"/>
          </w:tcPr>
          <w:p w14:paraId="1834D817">
            <w:pPr>
              <w:widowControl/>
              <w:snapToGrid w:val="0"/>
              <w:jc w:val="center"/>
              <w:rPr>
                <w:rFonts w:ascii="Times New Roman" w:hAnsi="Times New Roman" w:eastAsia="仿宋_GB2312" w:cs="Times New Roman"/>
                <w:sz w:val="24"/>
                <w:szCs w:val="24"/>
              </w:rPr>
            </w:pPr>
          </w:p>
        </w:tc>
        <w:tc>
          <w:tcPr>
            <w:tcW w:w="3998" w:type="dxa"/>
            <w:vAlign w:val="center"/>
          </w:tcPr>
          <w:p w14:paraId="3E529EA8">
            <w:pPr>
              <w:widowControl/>
              <w:snapToGrid w:val="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线性动态范围：≥105</w:t>
            </w:r>
          </w:p>
        </w:tc>
        <w:tc>
          <w:tcPr>
            <w:tcW w:w="992" w:type="dxa"/>
            <w:vAlign w:val="center"/>
          </w:tcPr>
          <w:p w14:paraId="029D64A2">
            <w:pPr>
              <w:widowControl/>
              <w:snapToGrid w:val="0"/>
              <w:jc w:val="center"/>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否</w:t>
            </w:r>
          </w:p>
        </w:tc>
      </w:tr>
      <w:tr w14:paraId="7E18E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FEF2AFE">
            <w:pPr>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8</w:t>
            </w:r>
          </w:p>
        </w:tc>
        <w:tc>
          <w:tcPr>
            <w:tcW w:w="1134" w:type="dxa"/>
            <w:vAlign w:val="center"/>
          </w:tcPr>
          <w:p w14:paraId="255134A8">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精密度</w:t>
            </w:r>
          </w:p>
        </w:tc>
        <w:tc>
          <w:tcPr>
            <w:tcW w:w="1388" w:type="dxa"/>
            <w:vAlign w:val="center"/>
          </w:tcPr>
          <w:p w14:paraId="375DD777">
            <w:pPr>
              <w:widowControl/>
              <w:snapToGrid w:val="0"/>
              <w:jc w:val="center"/>
              <w:rPr>
                <w:rFonts w:ascii="Times New Roman" w:hAnsi="Times New Roman" w:eastAsia="仿宋_GB2312" w:cs="Times New Roman"/>
                <w:sz w:val="24"/>
                <w:szCs w:val="24"/>
              </w:rPr>
            </w:pPr>
            <w:r>
              <w:rPr>
                <w:rFonts w:ascii="Segoe UI Symbol" w:hAnsi="Segoe UI Symbol" w:eastAsia="仿宋_GB2312" w:cs="Segoe UI Symbol"/>
                <w:sz w:val="24"/>
                <w:szCs w:val="24"/>
              </w:rPr>
              <w:t>★</w:t>
            </w:r>
          </w:p>
        </w:tc>
        <w:tc>
          <w:tcPr>
            <w:tcW w:w="3998" w:type="dxa"/>
            <w:vAlign w:val="center"/>
          </w:tcPr>
          <w:p w14:paraId="261FC02E">
            <w:pPr>
              <w:widowControl/>
              <w:snapToGrid w:val="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测定1ppm或10ppm多元素混合标准溶液，重复测定十次的RSD≤0.5%</w:t>
            </w:r>
          </w:p>
        </w:tc>
        <w:tc>
          <w:tcPr>
            <w:tcW w:w="992" w:type="dxa"/>
            <w:vAlign w:val="center"/>
          </w:tcPr>
          <w:p w14:paraId="2B1C7749">
            <w:pPr>
              <w:widowControl/>
              <w:snapToGrid w:val="0"/>
              <w:jc w:val="center"/>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是</w:t>
            </w:r>
          </w:p>
        </w:tc>
      </w:tr>
      <w:tr w14:paraId="18E38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C26E330">
            <w:pPr>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9</w:t>
            </w:r>
          </w:p>
        </w:tc>
        <w:tc>
          <w:tcPr>
            <w:tcW w:w="1134" w:type="dxa"/>
            <w:vAlign w:val="center"/>
          </w:tcPr>
          <w:p w14:paraId="1AE678B0">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稳定性</w:t>
            </w:r>
          </w:p>
        </w:tc>
        <w:tc>
          <w:tcPr>
            <w:tcW w:w="1388" w:type="dxa"/>
            <w:vAlign w:val="center"/>
          </w:tcPr>
          <w:p w14:paraId="16B0C005">
            <w:pPr>
              <w:widowControl/>
              <w:snapToGrid w:val="0"/>
              <w:jc w:val="center"/>
              <w:rPr>
                <w:rFonts w:ascii="Times New Roman" w:hAnsi="Times New Roman" w:eastAsia="仿宋_GB2312" w:cs="Times New Roman"/>
                <w:sz w:val="24"/>
                <w:szCs w:val="24"/>
              </w:rPr>
            </w:pPr>
            <w:r>
              <w:rPr>
                <w:rFonts w:ascii="Segoe UI Symbol" w:hAnsi="Segoe UI Symbol" w:eastAsia="仿宋_GB2312" w:cs="Segoe UI Symbol"/>
                <w:sz w:val="24"/>
                <w:szCs w:val="24"/>
              </w:rPr>
              <w:t>★</w:t>
            </w:r>
          </w:p>
        </w:tc>
        <w:tc>
          <w:tcPr>
            <w:tcW w:w="3998" w:type="dxa"/>
            <w:vAlign w:val="center"/>
          </w:tcPr>
          <w:p w14:paraId="15C34F9E">
            <w:pPr>
              <w:widowControl/>
              <w:snapToGrid w:val="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测定1ppm或10ppm多元素混合标准溶液，4小时的长时间稳定性RSD≤1%</w:t>
            </w:r>
          </w:p>
        </w:tc>
        <w:tc>
          <w:tcPr>
            <w:tcW w:w="992" w:type="dxa"/>
            <w:vAlign w:val="center"/>
          </w:tcPr>
          <w:p w14:paraId="00D22509">
            <w:pPr>
              <w:widowControl/>
              <w:snapToGrid w:val="0"/>
              <w:jc w:val="center"/>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是</w:t>
            </w:r>
          </w:p>
        </w:tc>
      </w:tr>
      <w:tr w14:paraId="72B73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C8F40B6">
            <w:pPr>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10</w:t>
            </w:r>
          </w:p>
        </w:tc>
        <w:tc>
          <w:tcPr>
            <w:tcW w:w="1134" w:type="dxa"/>
            <w:vAlign w:val="center"/>
          </w:tcPr>
          <w:p w14:paraId="4EB268E9">
            <w:pPr>
              <w:widowControl/>
              <w:snapToGrid w:val="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检出限</w:t>
            </w:r>
          </w:p>
        </w:tc>
        <w:tc>
          <w:tcPr>
            <w:tcW w:w="1388" w:type="dxa"/>
            <w:vAlign w:val="center"/>
          </w:tcPr>
          <w:p w14:paraId="2D6F8C56">
            <w:pPr>
              <w:widowControl/>
              <w:snapToGrid w:val="0"/>
              <w:jc w:val="center"/>
              <w:rPr>
                <w:rFonts w:ascii="Times New Roman" w:hAnsi="Times New Roman" w:eastAsia="仿宋_GB2312" w:cs="Times New Roman"/>
                <w:sz w:val="24"/>
                <w:szCs w:val="24"/>
              </w:rPr>
            </w:pPr>
            <w:r>
              <w:rPr>
                <w:rFonts w:ascii="Segoe UI Symbol" w:hAnsi="Segoe UI Symbol" w:eastAsia="仿宋_GB2312" w:cs="Segoe UI Symbol"/>
                <w:sz w:val="24"/>
                <w:szCs w:val="24"/>
              </w:rPr>
              <w:t>★</w:t>
            </w:r>
          </w:p>
        </w:tc>
        <w:tc>
          <w:tcPr>
            <w:tcW w:w="3998" w:type="dxa"/>
            <w:vAlign w:val="center"/>
          </w:tcPr>
          <w:p w14:paraId="2B6782FB">
            <w:pPr>
              <w:widowControl/>
              <w:snapToGrid w:val="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Zn213.8、Mn257.6、Ba455.4≤0.5ug/L，Ni221.6、Cr283.5、Cu324.7≤1.0ug/L</w:t>
            </w:r>
          </w:p>
        </w:tc>
        <w:tc>
          <w:tcPr>
            <w:tcW w:w="992" w:type="dxa"/>
            <w:vAlign w:val="center"/>
          </w:tcPr>
          <w:p w14:paraId="3D189274">
            <w:pPr>
              <w:widowControl/>
              <w:snapToGrid w:val="0"/>
              <w:jc w:val="center"/>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是</w:t>
            </w:r>
          </w:p>
        </w:tc>
      </w:tr>
    </w:tbl>
    <w:p w14:paraId="7A2A3531">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40478E10">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729AE77D">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w:t>
      </w:r>
      <w:bookmarkStart w:id="5" w:name="_GoBack"/>
      <w:bookmarkEnd w:id="5"/>
      <w:r>
        <w:rPr>
          <w:rFonts w:ascii="仿宋_GB2312" w:hAnsi="宋体" w:eastAsia="仿宋_GB2312" w:cs="宋体"/>
          <w:snapToGrid w:val="0"/>
          <w:kern w:val="0"/>
          <w:sz w:val="24"/>
          <w:szCs w:val="24"/>
          <w:lang w:val="zh-CN"/>
        </w:rPr>
        <w:t>的，则该指标按不满足处理。若供应商偏离表中与响应文件所列证明材料内容不一致时，将以证明材料内容为准进行评审。</w:t>
      </w:r>
    </w:p>
    <w:p w14:paraId="3BAFACE8">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6"/>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1D62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0D354DF3">
            <w:pPr>
              <w:autoSpaceDE w:val="0"/>
              <w:autoSpaceDN w:val="0"/>
              <w:adjustRightInd w:val="0"/>
              <w:snapToGrid w:val="0"/>
              <w:jc w:val="center"/>
              <w:rPr>
                <w:rFonts w:ascii="Times New Roman" w:hAnsi="Times New Roman" w:eastAsia="仿宋_GB2312" w:cs="Times New Roman"/>
                <w:b/>
                <w:snapToGrid w:val="0"/>
                <w:kern w:val="0"/>
                <w:szCs w:val="21"/>
                <w:lang w:val="zh-CN"/>
              </w:rPr>
            </w:pPr>
            <w:r>
              <w:rPr>
                <w:rFonts w:ascii="Times New Roman" w:hAnsi="Times New Roman" w:eastAsia="仿宋_GB2312" w:cs="Times New Roman"/>
                <w:b/>
                <w:snapToGrid w:val="0"/>
                <w:kern w:val="0"/>
                <w:szCs w:val="21"/>
                <w:lang w:val="zh-CN"/>
              </w:rPr>
              <w:t>序号</w:t>
            </w:r>
          </w:p>
        </w:tc>
        <w:tc>
          <w:tcPr>
            <w:tcW w:w="1603" w:type="dxa"/>
            <w:vAlign w:val="center"/>
          </w:tcPr>
          <w:p w14:paraId="50FC1960">
            <w:pPr>
              <w:autoSpaceDE w:val="0"/>
              <w:autoSpaceDN w:val="0"/>
              <w:adjustRightInd w:val="0"/>
              <w:snapToGrid w:val="0"/>
              <w:jc w:val="center"/>
              <w:rPr>
                <w:rFonts w:ascii="Times New Roman" w:hAnsi="Times New Roman" w:eastAsia="仿宋_GB2312" w:cs="Times New Roman"/>
                <w:b/>
                <w:snapToGrid w:val="0"/>
                <w:kern w:val="0"/>
                <w:szCs w:val="21"/>
                <w:lang w:val="zh-CN"/>
              </w:rPr>
            </w:pPr>
            <w:r>
              <w:rPr>
                <w:rFonts w:ascii="Times New Roman" w:hAnsi="Times New Roman" w:eastAsia="仿宋_GB2312" w:cs="Times New Roman"/>
                <w:b/>
                <w:snapToGrid w:val="0"/>
                <w:kern w:val="0"/>
                <w:szCs w:val="21"/>
                <w:lang w:val="zh-CN"/>
              </w:rPr>
              <w:t>指标项</w:t>
            </w:r>
          </w:p>
        </w:tc>
        <w:tc>
          <w:tcPr>
            <w:tcW w:w="940" w:type="dxa"/>
            <w:vAlign w:val="center"/>
          </w:tcPr>
          <w:p w14:paraId="72665742">
            <w:pPr>
              <w:autoSpaceDE w:val="0"/>
              <w:autoSpaceDN w:val="0"/>
              <w:adjustRightInd w:val="0"/>
              <w:snapToGrid w:val="0"/>
              <w:jc w:val="center"/>
              <w:rPr>
                <w:rFonts w:ascii="Times New Roman" w:hAnsi="Times New Roman" w:eastAsia="仿宋_GB2312" w:cs="Times New Roman"/>
                <w:b/>
                <w:snapToGrid w:val="0"/>
                <w:kern w:val="0"/>
                <w:szCs w:val="21"/>
                <w:lang w:val="zh-CN"/>
              </w:rPr>
            </w:pPr>
            <w:r>
              <w:rPr>
                <w:rFonts w:ascii="Times New Roman" w:hAnsi="Times New Roman" w:eastAsia="仿宋_GB2312" w:cs="Times New Roman"/>
                <w:b/>
                <w:snapToGrid w:val="0"/>
                <w:kern w:val="0"/>
                <w:szCs w:val="21"/>
                <w:lang w:val="zh-CN"/>
              </w:rPr>
              <w:t>重要性</w:t>
            </w:r>
          </w:p>
        </w:tc>
        <w:tc>
          <w:tcPr>
            <w:tcW w:w="5237" w:type="dxa"/>
            <w:vAlign w:val="center"/>
          </w:tcPr>
          <w:p w14:paraId="5B2E6195">
            <w:pPr>
              <w:autoSpaceDE w:val="0"/>
              <w:autoSpaceDN w:val="0"/>
              <w:adjustRightInd w:val="0"/>
              <w:snapToGrid w:val="0"/>
              <w:jc w:val="center"/>
              <w:rPr>
                <w:rFonts w:ascii="Times New Roman" w:hAnsi="Times New Roman" w:eastAsia="仿宋_GB2312" w:cs="Times New Roman"/>
                <w:b/>
                <w:snapToGrid w:val="0"/>
                <w:kern w:val="0"/>
                <w:szCs w:val="21"/>
                <w:lang w:val="zh-CN"/>
              </w:rPr>
            </w:pPr>
            <w:r>
              <w:rPr>
                <w:rFonts w:ascii="Times New Roman" w:hAnsi="Times New Roman" w:eastAsia="仿宋_GB2312" w:cs="Times New Roman"/>
                <w:b/>
                <w:snapToGrid w:val="0"/>
                <w:kern w:val="0"/>
                <w:szCs w:val="21"/>
                <w:lang w:val="zh-CN"/>
              </w:rPr>
              <w:t>指标要求</w:t>
            </w:r>
          </w:p>
        </w:tc>
      </w:tr>
      <w:tr w14:paraId="2C945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63E7FB2D">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1</w:t>
            </w:r>
          </w:p>
        </w:tc>
        <w:tc>
          <w:tcPr>
            <w:tcW w:w="1603" w:type="dxa"/>
            <w:vAlign w:val="center"/>
          </w:tcPr>
          <w:p w14:paraId="559BE768">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供货期/服务期/工期</w:t>
            </w:r>
          </w:p>
        </w:tc>
        <w:tc>
          <w:tcPr>
            <w:tcW w:w="940" w:type="dxa"/>
          </w:tcPr>
          <w:p w14:paraId="5909567F">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5237" w:type="dxa"/>
          </w:tcPr>
          <w:p w14:paraId="56483E8C">
            <w:pPr>
              <w:autoSpaceDE w:val="0"/>
              <w:autoSpaceDN w:val="0"/>
              <w:adjustRightInd w:val="0"/>
              <w:snapToGrid w:val="0"/>
              <w:spacing w:line="360" w:lineRule="auto"/>
              <w:jc w:val="left"/>
              <w:rPr>
                <w:rFonts w:ascii="Times New Roman" w:hAnsi="Times New Roman" w:eastAsia="仿宋_GB2312" w:cs="Times New Roman"/>
                <w:iCs/>
                <w:szCs w:val="21"/>
              </w:rPr>
            </w:pPr>
            <w:r>
              <w:rPr>
                <w:rFonts w:ascii="Times New Roman" w:hAnsi="Times New Roman" w:eastAsia="仿宋_GB2312" w:cs="Times New Roman"/>
                <w:szCs w:val="21"/>
              </w:rPr>
              <w:t>合同签订后90天内交货并完成安装调试</w:t>
            </w:r>
          </w:p>
        </w:tc>
      </w:tr>
      <w:tr w14:paraId="30CD8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51CFFD8D">
            <w:pPr>
              <w:autoSpaceDE w:val="0"/>
              <w:autoSpaceDN w:val="0"/>
              <w:adjustRightInd w:val="0"/>
              <w:snapToGrid w:val="0"/>
              <w:jc w:val="center"/>
              <w:rPr>
                <w:rFonts w:ascii="Times New Roman" w:hAnsi="Times New Roman" w:eastAsia="仿宋_GB2312" w:cs="Times New Roman"/>
                <w:snapToGrid w:val="0"/>
                <w:kern w:val="0"/>
                <w:szCs w:val="21"/>
              </w:rPr>
            </w:pPr>
            <w:r>
              <w:rPr>
                <w:rFonts w:ascii="Times New Roman" w:hAnsi="Times New Roman" w:eastAsia="仿宋_GB2312" w:cs="Times New Roman"/>
                <w:snapToGrid w:val="0"/>
                <w:kern w:val="0"/>
                <w:szCs w:val="21"/>
              </w:rPr>
              <w:t>2</w:t>
            </w:r>
          </w:p>
        </w:tc>
        <w:tc>
          <w:tcPr>
            <w:tcW w:w="1603" w:type="dxa"/>
            <w:vAlign w:val="center"/>
          </w:tcPr>
          <w:p w14:paraId="333EFE36">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交货/服务/建设地点</w:t>
            </w:r>
          </w:p>
        </w:tc>
        <w:tc>
          <w:tcPr>
            <w:tcW w:w="940" w:type="dxa"/>
            <w:vAlign w:val="center"/>
          </w:tcPr>
          <w:p w14:paraId="12AB3E5A">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5237" w:type="dxa"/>
            <w:vAlign w:val="center"/>
          </w:tcPr>
          <w:p w14:paraId="4E83C947">
            <w:pPr>
              <w:autoSpaceDE w:val="0"/>
              <w:autoSpaceDN w:val="0"/>
              <w:adjustRightInd w:val="0"/>
              <w:snapToGrid w:val="0"/>
              <w:spacing w:line="360" w:lineRule="auto"/>
              <w:jc w:val="left"/>
              <w:rPr>
                <w:rFonts w:ascii="Times New Roman" w:hAnsi="Times New Roman" w:eastAsia="仿宋_GB2312" w:cs="Times New Roman"/>
                <w:i/>
                <w:snapToGrid w:val="0"/>
                <w:kern w:val="0"/>
                <w:szCs w:val="21"/>
                <w:lang w:val="zh-CN"/>
              </w:rPr>
            </w:pPr>
            <w:r>
              <w:rPr>
                <w:rFonts w:ascii="Times New Roman" w:hAnsi="Times New Roman" w:eastAsia="仿宋_GB2312" w:cs="Times New Roman"/>
                <w:iCs/>
                <w:snapToGrid w:val="0"/>
                <w:kern w:val="0"/>
                <w:szCs w:val="21"/>
                <w:lang w:val="zh-CN"/>
              </w:rPr>
              <w:t>采购人指定地点。</w:t>
            </w:r>
          </w:p>
        </w:tc>
      </w:tr>
      <w:tr w14:paraId="293AF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57B48B8A">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3</w:t>
            </w:r>
          </w:p>
        </w:tc>
        <w:tc>
          <w:tcPr>
            <w:tcW w:w="1603" w:type="dxa"/>
            <w:vAlign w:val="center"/>
          </w:tcPr>
          <w:p w14:paraId="445A0E2A">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质保期</w:t>
            </w:r>
          </w:p>
        </w:tc>
        <w:tc>
          <w:tcPr>
            <w:tcW w:w="940" w:type="dxa"/>
            <w:vAlign w:val="center"/>
          </w:tcPr>
          <w:p w14:paraId="4DDE43B7">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5237" w:type="dxa"/>
            <w:vAlign w:val="center"/>
          </w:tcPr>
          <w:p w14:paraId="62D890E1">
            <w:pPr>
              <w:autoSpaceDE w:val="0"/>
              <w:autoSpaceDN w:val="0"/>
              <w:adjustRightInd w:val="0"/>
              <w:snapToGrid w:val="0"/>
              <w:spacing w:line="360" w:lineRule="auto"/>
              <w:jc w:val="left"/>
              <w:rPr>
                <w:rFonts w:ascii="Times New Roman" w:hAnsi="Times New Roman" w:eastAsia="仿宋_GB2312" w:cs="Times New Roman"/>
                <w:i/>
                <w:snapToGrid w:val="0"/>
                <w:kern w:val="0"/>
                <w:szCs w:val="21"/>
                <w:lang w:val="zh-CN"/>
              </w:rPr>
            </w:pPr>
            <w:r>
              <w:rPr>
                <w:rFonts w:ascii="Times New Roman" w:hAnsi="Times New Roman" w:eastAsia="仿宋_GB2312" w:cs="Times New Roman"/>
                <w:iCs/>
                <w:snapToGrid w:val="0"/>
                <w:kern w:val="0"/>
                <w:szCs w:val="21"/>
                <w:lang w:val="zh-CN"/>
              </w:rPr>
              <w:t>自验收合格之日起计算</w:t>
            </w:r>
            <w:r>
              <w:rPr>
                <w:rFonts w:ascii="Times New Roman" w:hAnsi="Times New Roman" w:eastAsia="仿宋_GB2312" w:cs="Times New Roman"/>
                <w:iCs/>
                <w:snapToGrid w:val="0"/>
                <w:kern w:val="0"/>
                <w:szCs w:val="21"/>
              </w:rPr>
              <w:t>，</w:t>
            </w:r>
            <w:r>
              <w:rPr>
                <w:rFonts w:ascii="Times New Roman" w:hAnsi="Times New Roman" w:eastAsia="仿宋_GB2312" w:cs="Times New Roman"/>
                <w:iCs/>
                <w:snapToGrid w:val="0"/>
                <w:kern w:val="0"/>
                <w:szCs w:val="21"/>
                <w:lang w:val="zh-CN"/>
              </w:rPr>
              <w:t>所有硬件</w:t>
            </w:r>
            <w:r>
              <w:rPr>
                <w:rFonts w:ascii="Times New Roman" w:hAnsi="Times New Roman" w:eastAsia="仿宋_GB2312" w:cs="Times New Roman"/>
                <w:iCs/>
                <w:snapToGrid w:val="0"/>
                <w:kern w:val="0"/>
                <w:szCs w:val="21"/>
              </w:rPr>
              <w:t>2</w:t>
            </w:r>
            <w:r>
              <w:rPr>
                <w:rFonts w:ascii="Times New Roman" w:hAnsi="Times New Roman" w:eastAsia="仿宋_GB2312" w:cs="Times New Roman"/>
                <w:iCs/>
                <w:snapToGrid w:val="0"/>
                <w:kern w:val="0"/>
                <w:szCs w:val="21"/>
                <w:lang w:val="zh-CN"/>
              </w:rPr>
              <w:t>年免费保修、所有软件</w:t>
            </w:r>
            <w:r>
              <w:rPr>
                <w:rFonts w:ascii="Times New Roman" w:hAnsi="Times New Roman" w:eastAsia="仿宋_GB2312" w:cs="Times New Roman"/>
                <w:iCs/>
                <w:snapToGrid w:val="0"/>
                <w:kern w:val="0"/>
                <w:szCs w:val="21"/>
              </w:rPr>
              <w:t>终身</w:t>
            </w:r>
            <w:r>
              <w:rPr>
                <w:rFonts w:ascii="Times New Roman" w:hAnsi="Times New Roman" w:eastAsia="仿宋_GB2312" w:cs="Times New Roman"/>
                <w:iCs/>
                <w:snapToGrid w:val="0"/>
                <w:kern w:val="0"/>
                <w:szCs w:val="21"/>
                <w:lang w:val="zh-CN"/>
              </w:rPr>
              <w:t>免费升级</w:t>
            </w:r>
            <w:r>
              <w:rPr>
                <w:rFonts w:ascii="Times New Roman" w:hAnsi="Times New Roman" w:eastAsia="仿宋_GB2312" w:cs="Times New Roman"/>
                <w:iCs/>
                <w:snapToGrid w:val="0"/>
                <w:kern w:val="0"/>
                <w:szCs w:val="21"/>
              </w:rPr>
              <w:t>.</w:t>
            </w:r>
          </w:p>
        </w:tc>
      </w:tr>
      <w:tr w14:paraId="16F2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692F268">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4</w:t>
            </w:r>
          </w:p>
        </w:tc>
        <w:tc>
          <w:tcPr>
            <w:tcW w:w="1603" w:type="dxa"/>
            <w:vAlign w:val="center"/>
          </w:tcPr>
          <w:p w14:paraId="5E6A5C8A">
            <w:pPr>
              <w:widowControl/>
              <w:autoSpaceDE w:val="0"/>
              <w:autoSpaceDN w:val="0"/>
              <w:adjustRightInd w:val="0"/>
              <w:snapToGrid w:val="0"/>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包装和运输</w:t>
            </w:r>
          </w:p>
        </w:tc>
        <w:tc>
          <w:tcPr>
            <w:tcW w:w="940" w:type="dxa"/>
          </w:tcPr>
          <w:p w14:paraId="316D1564">
            <w:pPr>
              <w:widowControl/>
              <w:autoSpaceDE w:val="0"/>
              <w:autoSpaceDN w:val="0"/>
              <w:adjustRightInd w:val="0"/>
              <w:snapToGrid w:val="0"/>
              <w:rPr>
                <w:rFonts w:ascii="Times New Roman" w:hAnsi="Times New Roman" w:eastAsia="仿宋_GB2312" w:cs="Times New Roman"/>
                <w:snapToGrid w:val="0"/>
                <w:kern w:val="0"/>
                <w:szCs w:val="21"/>
                <w:lang w:val="zh-CN"/>
              </w:rPr>
            </w:pPr>
          </w:p>
        </w:tc>
        <w:tc>
          <w:tcPr>
            <w:tcW w:w="5237" w:type="dxa"/>
          </w:tcPr>
          <w:p w14:paraId="40DA6F73">
            <w:pPr>
              <w:widowControl/>
              <w:autoSpaceDE w:val="0"/>
              <w:autoSpaceDN w:val="0"/>
              <w:adjustRightInd w:val="0"/>
              <w:snapToGrid w:val="0"/>
              <w:jc w:val="left"/>
              <w:rPr>
                <w:rFonts w:ascii="Times New Roman" w:hAnsi="Times New Roman" w:eastAsia="仿宋_GB2312" w:cs="Times New Roman"/>
                <w:snapToGrid w:val="0"/>
                <w:kern w:val="0"/>
                <w:szCs w:val="21"/>
                <w:lang w:val="zh-CN"/>
              </w:rPr>
            </w:pPr>
            <w:r>
              <w:rPr>
                <w:rFonts w:ascii="Times New Roman" w:hAnsi="Times New Roman" w:eastAsia="仿宋_GB2312" w:cs="Times New Roman"/>
                <w:iCs/>
                <w:snapToGrid w:val="0"/>
                <w:kern w:val="0"/>
                <w:szCs w:val="21"/>
                <w:lang w:val="zh-CN"/>
              </w:rPr>
              <w:t>供应商应提供货物（货物需为原厂包装）运至项目现场所需要的包装，以防止设备在运输中损坏或丢失。</w:t>
            </w:r>
          </w:p>
        </w:tc>
      </w:tr>
      <w:tr w14:paraId="682F6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6D1741E5">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5</w:t>
            </w:r>
          </w:p>
        </w:tc>
        <w:tc>
          <w:tcPr>
            <w:tcW w:w="1603" w:type="dxa"/>
            <w:vAlign w:val="center"/>
          </w:tcPr>
          <w:p w14:paraId="3047E28E">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服务标准/</w:t>
            </w:r>
          </w:p>
          <w:p w14:paraId="50CB3EDF">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售后服务要求</w:t>
            </w:r>
          </w:p>
        </w:tc>
        <w:tc>
          <w:tcPr>
            <w:tcW w:w="940" w:type="dxa"/>
          </w:tcPr>
          <w:p w14:paraId="2037D053">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p>
        </w:tc>
        <w:tc>
          <w:tcPr>
            <w:tcW w:w="5237" w:type="dxa"/>
          </w:tcPr>
          <w:p w14:paraId="183FB56E">
            <w:pPr>
              <w:widowControl/>
              <w:autoSpaceDE w:val="0"/>
              <w:autoSpaceDN w:val="0"/>
              <w:adjustRightInd w:val="0"/>
              <w:snapToGrid w:val="0"/>
              <w:rPr>
                <w:rFonts w:ascii="Times New Roman" w:hAnsi="Times New Roman" w:eastAsia="仿宋_GB2312" w:cs="Times New Roman"/>
                <w:iCs/>
                <w:snapToGrid w:val="0"/>
                <w:kern w:val="0"/>
                <w:szCs w:val="21"/>
                <w:lang w:val="zh-CN"/>
              </w:rPr>
            </w:pPr>
            <w:r>
              <w:rPr>
                <w:rFonts w:ascii="Times New Roman" w:hAnsi="Times New Roman" w:eastAsia="仿宋_GB2312" w:cs="Times New Roman"/>
                <w:iCs/>
                <w:snapToGrid w:val="0"/>
                <w:kern w:val="0"/>
                <w:szCs w:val="21"/>
                <w:lang w:val="zh-CN"/>
              </w:rPr>
              <w:t>电话报修后</w:t>
            </w:r>
            <w:r>
              <w:rPr>
                <w:rFonts w:ascii="Times New Roman" w:hAnsi="Times New Roman" w:eastAsia="仿宋_GB2312" w:cs="Times New Roman"/>
                <w:iCs/>
                <w:snapToGrid w:val="0"/>
                <w:kern w:val="0"/>
                <w:szCs w:val="21"/>
              </w:rPr>
              <w:t>48</w:t>
            </w:r>
            <w:r>
              <w:rPr>
                <w:rFonts w:ascii="Times New Roman" w:hAnsi="Times New Roman" w:eastAsia="仿宋_GB2312" w:cs="Times New Roman"/>
                <w:iCs/>
                <w:snapToGrid w:val="0"/>
                <w:kern w:val="0"/>
                <w:szCs w:val="21"/>
                <w:lang w:val="zh-CN"/>
              </w:rPr>
              <w:t>小时上门服务、</w:t>
            </w:r>
            <w:r>
              <w:rPr>
                <w:rFonts w:ascii="Times New Roman" w:hAnsi="Times New Roman" w:eastAsia="仿宋_GB2312" w:cs="Times New Roman"/>
                <w:iCs/>
                <w:snapToGrid w:val="0"/>
                <w:kern w:val="0"/>
                <w:szCs w:val="21"/>
              </w:rPr>
              <w:t>72</w:t>
            </w:r>
            <w:r>
              <w:rPr>
                <w:rFonts w:ascii="Times New Roman" w:hAnsi="Times New Roman" w:eastAsia="仿宋_GB2312" w:cs="Times New Roman"/>
                <w:iCs/>
                <w:snapToGrid w:val="0"/>
                <w:kern w:val="0"/>
                <w:szCs w:val="21"/>
                <w:lang w:val="zh-CN"/>
              </w:rPr>
              <w:t>小时内排除故障</w:t>
            </w:r>
            <w:r>
              <w:rPr>
                <w:rFonts w:ascii="Times New Roman" w:hAnsi="Times New Roman" w:eastAsia="仿宋_GB2312" w:cs="Times New Roman"/>
                <w:iCs/>
                <w:snapToGrid w:val="0"/>
                <w:kern w:val="0"/>
                <w:szCs w:val="21"/>
              </w:rPr>
              <w:t>或找到解决方案</w:t>
            </w:r>
            <w:r>
              <w:rPr>
                <w:rFonts w:ascii="Times New Roman" w:hAnsi="Times New Roman" w:eastAsia="仿宋_GB2312" w:cs="Times New Roman"/>
                <w:iCs/>
                <w:snapToGrid w:val="0"/>
                <w:kern w:val="0"/>
                <w:szCs w:val="21"/>
                <w:lang w:val="zh-CN"/>
              </w:rPr>
              <w:t>。</w:t>
            </w:r>
          </w:p>
          <w:p w14:paraId="5F1FF60E">
            <w:pPr>
              <w:widowControl/>
              <w:autoSpaceDE w:val="0"/>
              <w:autoSpaceDN w:val="0"/>
              <w:adjustRightInd w:val="0"/>
              <w:snapToGrid w:val="0"/>
              <w:rPr>
                <w:rFonts w:ascii="Times New Roman" w:hAnsi="Times New Roman" w:eastAsia="仿宋_GB2312" w:cs="Times New Roman"/>
                <w:iCs/>
                <w:snapToGrid w:val="0"/>
                <w:kern w:val="0"/>
                <w:szCs w:val="21"/>
                <w:lang w:val="zh-CN"/>
              </w:rPr>
            </w:pPr>
            <w:r>
              <w:rPr>
                <w:rFonts w:ascii="Times New Roman" w:hAnsi="Times New Roman" w:eastAsia="仿宋_GB2312" w:cs="Times New Roman"/>
                <w:iCs/>
                <w:snapToGrid w:val="0"/>
                <w:kern w:val="0"/>
                <w:szCs w:val="21"/>
                <w:lang w:val="zh-CN"/>
              </w:rPr>
              <w:t>所有硬件过免费保修期后、所有软件过免费保修升级期后继续提供技术支持，硬件优惠收取配件费用（参考投标所列价格或合同签订时的价格进行折扣优惠），软件优惠进行维修升级，响应速度同保修期响应速度。</w:t>
            </w:r>
          </w:p>
        </w:tc>
      </w:tr>
      <w:tr w14:paraId="10D73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C9C0A9C">
            <w:pPr>
              <w:autoSpaceDE w:val="0"/>
              <w:autoSpaceDN w:val="0"/>
              <w:adjustRightInd w:val="0"/>
              <w:snapToGrid w:val="0"/>
              <w:jc w:val="center"/>
              <w:rPr>
                <w:rFonts w:ascii="Times New Roman" w:hAnsi="Times New Roman" w:eastAsia="仿宋_GB2312" w:cs="Times New Roman"/>
                <w:snapToGrid w:val="0"/>
                <w:kern w:val="0"/>
                <w:szCs w:val="21"/>
              </w:rPr>
            </w:pPr>
            <w:r>
              <w:rPr>
                <w:rFonts w:ascii="Times New Roman" w:hAnsi="Times New Roman" w:eastAsia="仿宋_GB2312" w:cs="Times New Roman"/>
                <w:snapToGrid w:val="0"/>
                <w:kern w:val="0"/>
                <w:szCs w:val="21"/>
              </w:rPr>
              <w:t>6</w:t>
            </w:r>
          </w:p>
        </w:tc>
        <w:tc>
          <w:tcPr>
            <w:tcW w:w="1603" w:type="dxa"/>
            <w:vAlign w:val="center"/>
          </w:tcPr>
          <w:p w14:paraId="094FED00">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安装调试</w:t>
            </w:r>
          </w:p>
        </w:tc>
        <w:tc>
          <w:tcPr>
            <w:tcW w:w="940" w:type="dxa"/>
          </w:tcPr>
          <w:p w14:paraId="5A43C2E2">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p>
        </w:tc>
        <w:tc>
          <w:tcPr>
            <w:tcW w:w="5237" w:type="dxa"/>
            <w:vAlign w:val="center"/>
          </w:tcPr>
          <w:p w14:paraId="7498468B">
            <w:pPr>
              <w:widowControl/>
              <w:autoSpaceDE w:val="0"/>
              <w:autoSpaceDN w:val="0"/>
              <w:adjustRightInd w:val="0"/>
              <w:snapToGrid w:val="0"/>
              <w:rPr>
                <w:rFonts w:ascii="Times New Roman" w:hAnsi="Times New Roman" w:eastAsia="仿宋_GB2312" w:cs="Times New Roman"/>
                <w:i/>
                <w:snapToGrid w:val="0"/>
                <w:kern w:val="0"/>
                <w:szCs w:val="21"/>
                <w:lang w:val="zh-CN"/>
              </w:rPr>
            </w:pPr>
            <w:r>
              <w:rPr>
                <w:rFonts w:ascii="Times New Roman" w:hAnsi="Times New Roman" w:eastAsia="仿宋_GB2312" w:cs="Times New Roman"/>
                <w:iCs/>
                <w:snapToGrid w:val="0"/>
                <w:kern w:val="0"/>
                <w:szCs w:val="21"/>
                <w:lang w:val="zh-CN"/>
              </w:rPr>
              <w:t>安装和调试过程中需要的专用器具和其他物资由供应商负责，采购人负责相应的现场协调等方面的协调配合工作。安装与调试所产生费用由供应商承担。</w:t>
            </w:r>
          </w:p>
        </w:tc>
      </w:tr>
      <w:tr w14:paraId="7363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BA5701B">
            <w:pPr>
              <w:autoSpaceDE w:val="0"/>
              <w:autoSpaceDN w:val="0"/>
              <w:adjustRightInd w:val="0"/>
              <w:snapToGrid w:val="0"/>
              <w:jc w:val="center"/>
              <w:rPr>
                <w:rFonts w:ascii="Times New Roman" w:hAnsi="Times New Roman" w:eastAsia="仿宋_GB2312" w:cs="Times New Roman"/>
                <w:snapToGrid w:val="0"/>
                <w:kern w:val="0"/>
                <w:szCs w:val="21"/>
              </w:rPr>
            </w:pPr>
            <w:r>
              <w:rPr>
                <w:rFonts w:ascii="Times New Roman" w:hAnsi="Times New Roman" w:eastAsia="仿宋_GB2312" w:cs="Times New Roman"/>
                <w:snapToGrid w:val="0"/>
                <w:kern w:val="0"/>
                <w:szCs w:val="21"/>
              </w:rPr>
              <w:t>7</w:t>
            </w:r>
          </w:p>
        </w:tc>
        <w:tc>
          <w:tcPr>
            <w:tcW w:w="1603" w:type="dxa"/>
            <w:vAlign w:val="center"/>
          </w:tcPr>
          <w:p w14:paraId="04CA84F1">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培训要求</w:t>
            </w:r>
          </w:p>
        </w:tc>
        <w:tc>
          <w:tcPr>
            <w:tcW w:w="940" w:type="dxa"/>
          </w:tcPr>
          <w:p w14:paraId="685ACFD0">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p>
        </w:tc>
        <w:tc>
          <w:tcPr>
            <w:tcW w:w="5237" w:type="dxa"/>
            <w:vAlign w:val="center"/>
          </w:tcPr>
          <w:p w14:paraId="7EE35C97">
            <w:pPr>
              <w:widowControl/>
              <w:autoSpaceDE w:val="0"/>
              <w:autoSpaceDN w:val="0"/>
              <w:adjustRightInd w:val="0"/>
              <w:snapToGrid w:val="0"/>
              <w:rPr>
                <w:rFonts w:ascii="Times New Roman" w:hAnsi="Times New Roman" w:eastAsia="仿宋_GB2312" w:cs="Times New Roman"/>
                <w:i/>
                <w:snapToGrid w:val="0"/>
                <w:kern w:val="0"/>
                <w:szCs w:val="21"/>
                <w:lang w:val="zh-CN"/>
              </w:rPr>
            </w:pPr>
            <w:r>
              <w:rPr>
                <w:rFonts w:ascii="Times New Roman" w:hAnsi="Times New Roman" w:eastAsia="仿宋_GB2312" w:cs="Times New Roman"/>
                <w:iCs/>
                <w:snapToGrid w:val="0"/>
                <w:kern w:val="0"/>
                <w:szCs w:val="21"/>
                <w:lang w:val="zh-CN"/>
              </w:rPr>
              <w:t>提供2天以上现场培训，交通等与培训相关的费用均由成交供应商承担。</w:t>
            </w:r>
          </w:p>
        </w:tc>
      </w:tr>
      <w:tr w14:paraId="516D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D92AA02">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8</w:t>
            </w:r>
          </w:p>
        </w:tc>
        <w:tc>
          <w:tcPr>
            <w:tcW w:w="1603" w:type="dxa"/>
            <w:vAlign w:val="center"/>
          </w:tcPr>
          <w:p w14:paraId="5E90FF7E">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验收标准</w:t>
            </w:r>
          </w:p>
        </w:tc>
        <w:tc>
          <w:tcPr>
            <w:tcW w:w="940" w:type="dxa"/>
          </w:tcPr>
          <w:p w14:paraId="7BA66CC5">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5237" w:type="dxa"/>
          </w:tcPr>
          <w:p w14:paraId="3AA7C644">
            <w:pPr>
              <w:widowControl/>
              <w:autoSpaceDE w:val="0"/>
              <w:autoSpaceDN w:val="0"/>
              <w:adjustRightInd w:val="0"/>
              <w:snapToGrid w:val="0"/>
              <w:jc w:val="left"/>
              <w:rPr>
                <w:rFonts w:ascii="Times New Roman" w:hAnsi="Times New Roman" w:eastAsia="仿宋_GB2312" w:cs="Times New Roman"/>
                <w:snapToGrid w:val="0"/>
                <w:kern w:val="0"/>
                <w:szCs w:val="21"/>
                <w:lang w:val="zh-CN"/>
              </w:rPr>
            </w:pPr>
            <w:r>
              <w:rPr>
                <w:rFonts w:ascii="Times New Roman" w:hAnsi="Times New Roman" w:eastAsia="仿宋_GB2312" w:cs="Times New Roman"/>
                <w:iCs/>
                <w:snapToGrid w:val="0"/>
                <w:kern w:val="0"/>
                <w:szCs w:val="21"/>
                <w:lang w:val="zh-CN"/>
              </w:rPr>
              <w:t>按照供应商响应文件及采购文件确定的技术和服务指标进行验收。</w:t>
            </w:r>
          </w:p>
        </w:tc>
      </w:tr>
      <w:tr w14:paraId="0FF8A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118D2DD">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9</w:t>
            </w:r>
          </w:p>
        </w:tc>
        <w:tc>
          <w:tcPr>
            <w:tcW w:w="1603" w:type="dxa"/>
            <w:vAlign w:val="center"/>
          </w:tcPr>
          <w:p w14:paraId="305E2281">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付款方式</w:t>
            </w:r>
          </w:p>
        </w:tc>
        <w:tc>
          <w:tcPr>
            <w:tcW w:w="940" w:type="dxa"/>
          </w:tcPr>
          <w:p w14:paraId="265E8DE0">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5237" w:type="dxa"/>
            <w:vAlign w:val="center"/>
          </w:tcPr>
          <w:p w14:paraId="147595A5">
            <w:pPr>
              <w:widowControl/>
              <w:autoSpaceDE w:val="0"/>
              <w:autoSpaceDN w:val="0"/>
              <w:adjustRightInd w:val="0"/>
              <w:snapToGrid w:val="0"/>
              <w:rPr>
                <w:rFonts w:ascii="Times New Roman" w:hAnsi="Times New Roman" w:eastAsia="仿宋_GB2312" w:cs="Times New Roman"/>
                <w:iCs/>
                <w:snapToGrid w:val="0"/>
                <w:kern w:val="0"/>
                <w:szCs w:val="21"/>
                <w:lang w:val="zh-CN"/>
              </w:rPr>
            </w:pPr>
            <w:r>
              <w:rPr>
                <w:rFonts w:ascii="Times New Roman" w:hAnsi="Times New Roman" w:eastAsia="仿宋_GB2312" w:cs="Times New Roman"/>
                <w:iCs/>
                <w:snapToGrid w:val="0"/>
                <w:kern w:val="0"/>
                <w:szCs w:val="21"/>
                <w:lang w:val="zh-CN"/>
              </w:rPr>
              <w:t>仪器设备安装调试到位并验收合格后，支付至合同总金额的95%，余款在运行一年无质量问题后一次性付清。</w:t>
            </w:r>
          </w:p>
          <w:p w14:paraId="7DFA8CCD">
            <w:pPr>
              <w:widowControl/>
              <w:autoSpaceDE w:val="0"/>
              <w:autoSpaceDN w:val="0"/>
              <w:adjustRightInd w:val="0"/>
              <w:snapToGrid w:val="0"/>
              <w:rPr>
                <w:rFonts w:ascii="Times New Roman" w:hAnsi="Times New Roman" w:eastAsia="仿宋_GB2312" w:cs="Times New Roman"/>
                <w:snapToGrid w:val="0"/>
                <w:kern w:val="0"/>
                <w:szCs w:val="21"/>
                <w:lang w:val="zh-CN"/>
              </w:rPr>
            </w:pPr>
            <w:r>
              <w:rPr>
                <w:rFonts w:ascii="Times New Roman" w:hAnsi="Times New Roman" w:eastAsia="仿宋_GB2312" w:cs="Times New Roman"/>
                <w:iCs/>
                <w:snapToGrid w:val="0"/>
                <w:kern w:val="0"/>
                <w:szCs w:val="21"/>
                <w:lang w:val="zh-CN"/>
              </w:rPr>
              <w:t>若中标人为中小企业，将落实《保障中小企业款项支付条例》。</w:t>
            </w:r>
          </w:p>
        </w:tc>
      </w:tr>
      <w:tr w14:paraId="024C0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09E7959">
            <w:pPr>
              <w:autoSpaceDE w:val="0"/>
              <w:autoSpaceDN w:val="0"/>
              <w:adjustRightInd w:val="0"/>
              <w:snapToGrid w:val="0"/>
              <w:jc w:val="center"/>
              <w:rPr>
                <w:rFonts w:ascii="Times New Roman" w:hAnsi="Times New Roman" w:eastAsia="仿宋_GB2312" w:cs="Times New Roman"/>
                <w:snapToGrid w:val="0"/>
                <w:kern w:val="0"/>
                <w:szCs w:val="21"/>
              </w:rPr>
            </w:pPr>
            <w:r>
              <w:rPr>
                <w:rFonts w:ascii="Times New Roman" w:hAnsi="Times New Roman" w:eastAsia="仿宋_GB2312" w:cs="Times New Roman"/>
                <w:snapToGrid w:val="0"/>
                <w:kern w:val="0"/>
                <w:szCs w:val="21"/>
              </w:rPr>
              <w:t>10</w:t>
            </w:r>
          </w:p>
        </w:tc>
        <w:tc>
          <w:tcPr>
            <w:tcW w:w="1603" w:type="dxa"/>
            <w:vAlign w:val="center"/>
          </w:tcPr>
          <w:p w14:paraId="6AA22F22">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备品备件</w:t>
            </w:r>
          </w:p>
        </w:tc>
        <w:tc>
          <w:tcPr>
            <w:tcW w:w="940" w:type="dxa"/>
          </w:tcPr>
          <w:p w14:paraId="6AF72974">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p>
        </w:tc>
        <w:tc>
          <w:tcPr>
            <w:tcW w:w="5237" w:type="dxa"/>
          </w:tcPr>
          <w:p w14:paraId="26FE3BE1">
            <w:pPr>
              <w:widowControl/>
              <w:autoSpaceDE w:val="0"/>
              <w:autoSpaceDN w:val="0"/>
              <w:adjustRightInd w:val="0"/>
              <w:snapToGrid w:val="0"/>
              <w:spacing w:line="360" w:lineRule="auto"/>
              <w:jc w:val="left"/>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质保期外提供全生命周期备件供应保障（承诺供应周期≥10年），常用备件需在用户提出需求后7个工作日内到货；提供备件价格清单，确保价格不高于市场同期水平。</w:t>
            </w:r>
          </w:p>
        </w:tc>
      </w:tr>
    </w:tbl>
    <w:p w14:paraId="21E52839">
      <w:pPr>
        <w:widowControl/>
        <w:ind w:firstLine="643" w:firstLineChars="200"/>
        <w:jc w:val="left"/>
        <w:rPr>
          <w:rFonts w:hint="eastAsia" w:ascii="仿宋_GB2312" w:hAnsi="宋体" w:eastAsia="仿宋_GB2312" w:cs="仿宋"/>
          <w:b/>
          <w:color w:val="000000"/>
          <w:kern w:val="0"/>
          <w:sz w:val="32"/>
          <w:szCs w:val="28"/>
          <w:shd w:val="clear" w:color="auto" w:fill="FFFFFF"/>
        </w:rPr>
      </w:pPr>
    </w:p>
    <w:p w14:paraId="715529D1">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6B322957">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本项目须落实节约能源、保护环境、促进中小企业发展、支持创新等政府采购政策。</w:t>
      </w:r>
    </w:p>
    <w:p w14:paraId="16FAF6DA">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（二）本项目为：</w:t>
      </w:r>
    </w:p>
    <w:p w14:paraId="34DCBBC6">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□专门面向中小企业采购项目</w:t>
      </w:r>
    </w:p>
    <w:p w14:paraId="131C65B6">
      <w:pPr>
        <w:spacing w:line="360" w:lineRule="auto"/>
        <w:ind w:firstLine="493"/>
        <w:jc w:val="left"/>
        <w:rPr>
          <w:rFonts w:hint="eastAsia"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4376B53C">
      <w:pPr>
        <w:spacing w:line="360" w:lineRule="auto"/>
        <w:ind w:firstLine="493"/>
        <w:jc w:val="left"/>
        <w:rPr>
          <w:rFonts w:hint="eastAsia" w:ascii="仿宋_GB2312" w:hAnsi="宋体" w:eastAsia="仿宋_GB2312"/>
          <w:sz w:val="24"/>
          <w:szCs w:val="24"/>
        </w:rPr>
      </w:pPr>
      <w:r>
        <w:rPr>
          <w:rFonts w:ascii="Segoe UI Symbol" w:hAnsi="Segoe UI Symbol" w:eastAsia="仿宋_GB2312" w:cs="Segoe UI Symbol"/>
          <w:sz w:val="24"/>
          <w:szCs w:val="24"/>
        </w:rPr>
        <w:t>☑</w:t>
      </w:r>
      <w:r>
        <w:rPr>
          <w:rFonts w:hint="eastAsia" w:ascii="仿宋_GB2312" w:hAnsi="宋体" w:eastAsia="仿宋_GB2312"/>
          <w:sz w:val="24"/>
          <w:szCs w:val="24"/>
        </w:rPr>
        <w:t>非专门面向中小企业采购项目</w:t>
      </w:r>
    </w:p>
    <w:p w14:paraId="3C138887">
      <w:pPr>
        <w:spacing w:line="360" w:lineRule="auto"/>
        <w:ind w:firstLine="493"/>
        <w:jc w:val="left"/>
        <w:rPr>
          <w:rFonts w:hint="eastAsia" w:ascii="仿宋_GB2312" w:hAnsi="宋体" w:eastAsia="仿宋_GB2312"/>
          <w:sz w:val="24"/>
          <w:szCs w:val="24"/>
          <w:u w:val="single"/>
        </w:rPr>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w:t>
      </w:r>
      <w:r>
        <w:rPr>
          <w:rFonts w:hint="eastAsia" w:ascii="仿宋_GB2312" w:hAnsi="宋体" w:eastAsia="仿宋_GB2312"/>
          <w:sz w:val="24"/>
          <w:szCs w:val="24"/>
          <w:u w:val="single"/>
          <w:lang w:val="en-US" w:eastAsia="zh-CN"/>
        </w:rPr>
        <w:t>工业</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w:t>
      </w:r>
    </w:p>
    <w:p w14:paraId="7F10332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2136A1"/>
    <w:multiLevelType w:val="multilevel"/>
    <w:tmpl w:val="032136A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F530BAC"/>
    <w:multiLevelType w:val="singleLevel"/>
    <w:tmpl w:val="0F530BAC"/>
    <w:lvl w:ilvl="0" w:tentative="0">
      <w:start w:val="2"/>
      <w:numFmt w:val="decimal"/>
      <w:lvlText w:val="%1."/>
      <w:lvlJc w:val="left"/>
      <w:pPr>
        <w:tabs>
          <w:tab w:val="left" w:pos="312"/>
        </w:tabs>
      </w:pPr>
    </w:lvl>
  </w:abstractNum>
  <w:abstractNum w:abstractNumId="2">
    <w:nsid w:val="0FDA5E0F"/>
    <w:multiLevelType w:val="singleLevel"/>
    <w:tmpl w:val="0FDA5E0F"/>
    <w:lvl w:ilvl="0" w:tentative="0">
      <w:start w:val="2"/>
      <w:numFmt w:val="decimal"/>
      <w:lvlText w:val="%1."/>
      <w:lvlJc w:val="left"/>
      <w:pPr>
        <w:tabs>
          <w:tab w:val="left" w:pos="312"/>
        </w:tabs>
      </w:pPr>
    </w:lvl>
  </w:abstractNum>
  <w:abstractNum w:abstractNumId="3">
    <w:nsid w:val="1ED203E5"/>
    <w:multiLevelType w:val="multilevel"/>
    <w:tmpl w:val="1ED203E5"/>
    <w:lvl w:ilvl="0" w:tentative="0">
      <w:start w:val="1"/>
      <w:numFmt w:val="japaneseCounting"/>
      <w:lvlText w:val="%1、"/>
      <w:lvlJc w:val="left"/>
      <w:pPr>
        <w:ind w:left="1452" w:hanging="720"/>
      </w:pPr>
      <w:rPr>
        <w:rFonts w:hint="default"/>
      </w:rPr>
    </w:lvl>
    <w:lvl w:ilvl="1" w:tentative="0">
      <w:start w:val="1"/>
      <w:numFmt w:val="lowerLetter"/>
      <w:lvlText w:val="%2)"/>
      <w:lvlJc w:val="left"/>
      <w:pPr>
        <w:ind w:left="1612" w:hanging="440"/>
      </w:pPr>
    </w:lvl>
    <w:lvl w:ilvl="2" w:tentative="0">
      <w:start w:val="1"/>
      <w:numFmt w:val="lowerRoman"/>
      <w:lvlText w:val="%3."/>
      <w:lvlJc w:val="right"/>
      <w:pPr>
        <w:ind w:left="2052" w:hanging="440"/>
      </w:pPr>
    </w:lvl>
    <w:lvl w:ilvl="3" w:tentative="0">
      <w:start w:val="1"/>
      <w:numFmt w:val="decimal"/>
      <w:lvlText w:val="%4."/>
      <w:lvlJc w:val="left"/>
      <w:pPr>
        <w:ind w:left="2492" w:hanging="440"/>
      </w:pPr>
    </w:lvl>
    <w:lvl w:ilvl="4" w:tentative="0">
      <w:start w:val="1"/>
      <w:numFmt w:val="lowerLetter"/>
      <w:lvlText w:val="%5)"/>
      <w:lvlJc w:val="left"/>
      <w:pPr>
        <w:ind w:left="2932" w:hanging="440"/>
      </w:pPr>
    </w:lvl>
    <w:lvl w:ilvl="5" w:tentative="0">
      <w:start w:val="1"/>
      <w:numFmt w:val="lowerRoman"/>
      <w:lvlText w:val="%6."/>
      <w:lvlJc w:val="right"/>
      <w:pPr>
        <w:ind w:left="3372" w:hanging="440"/>
      </w:pPr>
    </w:lvl>
    <w:lvl w:ilvl="6" w:tentative="0">
      <w:start w:val="1"/>
      <w:numFmt w:val="decimal"/>
      <w:lvlText w:val="%7."/>
      <w:lvlJc w:val="left"/>
      <w:pPr>
        <w:ind w:left="3812" w:hanging="440"/>
      </w:pPr>
    </w:lvl>
    <w:lvl w:ilvl="7" w:tentative="0">
      <w:start w:val="1"/>
      <w:numFmt w:val="lowerLetter"/>
      <w:lvlText w:val="%8)"/>
      <w:lvlJc w:val="left"/>
      <w:pPr>
        <w:ind w:left="4252" w:hanging="440"/>
      </w:pPr>
    </w:lvl>
    <w:lvl w:ilvl="8" w:tentative="0">
      <w:start w:val="1"/>
      <w:numFmt w:val="lowerRoman"/>
      <w:lvlText w:val="%9."/>
      <w:lvlJc w:val="right"/>
      <w:pPr>
        <w:ind w:left="4692" w:hanging="440"/>
      </w:pPr>
    </w:lvl>
  </w:abstractNum>
  <w:abstractNum w:abstractNumId="4">
    <w:nsid w:val="43816A9B"/>
    <w:multiLevelType w:val="multilevel"/>
    <w:tmpl w:val="43816A9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71C4D05"/>
    <w:multiLevelType w:val="singleLevel"/>
    <w:tmpl w:val="471C4D05"/>
    <w:lvl w:ilvl="0" w:tentative="0">
      <w:start w:val="2"/>
      <w:numFmt w:val="decimal"/>
      <w:lvlText w:val="%1."/>
      <w:lvlJc w:val="left"/>
      <w:pPr>
        <w:tabs>
          <w:tab w:val="left" w:pos="312"/>
        </w:tabs>
      </w:pPr>
    </w:lvl>
  </w:abstractNum>
  <w:abstractNum w:abstractNumId="6">
    <w:nsid w:val="53CE3FE1"/>
    <w:multiLevelType w:val="multilevel"/>
    <w:tmpl w:val="53CE3FE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54725498"/>
    <w:multiLevelType w:val="multilevel"/>
    <w:tmpl w:val="5472549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75976193"/>
    <w:multiLevelType w:val="multilevel"/>
    <w:tmpl w:val="7597619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78487C39"/>
    <w:multiLevelType w:val="singleLevel"/>
    <w:tmpl w:val="78487C39"/>
    <w:lvl w:ilvl="0" w:tentative="0">
      <w:start w:val="2"/>
      <w:numFmt w:val="decimal"/>
      <w:lvlText w:val="%1."/>
      <w:lvlJc w:val="left"/>
      <w:pPr>
        <w:tabs>
          <w:tab w:val="left" w:pos="312"/>
        </w:tabs>
      </w:pPr>
    </w:lvl>
  </w:abstractNum>
  <w:abstractNum w:abstractNumId="10">
    <w:nsid w:val="7B6D60D1"/>
    <w:multiLevelType w:val="singleLevel"/>
    <w:tmpl w:val="7B6D60D1"/>
    <w:lvl w:ilvl="0" w:tentative="0">
      <w:start w:val="2"/>
      <w:numFmt w:val="decimal"/>
      <w:lvlText w:val="%1."/>
      <w:lvlJc w:val="left"/>
      <w:pPr>
        <w:tabs>
          <w:tab w:val="left" w:pos="312"/>
        </w:tabs>
      </w:pPr>
    </w:lvl>
  </w:abstractNum>
  <w:num w:numId="1">
    <w:abstractNumId w:val="3"/>
  </w:num>
  <w:num w:numId="2">
    <w:abstractNumId w:val="8"/>
  </w:num>
  <w:num w:numId="3">
    <w:abstractNumId w:val="4"/>
  </w:num>
  <w:num w:numId="4">
    <w:abstractNumId w:val="7"/>
  </w:num>
  <w:num w:numId="5">
    <w:abstractNumId w:val="9"/>
  </w:num>
  <w:num w:numId="6">
    <w:abstractNumId w:val="10"/>
  </w:num>
  <w:num w:numId="7">
    <w:abstractNumId w:val="2"/>
  </w:num>
  <w:num w:numId="8">
    <w:abstractNumId w:val="1"/>
  </w:num>
  <w:num w:numId="9">
    <w:abstractNumId w:val="0"/>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5DAD333C"/>
    <w:rsid w:val="000F5C3C"/>
    <w:rsid w:val="00127A31"/>
    <w:rsid w:val="00177639"/>
    <w:rsid w:val="001A0857"/>
    <w:rsid w:val="001A2C6E"/>
    <w:rsid w:val="003F2B4F"/>
    <w:rsid w:val="00471CBF"/>
    <w:rsid w:val="00514C0D"/>
    <w:rsid w:val="00547F13"/>
    <w:rsid w:val="005635AA"/>
    <w:rsid w:val="005E21FF"/>
    <w:rsid w:val="0060696F"/>
    <w:rsid w:val="00613721"/>
    <w:rsid w:val="006178FF"/>
    <w:rsid w:val="00625F51"/>
    <w:rsid w:val="006440B7"/>
    <w:rsid w:val="00664E6C"/>
    <w:rsid w:val="006E58B5"/>
    <w:rsid w:val="0070714B"/>
    <w:rsid w:val="007573B3"/>
    <w:rsid w:val="007679A7"/>
    <w:rsid w:val="00787D33"/>
    <w:rsid w:val="007A5F62"/>
    <w:rsid w:val="00815A3A"/>
    <w:rsid w:val="00824063"/>
    <w:rsid w:val="008C0CBD"/>
    <w:rsid w:val="008C6A9E"/>
    <w:rsid w:val="008D115F"/>
    <w:rsid w:val="00932DD5"/>
    <w:rsid w:val="00933C36"/>
    <w:rsid w:val="0094790C"/>
    <w:rsid w:val="00971B21"/>
    <w:rsid w:val="00974464"/>
    <w:rsid w:val="00974F2F"/>
    <w:rsid w:val="009C27AF"/>
    <w:rsid w:val="009C698B"/>
    <w:rsid w:val="009C7042"/>
    <w:rsid w:val="009E465E"/>
    <w:rsid w:val="00A1019F"/>
    <w:rsid w:val="00A36D51"/>
    <w:rsid w:val="00A42E19"/>
    <w:rsid w:val="00A500EC"/>
    <w:rsid w:val="00AB40F1"/>
    <w:rsid w:val="00AC5905"/>
    <w:rsid w:val="00AE1B45"/>
    <w:rsid w:val="00AF4F17"/>
    <w:rsid w:val="00BA61CC"/>
    <w:rsid w:val="00BB081F"/>
    <w:rsid w:val="00BB09A7"/>
    <w:rsid w:val="00BD1DE3"/>
    <w:rsid w:val="00C020EB"/>
    <w:rsid w:val="00C707F9"/>
    <w:rsid w:val="00C7618C"/>
    <w:rsid w:val="00D01ABE"/>
    <w:rsid w:val="00D268E4"/>
    <w:rsid w:val="00D33EDA"/>
    <w:rsid w:val="00D560F0"/>
    <w:rsid w:val="00D6672B"/>
    <w:rsid w:val="00D95936"/>
    <w:rsid w:val="00DA2FC1"/>
    <w:rsid w:val="00DB40EE"/>
    <w:rsid w:val="00EA08F5"/>
    <w:rsid w:val="00ED4A63"/>
    <w:rsid w:val="00F64D6D"/>
    <w:rsid w:val="00F76371"/>
    <w:rsid w:val="00FF6636"/>
    <w:rsid w:val="00FF6E3D"/>
    <w:rsid w:val="00FF73ED"/>
    <w:rsid w:val="20335FCE"/>
    <w:rsid w:val="2FB30381"/>
    <w:rsid w:val="554D1730"/>
    <w:rsid w:val="5702719D"/>
    <w:rsid w:val="5DAD3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link w:val="9"/>
    <w:uiPriority w:val="0"/>
    <w:pPr>
      <w:tabs>
        <w:tab w:val="center" w:pos="4153"/>
        <w:tab w:val="right" w:pos="8306"/>
      </w:tabs>
      <w:snapToGrid w:val="0"/>
      <w:jc w:val="left"/>
    </w:pPr>
    <w:rPr>
      <w:sz w:val="18"/>
      <w:szCs w:val="18"/>
    </w:rPr>
  </w:style>
  <w:style w:type="paragraph" w:styleId="5">
    <w:name w:val="header"/>
    <w:basedOn w:val="1"/>
    <w:link w:val="8"/>
    <w:uiPriority w:val="0"/>
    <w:pPr>
      <w:tabs>
        <w:tab w:val="center" w:pos="4153"/>
        <w:tab w:val="right" w:pos="8306"/>
      </w:tabs>
      <w:snapToGrid w:val="0"/>
      <w:jc w:val="center"/>
    </w:pPr>
    <w:rPr>
      <w:sz w:val="18"/>
      <w:szCs w:val="18"/>
    </w:rPr>
  </w:style>
  <w:style w:type="character" w:customStyle="1" w:styleId="8">
    <w:name w:val="页眉 字符"/>
    <w:basedOn w:val="7"/>
    <w:link w:val="5"/>
    <w:uiPriority w:val="0"/>
    <w:rPr>
      <w:kern w:val="2"/>
      <w:sz w:val="18"/>
      <w:szCs w:val="18"/>
    </w:rPr>
  </w:style>
  <w:style w:type="character" w:customStyle="1" w:styleId="9">
    <w:name w:val="页脚 字符"/>
    <w:basedOn w:val="7"/>
    <w:link w:val="4"/>
    <w:uiPriority w:val="0"/>
    <w:rPr>
      <w:kern w:val="2"/>
      <w:sz w:val="18"/>
      <w:szCs w:val="18"/>
    </w:rPr>
  </w:style>
  <w:style w:type="paragraph" w:styleId="1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11676</Words>
  <Characters>12676</Characters>
  <Lines>97</Lines>
  <Paragraphs>27</Paragraphs>
  <TotalTime>76</TotalTime>
  <ScaleCrop>false</ScaleCrop>
  <LinksUpToDate>false</LinksUpToDate>
  <CharactersWithSpaces>12849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2026-08-20T12:15:00Z</dcterms:created>
  <dc:creator>姜忠保</dc:creator>
  <cp:lastModifiedBy>地大</cp:lastModifiedBy>
  <dcterms:modified xsi:type="dcterms:W3CDTF">2026-08-21T09:13:52Z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748931384A324F9C8DA4A9A0C5303A16_13</vt:lpwstr>
  </property>
  <property fmtid="{D5CDD505-2E9C-101B-9397-08002B2CF9AE}" pid="4" name="KSOTemplateDocerSaveRecord">
    <vt:lpwstr>eyJoZGlkIjoiMzA1NjlhNjE3NTU3YTVjMzhiZDI3ODZkNzkwYTg1YTEiLCJ1c2VySWQiOiIxNzIyMTg0MDYyIn0=</vt:lpwstr>
  </property>
</Properties>
</file>