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jc w:val="center"/>
      </w:pPr>
      <w:bookmarkStart w:id="0" w:name="_GoBack"/>
      <w:bookmarkEnd w:id="0"/>
      <w:r>
        <w:rPr>
          <w:rFonts w:hint="eastAsia"/>
        </w:rPr>
        <w:t>中国地质大学（武汉）</w:t>
      </w:r>
    </w:p>
    <w:p>
      <w:pPr>
        <w:pStyle w:val="3"/>
        <w:jc w:val="center"/>
      </w:pPr>
      <w:r>
        <w:t>2023</w:t>
      </w:r>
      <w:r>
        <w:rPr>
          <w:rFonts w:hint="eastAsia"/>
        </w:rPr>
        <w:t>年老旧网络改造项目监理招标</w:t>
      </w:r>
    </w:p>
    <w:p>
      <w:pPr>
        <w:rPr>
          <w:sz w:val="44"/>
          <w:szCs w:val="36"/>
        </w:rPr>
      </w:pPr>
    </w:p>
    <w:p>
      <w:pPr>
        <w:rPr>
          <w:sz w:val="44"/>
          <w:szCs w:val="36"/>
        </w:rPr>
      </w:pPr>
    </w:p>
    <w:p>
      <w:pPr>
        <w:rPr>
          <w:sz w:val="44"/>
          <w:szCs w:val="36"/>
        </w:rPr>
      </w:pPr>
    </w:p>
    <w:p>
      <w:pPr>
        <w:jc w:val="right"/>
        <w:rPr>
          <w:sz w:val="32"/>
        </w:rPr>
      </w:pPr>
    </w:p>
    <w:p>
      <w:pPr>
        <w:jc w:val="right"/>
        <w:rPr>
          <w:sz w:val="32"/>
        </w:rPr>
      </w:pPr>
    </w:p>
    <w:p>
      <w:pPr>
        <w:jc w:val="right"/>
        <w:rPr>
          <w:sz w:val="32"/>
        </w:rPr>
      </w:pPr>
    </w:p>
    <w:p>
      <w:pPr>
        <w:jc w:val="center"/>
        <w:rPr>
          <w:b/>
          <w:bCs/>
          <w:sz w:val="48"/>
          <w:szCs w:val="40"/>
        </w:rPr>
      </w:pPr>
    </w:p>
    <w:p>
      <w:pPr>
        <w:jc w:val="center"/>
        <w:rPr>
          <w:b/>
          <w:bCs/>
          <w:sz w:val="48"/>
          <w:szCs w:val="40"/>
        </w:rPr>
      </w:pPr>
    </w:p>
    <w:p>
      <w:pPr>
        <w:jc w:val="center"/>
        <w:rPr>
          <w:b/>
          <w:bCs/>
          <w:sz w:val="48"/>
          <w:szCs w:val="40"/>
        </w:rPr>
      </w:pPr>
    </w:p>
    <w:p>
      <w:pPr>
        <w:jc w:val="center"/>
        <w:rPr>
          <w:b/>
          <w:bCs/>
          <w:sz w:val="48"/>
          <w:szCs w:val="40"/>
        </w:rPr>
      </w:pPr>
    </w:p>
    <w:p>
      <w:pPr>
        <w:pStyle w:val="2"/>
      </w:pPr>
    </w:p>
    <w:p>
      <w:pPr>
        <w:pStyle w:val="2"/>
      </w:pPr>
    </w:p>
    <w:p>
      <w:pPr>
        <w:pStyle w:val="2"/>
      </w:pPr>
    </w:p>
    <w:p>
      <w:pPr>
        <w:pStyle w:val="2"/>
      </w:pPr>
    </w:p>
    <w:p>
      <w:pPr>
        <w:pStyle w:val="2"/>
      </w:pPr>
    </w:p>
    <w:p>
      <w:pPr>
        <w:pStyle w:val="2"/>
      </w:pPr>
    </w:p>
    <w:p>
      <w:pPr>
        <w:jc w:val="center"/>
        <w:rPr>
          <w:b/>
          <w:bCs/>
          <w:sz w:val="48"/>
          <w:szCs w:val="40"/>
        </w:rPr>
      </w:pPr>
    </w:p>
    <w:p>
      <w:pPr>
        <w:jc w:val="center"/>
        <w:rPr>
          <w:rFonts w:ascii="黑体" w:hAnsi="黑体" w:eastAsia="黑体"/>
          <w:sz w:val="36"/>
          <w:szCs w:val="44"/>
        </w:rPr>
      </w:pPr>
      <w:r>
        <w:rPr>
          <w:rFonts w:hint="eastAsia" w:ascii="黑体" w:hAnsi="黑体" w:eastAsia="黑体"/>
          <w:sz w:val="36"/>
          <w:szCs w:val="44"/>
        </w:rPr>
        <w:t>信息化工作办公室</w:t>
      </w:r>
    </w:p>
    <w:p>
      <w:pPr>
        <w:jc w:val="center"/>
        <w:rPr>
          <w:rFonts w:ascii="黑体" w:hAnsi="黑体" w:eastAsia="黑体"/>
          <w:sz w:val="36"/>
          <w:szCs w:val="44"/>
        </w:rPr>
      </w:pPr>
      <w:r>
        <w:rPr>
          <w:rFonts w:hint="eastAsia" w:ascii="黑体" w:hAnsi="黑体" w:eastAsia="黑体"/>
          <w:sz w:val="36"/>
          <w:szCs w:val="44"/>
        </w:rPr>
        <w:t>202</w:t>
      </w:r>
      <w:r>
        <w:rPr>
          <w:rFonts w:ascii="黑体" w:hAnsi="黑体" w:eastAsia="黑体"/>
          <w:sz w:val="36"/>
          <w:szCs w:val="44"/>
        </w:rPr>
        <w:t>3</w:t>
      </w:r>
      <w:r>
        <w:rPr>
          <w:rFonts w:hint="eastAsia" w:ascii="黑体" w:hAnsi="黑体" w:eastAsia="黑体"/>
          <w:sz w:val="36"/>
          <w:szCs w:val="44"/>
        </w:rPr>
        <w:t>年</w:t>
      </w:r>
      <w:r>
        <w:rPr>
          <w:rFonts w:ascii="黑体" w:hAnsi="黑体" w:eastAsia="黑体"/>
          <w:sz w:val="36"/>
          <w:szCs w:val="44"/>
        </w:rPr>
        <w:t>4</w:t>
      </w:r>
      <w:r>
        <w:rPr>
          <w:rFonts w:hint="eastAsia" w:ascii="黑体" w:hAnsi="黑体" w:eastAsia="黑体"/>
          <w:sz w:val="36"/>
          <w:szCs w:val="44"/>
        </w:rPr>
        <w:t>月</w:t>
      </w:r>
      <w:r>
        <w:rPr>
          <w:rFonts w:ascii="黑体" w:hAnsi="黑体" w:eastAsia="黑体"/>
          <w:sz w:val="36"/>
          <w:szCs w:val="44"/>
        </w:rPr>
        <w:t>19</w:t>
      </w:r>
      <w:r>
        <w:rPr>
          <w:rFonts w:hint="eastAsia" w:ascii="黑体" w:hAnsi="黑体" w:eastAsia="黑体"/>
          <w:sz w:val="36"/>
          <w:szCs w:val="44"/>
        </w:rPr>
        <w:t>日</w:t>
      </w:r>
    </w:p>
    <w:p>
      <w:pPr>
        <w:rPr>
          <w:sz w:val="32"/>
        </w:rPr>
      </w:pPr>
    </w:p>
    <w:p>
      <w:pPr>
        <w:rPr>
          <w:sz w:val="44"/>
          <w:szCs w:val="36"/>
        </w:rPr>
      </w:pPr>
    </w:p>
    <w:p>
      <w:pPr>
        <w:pStyle w:val="4"/>
      </w:pPr>
      <w:r>
        <w:rPr>
          <w:rFonts w:hint="eastAsia"/>
        </w:rPr>
        <w:t>一、工程概况</w:t>
      </w:r>
    </w:p>
    <w:p>
      <w:pPr>
        <w:numPr>
          <w:ilvl w:val="0"/>
          <w:numId w:val="1"/>
        </w:numPr>
        <w:spacing w:line="360" w:lineRule="auto"/>
        <w:rPr>
          <w:rFonts w:ascii="宋体" w:hAnsi="宋体"/>
          <w:sz w:val="24"/>
        </w:rPr>
      </w:pPr>
      <w:r>
        <w:rPr>
          <w:rFonts w:hint="eastAsia" w:ascii="宋体" w:hAnsi="宋体"/>
          <w:b/>
          <w:bCs/>
          <w:sz w:val="24"/>
        </w:rPr>
        <w:t>工程名称</w:t>
      </w:r>
      <w:r>
        <w:rPr>
          <w:rFonts w:hint="eastAsia" w:ascii="宋体" w:hAnsi="宋体"/>
          <w:b/>
          <w:bCs/>
          <w:color w:val="000000" w:themeColor="text1"/>
          <w:sz w:val="24"/>
          <w14:textFill>
            <w14:solidFill>
              <w14:schemeClr w14:val="tx1"/>
            </w14:solidFill>
          </w14:textFill>
        </w:rPr>
        <w:t>:</w:t>
      </w:r>
      <w:r>
        <w:rPr>
          <w:rFonts w:hint="eastAsia" w:ascii="宋体" w:hAnsi="宋体"/>
          <w:sz w:val="24"/>
        </w:rPr>
        <w:t>教学办公楼老旧网络改造（四期）综合布线</w:t>
      </w:r>
    </w:p>
    <w:p>
      <w:pPr>
        <w:numPr>
          <w:ilvl w:val="0"/>
          <w:numId w:val="1"/>
        </w:numPr>
        <w:spacing w:line="360" w:lineRule="auto"/>
        <w:rPr>
          <w:rFonts w:ascii="宋体" w:hAnsi="宋体"/>
          <w:sz w:val="24"/>
        </w:rPr>
      </w:pPr>
      <w:r>
        <w:rPr>
          <w:rFonts w:hint="eastAsia" w:ascii="宋体" w:hAnsi="宋体"/>
          <w:b/>
          <w:bCs/>
          <w:sz w:val="24"/>
        </w:rPr>
        <w:t>建设单位:</w:t>
      </w:r>
      <w:r>
        <w:rPr>
          <w:rFonts w:hint="eastAsia" w:ascii="宋体" w:hAnsi="宋体"/>
          <w:sz w:val="24"/>
        </w:rPr>
        <w:t>中国地质大学（武汉）信息化工作办公室</w:t>
      </w:r>
    </w:p>
    <w:p>
      <w:pPr>
        <w:numPr>
          <w:ilvl w:val="0"/>
          <w:numId w:val="1"/>
        </w:numPr>
        <w:spacing w:line="360" w:lineRule="auto"/>
        <w:rPr>
          <w:rFonts w:ascii="宋体" w:hAnsi="宋体"/>
          <w:sz w:val="24"/>
        </w:rPr>
      </w:pPr>
      <w:r>
        <w:rPr>
          <w:rFonts w:hint="eastAsia" w:ascii="宋体" w:hAnsi="宋体"/>
          <w:b/>
          <w:bCs/>
          <w:sz w:val="24"/>
        </w:rPr>
        <w:t>设计单位:</w:t>
      </w:r>
      <w:r>
        <w:rPr>
          <w:rFonts w:hint="eastAsia" w:ascii="宋体" w:hAnsi="宋体"/>
          <w:sz w:val="24"/>
        </w:rPr>
        <w:t>天津市邮电设计院</w:t>
      </w:r>
      <w:r>
        <w:rPr>
          <w:rFonts w:ascii="宋体" w:hAnsi="宋体"/>
          <w:sz w:val="24"/>
        </w:rPr>
        <w:t xml:space="preserve"> </w:t>
      </w:r>
    </w:p>
    <w:p>
      <w:pPr>
        <w:numPr>
          <w:ilvl w:val="0"/>
          <w:numId w:val="1"/>
        </w:numPr>
        <w:spacing w:line="360" w:lineRule="auto"/>
        <w:rPr>
          <w:rFonts w:ascii="宋体" w:hAnsi="宋体"/>
          <w:sz w:val="24"/>
        </w:rPr>
      </w:pPr>
      <w:r>
        <w:rPr>
          <w:rFonts w:hint="eastAsia" w:ascii="宋体" w:hAnsi="宋体"/>
          <w:b/>
          <w:bCs/>
          <w:sz w:val="24"/>
        </w:rPr>
        <w:t>工程地点</w:t>
      </w:r>
      <w:r>
        <w:rPr>
          <w:rFonts w:hint="eastAsia" w:ascii="宋体" w:hAnsi="宋体"/>
          <w:sz w:val="24"/>
        </w:rPr>
        <w:t>：湖北省武汉市洪山区鲁磨路388号</w:t>
      </w:r>
    </w:p>
    <w:p>
      <w:pPr>
        <w:pStyle w:val="2"/>
        <w:numPr>
          <w:ilvl w:val="0"/>
          <w:numId w:val="1"/>
        </w:numPr>
      </w:pPr>
      <w:r>
        <w:rPr>
          <w:rFonts w:hint="eastAsia" w:hAnsi="宋体" w:eastAsiaTheme="minorEastAsia" w:cstheme="minorBidi"/>
          <w:b/>
          <w:bCs/>
          <w:color w:val="auto"/>
          <w:kern w:val="2"/>
        </w:rPr>
        <w:t>工程预算：</w:t>
      </w:r>
      <w:r>
        <w:rPr>
          <w:rFonts w:hAnsi="宋体" w:eastAsiaTheme="minorEastAsia" w:cstheme="minorBidi"/>
          <w:color w:val="auto"/>
          <w:kern w:val="2"/>
        </w:rPr>
        <w:t>10</w:t>
      </w:r>
      <w:r>
        <w:rPr>
          <w:rFonts w:hint="eastAsia" w:hAnsi="宋体" w:eastAsiaTheme="minorEastAsia" w:cstheme="minorBidi"/>
          <w:color w:val="auto"/>
          <w:kern w:val="2"/>
          <w:lang w:val="en-US" w:eastAsia="zh-CN"/>
        </w:rPr>
        <w:t>8</w:t>
      </w:r>
      <w:r>
        <w:rPr>
          <w:rFonts w:hint="eastAsia"/>
        </w:rPr>
        <w:t>万元</w:t>
      </w:r>
    </w:p>
    <w:p>
      <w:pPr>
        <w:pStyle w:val="2"/>
        <w:numPr>
          <w:ilvl w:val="0"/>
          <w:numId w:val="1"/>
        </w:numPr>
      </w:pPr>
      <w:r>
        <w:rPr>
          <w:rFonts w:hint="eastAsia" w:hAnsi="宋体" w:eastAsiaTheme="minorEastAsia" w:cstheme="minorBidi"/>
          <w:b/>
          <w:bCs/>
          <w:color w:val="auto"/>
          <w:kern w:val="2"/>
        </w:rPr>
        <w:t>监理费用：</w:t>
      </w:r>
      <w:r>
        <w:rPr>
          <w:rFonts w:hAnsi="宋体" w:eastAsiaTheme="minorEastAsia" w:cstheme="minorBidi"/>
          <w:color w:val="auto"/>
          <w:kern w:val="2"/>
        </w:rPr>
        <w:t>3.</w:t>
      </w:r>
      <w:r>
        <w:rPr>
          <w:rFonts w:hint="eastAsia" w:hAnsi="宋体" w:eastAsiaTheme="minorEastAsia" w:cstheme="minorBidi"/>
          <w:color w:val="auto"/>
          <w:kern w:val="2"/>
          <w:lang w:val="en-US" w:eastAsia="zh-CN"/>
        </w:rPr>
        <w:t>2</w:t>
      </w:r>
      <w:r>
        <w:rPr>
          <w:rFonts w:hint="eastAsia"/>
        </w:rPr>
        <w:t>万元</w:t>
      </w:r>
    </w:p>
    <w:p>
      <w:pPr>
        <w:pStyle w:val="4"/>
      </w:pPr>
      <w:r>
        <w:rPr>
          <w:rFonts w:hint="eastAsia"/>
        </w:rPr>
        <w:t>二、监理服务范围</w:t>
      </w:r>
    </w:p>
    <w:p>
      <w:pPr>
        <w:spacing w:line="360" w:lineRule="auto"/>
        <w:ind w:firstLine="480" w:firstLineChars="200"/>
        <w:rPr>
          <w:sz w:val="44"/>
          <w:szCs w:val="36"/>
        </w:rPr>
      </w:pPr>
      <w:r>
        <w:rPr>
          <w:rFonts w:hint="eastAsia" w:ascii="宋体" w:hAnsi="宋体"/>
          <w:sz w:val="24"/>
        </w:rPr>
        <w:t>本次招标内容即为上述所有建设内容的全过程（包括但不限于项目施工前期准备阶段、施工方案设计阶段、施工阶段、竣工验收阶段、工程结算阶段、工程质量保修阶段）监理，包括但不限于招标配合、施工方案审核、质量控制、投资控制、进度控制、合同管理、信息管理、协调建设单位和工程建设有关各方的工作关系、组织协调项目验收、配合项目移交等监理工作。此外，监理单位还须协助委托人制定工程管理办法、各参建方职责及有关事务性工作等。</w:t>
      </w:r>
    </w:p>
    <w:p>
      <w:pPr>
        <w:pStyle w:val="4"/>
      </w:pPr>
      <w:r>
        <w:rPr>
          <w:rFonts w:hint="eastAsia"/>
        </w:rPr>
        <w:t>三、监理工作内容等要求</w:t>
      </w:r>
    </w:p>
    <w:p>
      <w:pPr>
        <w:spacing w:line="360" w:lineRule="auto"/>
        <w:ind w:firstLine="480" w:firstLineChars="200"/>
        <w:rPr>
          <w:rFonts w:ascii="宋体" w:hAnsi="宋体"/>
          <w:sz w:val="24"/>
        </w:rPr>
      </w:pPr>
      <w:r>
        <w:rPr>
          <w:rFonts w:hint="eastAsia" w:ascii="宋体" w:hAnsi="宋体"/>
          <w:sz w:val="24"/>
        </w:rPr>
        <w:t>具体包括不限于以下监理服务内容：，审核承建单位的深化设计方案及施工图；对项目进行全过程质量控制、安全控制、进度控制、成本控制；对项目定制设备进行市场调研及设备质量监督；对本项目建设的主要工程材料和设备进行到货查验；对项目实施和验收的全过程进行监督管理（包括合同管理、信息管理、安全管理、风险管理等），组织项目初步验收和竣工验收，组织项目文档移交；项目实施完成后，对项目进行回访，协助解决技术问题，对委托人提出的项目质量缺陷进行检查和记录，并对项目质量缺陷原因进行调查分析并确定责任归属；检查承建单位质保期履约情况，督促执行。</w:t>
      </w:r>
    </w:p>
    <w:p>
      <w:pPr>
        <w:pStyle w:val="4"/>
      </w:pPr>
      <w:r>
        <w:rPr>
          <w:rFonts w:hint="eastAsia"/>
        </w:rPr>
        <w:t>四、项目工期要求</w:t>
      </w:r>
    </w:p>
    <w:p>
      <w:pPr>
        <w:spacing w:line="360" w:lineRule="auto"/>
        <w:ind w:firstLine="480" w:firstLineChars="200"/>
        <w:rPr>
          <w:rFonts w:ascii="宋体" w:hAnsi="宋体"/>
          <w:sz w:val="24"/>
        </w:rPr>
      </w:pPr>
      <w:r>
        <w:rPr>
          <w:rFonts w:hint="eastAsia" w:ascii="宋体" w:hAnsi="宋体"/>
          <w:sz w:val="24"/>
        </w:rPr>
        <w:t>★从合同签订之日起至工程项目竣工验收后完成移交之日止。</w:t>
      </w:r>
    </w:p>
    <w:p>
      <w:pPr>
        <w:pStyle w:val="4"/>
      </w:pPr>
      <w:r>
        <w:rPr>
          <w:rFonts w:hint="eastAsia"/>
        </w:rPr>
        <w:t>五、监理目标要求</w:t>
      </w:r>
    </w:p>
    <w:p>
      <w:pPr>
        <w:spacing w:line="360" w:lineRule="auto"/>
        <w:ind w:firstLine="480" w:firstLineChars="200"/>
        <w:rPr>
          <w:rFonts w:ascii="宋体" w:hAnsi="宋体"/>
          <w:sz w:val="24"/>
        </w:rPr>
      </w:pPr>
      <w:r>
        <w:rPr>
          <w:rFonts w:hint="eastAsia" w:ascii="宋体" w:hAnsi="宋体"/>
          <w:sz w:val="24"/>
        </w:rPr>
        <w:t>（一）投资目标：确保被监理的项目投资金额不超过其合同规定的金额。</w:t>
      </w:r>
    </w:p>
    <w:p>
      <w:pPr>
        <w:spacing w:line="360" w:lineRule="auto"/>
        <w:ind w:firstLine="480" w:firstLineChars="200"/>
        <w:rPr>
          <w:rFonts w:ascii="宋体" w:hAnsi="宋体"/>
          <w:sz w:val="24"/>
        </w:rPr>
      </w:pPr>
      <w:r>
        <w:rPr>
          <w:rFonts w:hint="eastAsia" w:ascii="宋体" w:hAnsi="宋体"/>
          <w:sz w:val="24"/>
        </w:rPr>
        <w:t>（二）工期目标：确保被监理的项目在其合同规定的期限内竣工验收，并投入使用。</w:t>
      </w:r>
    </w:p>
    <w:p>
      <w:pPr>
        <w:spacing w:line="360" w:lineRule="auto"/>
        <w:ind w:firstLine="480" w:firstLineChars="200"/>
      </w:pPr>
      <w:r>
        <w:rPr>
          <w:rFonts w:hint="eastAsia" w:ascii="宋体" w:hAnsi="宋体"/>
          <w:sz w:val="24"/>
        </w:rPr>
        <w:t>（三）质量目标：确保被监理的项目实现一次验收合格。</w:t>
      </w:r>
    </w:p>
    <w:p>
      <w:pPr>
        <w:pStyle w:val="4"/>
      </w:pPr>
      <w:r>
        <w:rPr>
          <w:rFonts w:hint="eastAsia"/>
        </w:rPr>
        <w:t>六、监理服务工作要求</w:t>
      </w:r>
    </w:p>
    <w:p>
      <w:pPr>
        <w:pStyle w:val="5"/>
        <w:spacing w:line="360" w:lineRule="auto"/>
        <w:ind w:firstLine="465"/>
        <w:rPr>
          <w:sz w:val="24"/>
        </w:rPr>
      </w:pPr>
      <w:r>
        <w:rPr>
          <w:rFonts w:hint="eastAsia"/>
          <w:sz w:val="24"/>
        </w:rPr>
        <w:t>1、服务要求</w:t>
      </w:r>
    </w:p>
    <w:p>
      <w:pPr>
        <w:spacing w:line="360" w:lineRule="auto"/>
        <w:ind w:firstLine="465"/>
        <w:rPr>
          <w:rFonts w:ascii="宋体" w:hAnsi="宋体"/>
          <w:sz w:val="24"/>
        </w:rPr>
      </w:pPr>
      <w:r>
        <w:rPr>
          <w:rFonts w:hint="eastAsia" w:ascii="宋体" w:hAnsi="宋体"/>
          <w:sz w:val="24"/>
        </w:rPr>
        <w:t>中标供应商必须坚持以“质量第一，预防为主，科学、规范、诚信”作为监理原则，安排工作人员现场办公做好本项目质量和进度控制，协助委托人完成本项目任务，提供管理和技术咨询。</w:t>
      </w:r>
    </w:p>
    <w:p>
      <w:pPr>
        <w:pStyle w:val="5"/>
        <w:spacing w:line="360" w:lineRule="auto"/>
        <w:ind w:firstLine="465"/>
        <w:rPr>
          <w:sz w:val="24"/>
        </w:rPr>
      </w:pPr>
      <w:r>
        <w:rPr>
          <w:rFonts w:hint="eastAsia"/>
          <w:sz w:val="24"/>
        </w:rPr>
        <w:t>2、服务方式</w:t>
      </w:r>
    </w:p>
    <w:p>
      <w:pPr>
        <w:spacing w:line="360" w:lineRule="auto"/>
        <w:ind w:firstLine="480" w:firstLineChars="200"/>
        <w:rPr>
          <w:rFonts w:ascii="宋体" w:hAnsi="宋体"/>
          <w:sz w:val="24"/>
        </w:rPr>
      </w:pPr>
      <w:r>
        <w:rPr>
          <w:rFonts w:hint="eastAsia" w:ascii="宋体" w:hAnsi="宋体"/>
          <w:sz w:val="24"/>
        </w:rPr>
        <w:t xml:space="preserve">本服务项目要求以现场监理为主要方式进行，中标供应商应派总监理工程师和监理工程师按委托人人要求现场监理，建立项目监理机构，负责整个项目的全过程监理工作。 </w:t>
      </w:r>
    </w:p>
    <w:p>
      <w:pPr>
        <w:pStyle w:val="5"/>
        <w:spacing w:line="360" w:lineRule="auto"/>
        <w:ind w:firstLine="465"/>
        <w:rPr>
          <w:sz w:val="24"/>
        </w:rPr>
      </w:pPr>
      <w:r>
        <w:rPr>
          <w:sz w:val="24"/>
        </w:rPr>
        <mc:AlternateContent>
          <mc:Choice Requires="wpg">
            <w:drawing>
              <wp:anchor distT="0" distB="0" distL="114300" distR="114300" simplePos="0" relativeHeight="251659264" behindDoc="1" locked="0" layoutInCell="1" allowOverlap="1">
                <wp:simplePos x="0" y="0"/>
                <wp:positionH relativeFrom="page">
                  <wp:posOffset>666115</wp:posOffset>
                </wp:positionH>
                <wp:positionV relativeFrom="page">
                  <wp:posOffset>741680</wp:posOffset>
                </wp:positionV>
                <wp:extent cx="6228715" cy="1270"/>
                <wp:effectExtent l="0" t="0" r="0" b="0"/>
                <wp:wrapNone/>
                <wp:docPr id="2" name="组合 2"/>
                <wp:cNvGraphicFramePr/>
                <a:graphic xmlns:a="http://schemas.openxmlformats.org/drawingml/2006/main">
                  <a:graphicData uri="http://schemas.microsoft.com/office/word/2010/wordprocessingGroup">
                    <wpg:wgp>
                      <wpg:cNvGrpSpPr/>
                      <wpg:grpSpPr>
                        <a:xfrm>
                          <a:off x="0" y="0"/>
                          <a:ext cx="6228715" cy="1270"/>
                          <a:chOff x="1049" y="1168"/>
                          <a:chExt cx="9809" cy="2203"/>
                        </a:xfrm>
                      </wpg:grpSpPr>
                      <wps:wsp>
                        <wps:cNvPr id="1" name="任意多边形 1"/>
                        <wps:cNvSpPr/>
                        <wps:spPr>
                          <a:xfrm>
                            <a:off x="1049" y="1168"/>
                            <a:ext cx="9809" cy="2"/>
                          </a:xfrm>
                          <a:custGeom>
                            <a:avLst/>
                            <a:gdLst/>
                            <a:ahLst/>
                            <a:cxnLst>
                              <a:cxn ang="0">
                                <a:pos x="0" y="0"/>
                              </a:cxn>
                              <a:cxn ang="0">
                                <a:pos x="14443" y="0"/>
                              </a:cxn>
                            </a:cxnLst>
                            <a:rect l="0" t="0" r="0" b="0"/>
                            <a:pathLst>
                              <a:path w="6662" h="1">
                                <a:moveTo>
                                  <a:pt x="0" y="0"/>
                                </a:moveTo>
                                <a:lnTo>
                                  <a:pt x="9809" y="0"/>
                                </a:lnTo>
                              </a:path>
                            </a:pathLst>
                          </a:custGeom>
                          <a:noFill/>
                          <a:ln w="9525" cap="flat" cmpd="sng">
                            <a:solidFill>
                              <a:srgbClr val="000000"/>
                            </a:solidFill>
                            <a:prstDash val="solid"/>
                            <a:headEnd type="none" w="med" len="med"/>
                            <a:tailEnd type="none" w="med" len="med"/>
                          </a:ln>
                        </wps:spPr>
                        <wps:bodyPr upright="1"/>
                      </wps:wsp>
                    </wpg:wgp>
                  </a:graphicData>
                </a:graphic>
              </wp:anchor>
            </w:drawing>
          </mc:Choice>
          <mc:Fallback>
            <w:pict>
              <v:group id="_x0000_s1026" o:spid="_x0000_s1026" o:spt="203" style="position:absolute;left:0pt;margin-left:52.45pt;margin-top:58.4pt;height:0.1pt;width:490.45pt;mso-position-horizontal-relative:page;mso-position-vertical-relative:page;z-index:-251657216;mso-width-relative:page;mso-height-relative:page;" coordorigin="1049,1168" coordsize="9809,2203" o:gfxdata="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">
                <o:lock v:ext="edit" aspectratio="f"/>
                <v:shape id="_x0000_s1026" o:spid="_x0000_s1026" o:spt="100" style="position:absolute;left:1049;top:1168;height:2;width:9809;" filled="f" stroked="t" coordsize="6662,1" o:gfxdata="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qKNaSrgAAADaAAAA&#10;DwAAAAAAAAABACAAAAAiAAAAZHJzL2Rvd25yZXYueG1sUEsBAhQAFAAAAAgAh07iQDMvBZ47AAAA&#10;OQAAABAAAAAAAAAAAQAgAAAABwEAAGRycy9zaGFwZXhtbC54bWxQSwUGAAAAAAYABgBbAQAAsQMA&#10;AAAA&#10;" path="m0,0l9809,0e">
                  <v:path o:connectlocs="0,0;14443,0" o:connectangles="0,0"/>
                  <v:fill on="f" focussize="0,0"/>
                  <v:stroke color="#000000" joinstyle="round"/>
                  <v:imagedata o:title=""/>
                  <o:lock v:ext="edit" aspectratio="f"/>
                </v:shape>
              </v:group>
            </w:pict>
          </mc:Fallback>
        </mc:AlternateContent>
      </w:r>
      <w:r>
        <w:rPr>
          <w:rFonts w:hint="eastAsia"/>
          <w:sz w:val="24"/>
        </w:rPr>
        <w:t>3、项目组织及实施方案的总体把关</w:t>
      </w:r>
    </w:p>
    <w:p>
      <w:pPr>
        <w:spacing w:line="360" w:lineRule="auto"/>
        <w:ind w:firstLine="465"/>
        <w:rPr>
          <w:rFonts w:ascii="宋体" w:hAnsi="宋体"/>
          <w:sz w:val="24"/>
        </w:rPr>
      </w:pPr>
      <w:r>
        <w:rPr>
          <w:rFonts w:hint="eastAsia" w:ascii="宋体" w:hAnsi="宋体"/>
          <w:sz w:val="24"/>
        </w:rPr>
        <w:t>（</w:t>
      </w:r>
      <w:r>
        <w:rPr>
          <w:rFonts w:ascii="宋体" w:hAnsi="宋体"/>
          <w:sz w:val="24"/>
        </w:rPr>
        <w:t>1）审核和确认承建单位的实施人员组织和实施计划安排；</w:t>
      </w:r>
    </w:p>
    <w:p>
      <w:pPr>
        <w:spacing w:line="360" w:lineRule="auto"/>
        <w:ind w:firstLine="465"/>
        <w:rPr>
          <w:rFonts w:ascii="宋体" w:hAnsi="宋体"/>
          <w:sz w:val="24"/>
        </w:rPr>
      </w:pPr>
      <w:r>
        <w:rPr>
          <w:rFonts w:hint="eastAsia" w:ascii="宋体" w:hAnsi="宋体"/>
          <w:sz w:val="24"/>
        </w:rPr>
        <w:t>（</w:t>
      </w:r>
      <w:r>
        <w:rPr>
          <w:rFonts w:ascii="宋体" w:hAnsi="宋体"/>
          <w:sz w:val="24"/>
        </w:rPr>
        <w:t>2）协助甲方审核和确认项目实施方案的可行性和安全性</w:t>
      </w:r>
      <w:r>
        <w:rPr>
          <w:rFonts w:hint="eastAsia" w:ascii="宋体" w:hAnsi="宋体"/>
          <w:sz w:val="24"/>
        </w:rPr>
        <w:t>；</w:t>
      </w:r>
    </w:p>
    <w:p>
      <w:pPr>
        <w:spacing w:line="360" w:lineRule="auto"/>
        <w:ind w:firstLine="465"/>
        <w:rPr>
          <w:rFonts w:ascii="宋体" w:hAnsi="宋体"/>
          <w:sz w:val="24"/>
        </w:rPr>
      </w:pPr>
      <w:r>
        <w:rPr>
          <w:rFonts w:hint="eastAsia" w:ascii="宋体" w:hAnsi="宋体"/>
          <w:sz w:val="24"/>
        </w:rPr>
        <w:t>（</w:t>
      </w:r>
      <w:r>
        <w:rPr>
          <w:rFonts w:ascii="宋体" w:hAnsi="宋体"/>
          <w:sz w:val="24"/>
        </w:rPr>
        <w:t>3）审核和确认承建单位的质量保证计划；</w:t>
      </w:r>
    </w:p>
    <w:p>
      <w:pPr>
        <w:spacing w:line="360" w:lineRule="auto"/>
        <w:ind w:firstLine="465"/>
        <w:rPr>
          <w:rFonts w:ascii="宋体" w:hAnsi="宋体"/>
          <w:sz w:val="24"/>
        </w:rPr>
      </w:pPr>
      <w:r>
        <w:rPr>
          <w:rFonts w:hint="eastAsia" w:ascii="宋体" w:hAnsi="宋体"/>
          <w:sz w:val="24"/>
        </w:rPr>
        <w:t>（</w:t>
      </w:r>
      <w:r>
        <w:rPr>
          <w:rFonts w:ascii="宋体" w:hAnsi="宋体"/>
          <w:sz w:val="24"/>
        </w:rPr>
        <w:t>4）审核和确认承建单位的进度计划；</w:t>
      </w:r>
    </w:p>
    <w:p>
      <w:pPr>
        <w:pStyle w:val="5"/>
        <w:spacing w:line="360" w:lineRule="auto"/>
        <w:ind w:firstLine="465"/>
        <w:rPr>
          <w:sz w:val="24"/>
        </w:rPr>
      </w:pPr>
      <w:r>
        <w:rPr>
          <w:rFonts w:hint="eastAsia"/>
          <w:sz w:val="24"/>
        </w:rPr>
        <w:t>4、质量控制</w:t>
      </w:r>
    </w:p>
    <w:p>
      <w:pPr>
        <w:numPr>
          <w:ilvl w:val="0"/>
          <w:numId w:val="2"/>
        </w:numPr>
        <w:spacing w:line="360" w:lineRule="auto"/>
        <w:rPr>
          <w:rFonts w:ascii="宋体" w:hAnsi="宋体"/>
          <w:sz w:val="24"/>
        </w:rPr>
      </w:pPr>
      <w:r>
        <w:rPr>
          <w:rFonts w:hint="eastAsia" w:ascii="宋体" w:hAnsi="宋体"/>
          <w:sz w:val="24"/>
        </w:rPr>
        <w:t>综合布线系统质量的控制</w:t>
      </w:r>
    </w:p>
    <w:p>
      <w:pPr>
        <w:numPr>
          <w:ilvl w:val="0"/>
          <w:numId w:val="2"/>
        </w:numPr>
        <w:spacing w:line="360" w:lineRule="auto"/>
        <w:rPr>
          <w:rFonts w:ascii="宋体" w:hAnsi="宋体"/>
          <w:sz w:val="24"/>
        </w:rPr>
      </w:pPr>
      <w:r>
        <w:rPr>
          <w:rFonts w:hint="eastAsia" w:ascii="宋体" w:hAnsi="宋体"/>
          <w:sz w:val="24"/>
        </w:rPr>
        <w:t>依据合同要求和有关技术标准，审查、监督、控制本工程综合布线、设备采购及设备安装的质量；</w:t>
      </w:r>
    </w:p>
    <w:p>
      <w:pPr>
        <w:numPr>
          <w:ilvl w:val="0"/>
          <w:numId w:val="2"/>
        </w:numPr>
        <w:spacing w:line="360" w:lineRule="auto"/>
        <w:rPr>
          <w:rFonts w:hAnsi="宋体"/>
        </w:rPr>
      </w:pPr>
      <w:r>
        <w:rPr>
          <w:rFonts w:hint="eastAsia" w:ascii="宋体" w:hAnsi="宋体"/>
          <w:sz w:val="24"/>
        </w:rPr>
        <w:t>链路检测</w:t>
      </w:r>
    </w:p>
    <w:p>
      <w:pPr>
        <w:numPr>
          <w:ilvl w:val="0"/>
          <w:numId w:val="2"/>
        </w:numPr>
        <w:spacing w:line="360" w:lineRule="auto"/>
        <w:rPr>
          <w:rFonts w:hAnsi="宋体"/>
        </w:rPr>
      </w:pPr>
      <w:r>
        <w:rPr>
          <w:rFonts w:hint="eastAsia" w:ascii="宋体" w:hAnsi="宋体"/>
          <w:sz w:val="24"/>
        </w:rPr>
        <w:t>监督施工方按照方案设计标准对光链路、铜缆链路进行检测，监督检测过程的规范性和完整性。并对施工方的测试结果按总量的1</w:t>
      </w:r>
      <w:r>
        <w:rPr>
          <w:rFonts w:ascii="宋体" w:hAnsi="宋体"/>
          <w:sz w:val="24"/>
        </w:rPr>
        <w:t>0%</w:t>
      </w:r>
      <w:r>
        <w:rPr>
          <w:rFonts w:hint="eastAsia" w:ascii="宋体" w:hAnsi="宋体"/>
          <w:sz w:val="24"/>
        </w:rPr>
        <w:t>进行抽检，出具抽检报告。</w:t>
      </w:r>
    </w:p>
    <w:p>
      <w:pPr>
        <w:numPr>
          <w:ilvl w:val="0"/>
          <w:numId w:val="2"/>
        </w:numPr>
        <w:spacing w:line="360" w:lineRule="auto"/>
        <w:rPr>
          <w:rFonts w:ascii="宋体" w:hAnsi="宋体"/>
          <w:sz w:val="24"/>
        </w:rPr>
      </w:pPr>
      <w:r>
        <w:rPr>
          <w:rFonts w:hint="eastAsia" w:ascii="宋体" w:hAnsi="宋体"/>
          <w:sz w:val="24"/>
        </w:rPr>
        <w:t>采取事前预防、事中控制、事后纠正的方式，依据国家法律、法规、标准以及项目合同、设计方案、监理规划、监理实施细则等文件控制工程质量；每月按项目对各项目文档进行查阅审核，提供监理简报，对各项目进行量化考评并排出名次，提出各项目工作的改进意见；</w:t>
      </w:r>
    </w:p>
    <w:p>
      <w:pPr>
        <w:numPr>
          <w:ilvl w:val="0"/>
          <w:numId w:val="2"/>
        </w:numPr>
        <w:spacing w:line="360" w:lineRule="auto"/>
        <w:rPr>
          <w:rFonts w:ascii="宋体" w:hAnsi="宋体"/>
          <w:sz w:val="24"/>
        </w:rPr>
      </w:pPr>
      <w:r>
        <w:rPr>
          <w:rFonts w:hint="eastAsia" w:ascii="宋体" w:hAnsi="宋体"/>
          <w:sz w:val="24"/>
        </w:rPr>
        <w:t>协助甲方单位对竣工图纸及验收文档进行审核和确认；</w:t>
      </w:r>
    </w:p>
    <w:p>
      <w:pPr>
        <w:numPr>
          <w:ilvl w:val="0"/>
          <w:numId w:val="2"/>
        </w:numPr>
        <w:spacing w:line="360" w:lineRule="auto"/>
        <w:rPr>
          <w:rFonts w:ascii="宋体" w:hAnsi="宋体"/>
          <w:sz w:val="24"/>
        </w:rPr>
      </w:pPr>
      <w:r>
        <w:rPr>
          <w:rFonts w:hint="eastAsia" w:ascii="宋体" w:hAnsi="宋体"/>
          <w:sz w:val="24"/>
        </w:rPr>
        <w:t>根据工程的特点，依据甲方单位的验收标准和要求，制定本工程的验收标准，验收方法。</w:t>
      </w:r>
    </w:p>
    <w:p>
      <w:pPr>
        <w:pStyle w:val="5"/>
        <w:spacing w:line="360" w:lineRule="auto"/>
        <w:ind w:firstLine="465"/>
        <w:rPr>
          <w:sz w:val="24"/>
        </w:rPr>
      </w:pPr>
      <w:r>
        <w:rPr>
          <w:rFonts w:hint="eastAsia"/>
          <w:sz w:val="24"/>
        </w:rPr>
        <w:t>5、</w:t>
      </w:r>
      <w:r>
        <w:rPr>
          <w:sz w:val="24"/>
        </w:rPr>
        <w:t>进度控制</w:t>
      </w:r>
    </w:p>
    <w:p>
      <w:pPr>
        <w:spacing w:line="360" w:lineRule="auto"/>
        <w:ind w:firstLine="480" w:firstLineChars="200"/>
        <w:rPr>
          <w:rFonts w:ascii="宋体" w:hAnsi="宋体"/>
          <w:sz w:val="24"/>
        </w:rPr>
      </w:pPr>
      <w:r>
        <w:rPr>
          <w:rFonts w:hint="eastAsia" w:ascii="宋体" w:hAnsi="宋体"/>
          <w:sz w:val="24"/>
        </w:rPr>
        <w:t>（</w:t>
      </w:r>
      <w:r>
        <w:rPr>
          <w:rFonts w:ascii="宋体" w:hAnsi="宋体"/>
          <w:sz w:val="24"/>
        </w:rPr>
        <w:t>1</w:t>
      </w:r>
      <w:r>
        <w:rPr>
          <w:rFonts w:hint="eastAsia" w:ascii="宋体" w:hAnsi="宋体"/>
          <w:sz w:val="24"/>
        </w:rPr>
        <w:t>）审核承建单位的进度分解计划及项目实施过程的衔接性，确认分解计划可以保证总体计划目标，监督检查项目进度执行情况；</w:t>
      </w:r>
    </w:p>
    <w:p>
      <w:pPr>
        <w:spacing w:line="360" w:lineRule="auto"/>
        <w:ind w:firstLine="480" w:firstLineChars="200"/>
        <w:rPr>
          <w:rFonts w:ascii="宋体" w:hAnsi="宋体"/>
          <w:sz w:val="24"/>
        </w:rPr>
      </w:pPr>
      <w:r>
        <w:rPr>
          <w:rFonts w:hint="eastAsia" w:ascii="宋体" w:hAnsi="宋体"/>
          <w:sz w:val="24"/>
        </w:rPr>
        <w:t>（</w:t>
      </w:r>
      <w:r>
        <w:rPr>
          <w:rFonts w:ascii="宋体" w:hAnsi="宋体"/>
          <w:sz w:val="24"/>
        </w:rPr>
        <w:t>2</w:t>
      </w:r>
      <w:r>
        <w:rPr>
          <w:rFonts w:hint="eastAsia" w:ascii="宋体" w:hAnsi="宋体"/>
          <w:sz w:val="24"/>
        </w:rPr>
        <w:t>）对项目实施进度进行实时跟踪，并要求承建单位对进度计划进行动态调整，以确保项目的阶段和总体进度目标的实施；</w:t>
      </w:r>
    </w:p>
    <w:p>
      <w:pPr>
        <w:spacing w:line="360" w:lineRule="auto"/>
        <w:ind w:firstLine="465"/>
        <w:rPr>
          <w:rFonts w:ascii="宋体" w:hAnsi="宋体"/>
          <w:sz w:val="24"/>
        </w:rPr>
      </w:pPr>
      <w:r>
        <w:rPr>
          <w:rFonts w:hint="eastAsia" w:ascii="宋体" w:hAnsi="宋体"/>
          <w:sz w:val="24"/>
        </w:rPr>
        <w:t>（</w:t>
      </w:r>
      <w:r>
        <w:rPr>
          <w:rFonts w:ascii="宋体" w:hAnsi="宋体"/>
          <w:sz w:val="24"/>
        </w:rPr>
        <w:t>3</w:t>
      </w:r>
      <w:r>
        <w:rPr>
          <w:rFonts w:hint="eastAsia" w:ascii="宋体" w:hAnsi="宋体"/>
          <w:sz w:val="24"/>
        </w:rPr>
        <w:t>）当工期严重偏离计划时，应及时指出，并提出对策建议，同时督促承建单位尽快采取措施；</w:t>
      </w:r>
    </w:p>
    <w:p>
      <w:pPr>
        <w:spacing w:line="360" w:lineRule="auto"/>
        <w:ind w:firstLine="465"/>
        <w:rPr>
          <w:rFonts w:ascii="宋体" w:hAnsi="宋体"/>
          <w:sz w:val="24"/>
        </w:rPr>
      </w:pPr>
      <w:r>
        <w:rPr>
          <w:rFonts w:hint="eastAsia" w:ascii="宋体" w:hAnsi="宋体"/>
          <w:sz w:val="24"/>
        </w:rPr>
        <w:t>（</w:t>
      </w:r>
      <w:r>
        <w:rPr>
          <w:rFonts w:ascii="宋体" w:hAnsi="宋体"/>
          <w:sz w:val="24"/>
        </w:rPr>
        <w:t>4</w:t>
      </w:r>
      <w:r>
        <w:rPr>
          <w:rFonts w:hint="eastAsia" w:ascii="宋体" w:hAnsi="宋体"/>
          <w:sz w:val="24"/>
        </w:rPr>
        <w:t>）采用先进的项目管理工具，控制项目施工进度。</w:t>
      </w:r>
    </w:p>
    <w:p>
      <w:pPr>
        <w:pStyle w:val="5"/>
        <w:spacing w:line="360" w:lineRule="auto"/>
        <w:ind w:firstLine="465"/>
        <w:rPr>
          <w:sz w:val="24"/>
        </w:rPr>
      </w:pPr>
      <w:r>
        <w:rPr>
          <w:rFonts w:hint="eastAsia"/>
          <w:sz w:val="24"/>
        </w:rPr>
        <w:t>6、</w:t>
      </w:r>
      <w:r>
        <w:rPr>
          <w:sz w:val="24"/>
        </w:rPr>
        <w:t>项目投资的成本控制</w:t>
      </w:r>
    </w:p>
    <w:p>
      <w:pPr>
        <w:spacing w:line="360" w:lineRule="auto"/>
        <w:ind w:firstLine="465"/>
        <w:rPr>
          <w:rFonts w:ascii="宋体" w:hAnsi="宋体"/>
          <w:sz w:val="24"/>
        </w:rPr>
      </w:pPr>
      <w:r>
        <w:rPr>
          <w:rFonts w:hint="eastAsia" w:ascii="宋体" w:hAnsi="宋体"/>
          <w:sz w:val="24"/>
        </w:rPr>
        <w:t>（</w:t>
      </w:r>
      <w:r>
        <w:rPr>
          <w:rFonts w:ascii="宋体" w:hAnsi="宋体"/>
          <w:sz w:val="24"/>
        </w:rPr>
        <w:t>1）通过对项目实施方案的把关，确保投资控制在计划范围内合理使用；</w:t>
      </w:r>
    </w:p>
    <w:p>
      <w:pPr>
        <w:spacing w:line="360" w:lineRule="auto"/>
        <w:ind w:firstLine="465"/>
        <w:rPr>
          <w:rFonts w:ascii="宋体" w:hAnsi="宋体"/>
          <w:sz w:val="24"/>
        </w:rPr>
      </w:pPr>
      <w:r>
        <w:rPr>
          <w:rFonts w:hint="eastAsia" w:ascii="宋体" w:hAnsi="宋体"/>
          <w:sz w:val="24"/>
        </w:rPr>
        <w:t>（</w:t>
      </w:r>
      <w:r>
        <w:rPr>
          <w:rFonts w:ascii="宋体" w:hAnsi="宋体"/>
          <w:sz w:val="24"/>
        </w:rPr>
        <w:t>2）</w:t>
      </w:r>
      <w:r>
        <w:rPr>
          <w:rFonts w:hint="eastAsia" w:ascii="宋体" w:hAnsi="宋体"/>
          <w:sz w:val="24"/>
        </w:rPr>
        <w:t>当发现资金使用严重偏离计划时，应及时指出，并提出对策建议，同时督促承建单位尽快采取措施。</w:t>
      </w:r>
    </w:p>
    <w:p>
      <w:pPr>
        <w:pStyle w:val="5"/>
        <w:spacing w:line="360" w:lineRule="auto"/>
        <w:ind w:firstLine="465"/>
        <w:rPr>
          <w:sz w:val="24"/>
        </w:rPr>
      </w:pPr>
      <w:r>
        <w:rPr>
          <w:rFonts w:hint="eastAsia"/>
          <w:sz w:val="24"/>
        </w:rPr>
        <w:t>7、</w:t>
      </w:r>
      <w:r>
        <w:rPr>
          <w:sz w:val="24"/>
        </w:rPr>
        <w:t>合同管理</w:t>
      </w:r>
    </w:p>
    <w:p>
      <w:pPr>
        <w:spacing w:line="360" w:lineRule="auto"/>
        <w:ind w:firstLine="465"/>
        <w:rPr>
          <w:rFonts w:ascii="宋体" w:hAnsi="宋体"/>
          <w:sz w:val="24"/>
        </w:rPr>
      </w:pPr>
      <w:r>
        <w:rPr>
          <w:rFonts w:hint="eastAsia" w:ascii="宋体" w:hAnsi="宋体"/>
          <w:sz w:val="24"/>
        </w:rPr>
        <w:t>（</w:t>
      </w:r>
      <w:r>
        <w:rPr>
          <w:rFonts w:ascii="宋体" w:hAnsi="宋体"/>
          <w:sz w:val="24"/>
        </w:rPr>
        <w:t>1）协助</w:t>
      </w:r>
      <w:r>
        <w:rPr>
          <w:rFonts w:hint="eastAsia" w:ascii="宋体" w:hAnsi="宋体"/>
          <w:sz w:val="24"/>
        </w:rPr>
        <w:t>甲方</w:t>
      </w:r>
      <w:r>
        <w:rPr>
          <w:rFonts w:ascii="宋体" w:hAnsi="宋体"/>
          <w:sz w:val="24"/>
        </w:rPr>
        <w:t>与承建单位签订合同；</w:t>
      </w:r>
    </w:p>
    <w:p>
      <w:pPr>
        <w:spacing w:line="360" w:lineRule="auto"/>
        <w:ind w:firstLine="465"/>
        <w:rPr>
          <w:rFonts w:ascii="宋体" w:hAnsi="宋体"/>
          <w:sz w:val="24"/>
        </w:rPr>
      </w:pPr>
      <w:r>
        <w:rPr>
          <w:rFonts w:hint="eastAsia" w:ascii="宋体" w:hAnsi="宋体"/>
          <w:sz w:val="24"/>
        </w:rPr>
        <w:t>（</w:t>
      </w:r>
      <w:r>
        <w:rPr>
          <w:rFonts w:ascii="宋体" w:hAnsi="宋体"/>
          <w:sz w:val="24"/>
        </w:rPr>
        <w:t>2）跟踪检查合同的执行情况，确保承建单位按时履约；；</w:t>
      </w:r>
    </w:p>
    <w:p>
      <w:pPr>
        <w:spacing w:line="360" w:lineRule="auto"/>
        <w:ind w:firstLine="465"/>
        <w:rPr>
          <w:rFonts w:ascii="宋体" w:hAnsi="宋体"/>
          <w:sz w:val="24"/>
        </w:rPr>
      </w:pPr>
      <w:r>
        <w:rPr>
          <w:rFonts w:hint="eastAsia" w:ascii="宋体" w:hAnsi="宋体"/>
          <w:sz w:val="24"/>
        </w:rPr>
        <w:t>（</w:t>
      </w:r>
      <w:r>
        <w:rPr>
          <w:rFonts w:ascii="宋体" w:hAnsi="宋体"/>
          <w:sz w:val="24"/>
        </w:rPr>
        <w:t>3）对合同工期的延误和延期进行解释，协助甲方处理项目实施的每个过程出现的合同变更、违约、索赔、延期、分包、纠纷调解及仲裁等问题。</w:t>
      </w:r>
    </w:p>
    <w:p>
      <w:pPr>
        <w:pStyle w:val="5"/>
        <w:spacing w:line="360" w:lineRule="auto"/>
        <w:ind w:firstLine="465"/>
        <w:rPr>
          <w:sz w:val="24"/>
        </w:rPr>
      </w:pPr>
      <w:r>
        <w:rPr>
          <w:rFonts w:hint="eastAsia"/>
          <w:sz w:val="24"/>
        </w:rPr>
        <w:t>8、</w:t>
      </w:r>
      <w:r>
        <w:rPr>
          <w:sz w:val="24"/>
        </w:rPr>
        <w:t>项目信息管理</w:t>
      </w:r>
    </w:p>
    <w:p>
      <w:pPr>
        <w:spacing w:line="360" w:lineRule="auto"/>
        <w:ind w:firstLine="465"/>
        <w:rPr>
          <w:rFonts w:ascii="宋体" w:hAnsi="宋体"/>
          <w:sz w:val="24"/>
        </w:rPr>
      </w:pPr>
      <w:r>
        <w:rPr>
          <w:rFonts w:hint="eastAsia" w:ascii="宋体" w:hAnsi="宋体"/>
          <w:sz w:val="24"/>
        </w:rPr>
        <w:t>（</w:t>
      </w:r>
      <w:r>
        <w:rPr>
          <w:rFonts w:ascii="宋体" w:hAnsi="宋体"/>
          <w:sz w:val="24"/>
        </w:rPr>
        <w:t>1</w:t>
      </w:r>
      <w:r>
        <w:rPr>
          <w:rFonts w:hint="eastAsia" w:ascii="宋体" w:hAnsi="宋体"/>
          <w:sz w:val="24"/>
        </w:rPr>
        <w:t>）及时向甲方提交反映项目动态和监理工作情况的项目文档；</w:t>
      </w:r>
    </w:p>
    <w:p>
      <w:pPr>
        <w:spacing w:line="360" w:lineRule="auto"/>
        <w:ind w:firstLine="465"/>
        <w:rPr>
          <w:rFonts w:ascii="宋体" w:hAnsi="宋体"/>
          <w:sz w:val="24"/>
        </w:rPr>
      </w:pPr>
      <w:r>
        <w:rPr>
          <w:rFonts w:hint="eastAsia" w:ascii="宋体" w:hAnsi="宋体"/>
          <w:sz w:val="24"/>
        </w:rPr>
        <w:t>（</w:t>
      </w:r>
      <w:r>
        <w:rPr>
          <w:rFonts w:ascii="宋体" w:hAnsi="宋体"/>
          <w:sz w:val="24"/>
        </w:rPr>
        <w:t>2</w:t>
      </w:r>
      <w:r>
        <w:rPr>
          <w:rFonts w:hint="eastAsia" w:ascii="宋体" w:hAnsi="宋体"/>
          <w:sz w:val="24"/>
        </w:rPr>
        <w:t>）建立全面、准确反映项目各阶段工程状况的图表、文档，收集、管理项目各类文档和资料；</w:t>
      </w:r>
    </w:p>
    <w:p>
      <w:pPr>
        <w:spacing w:line="360" w:lineRule="auto"/>
        <w:ind w:firstLine="465"/>
        <w:rPr>
          <w:rFonts w:ascii="宋体" w:hAnsi="宋体"/>
          <w:sz w:val="24"/>
        </w:rPr>
      </w:pPr>
      <w:r>
        <w:rPr>
          <w:rFonts w:hint="eastAsia" w:ascii="宋体" w:hAnsi="宋体"/>
          <w:sz w:val="24"/>
        </w:rPr>
        <w:t>（</w:t>
      </w:r>
      <w:r>
        <w:rPr>
          <w:rFonts w:ascii="宋体" w:hAnsi="宋体"/>
          <w:sz w:val="24"/>
        </w:rPr>
        <w:t>3</w:t>
      </w:r>
      <w:r>
        <w:rPr>
          <w:rFonts w:hint="eastAsia" w:ascii="宋体" w:hAnsi="宋体"/>
          <w:sz w:val="24"/>
        </w:rPr>
        <w:t>）督促、检查集成商及时完成各阶段设备资料、工程技术资料的整理和归档工作；</w:t>
      </w:r>
    </w:p>
    <w:p>
      <w:pPr>
        <w:spacing w:line="360" w:lineRule="auto"/>
        <w:ind w:firstLine="465"/>
        <w:rPr>
          <w:rFonts w:ascii="宋体" w:hAnsi="宋体"/>
          <w:sz w:val="24"/>
        </w:rPr>
      </w:pPr>
      <w:r>
        <w:rPr>
          <w:rFonts w:hint="eastAsia" w:ascii="宋体" w:hAnsi="宋体"/>
          <w:sz w:val="24"/>
        </w:rPr>
        <w:t>（</w:t>
      </w:r>
      <w:r>
        <w:rPr>
          <w:rFonts w:ascii="宋体" w:hAnsi="宋体"/>
          <w:sz w:val="24"/>
        </w:rPr>
        <w:t>4</w:t>
      </w:r>
      <w:r>
        <w:rPr>
          <w:rFonts w:hint="eastAsia" w:ascii="宋体" w:hAnsi="宋体"/>
          <w:sz w:val="24"/>
        </w:rPr>
        <w:t>）转发用户发出的一切指示、通知和业务联系单。</w:t>
      </w:r>
    </w:p>
    <w:p>
      <w:pPr>
        <w:pStyle w:val="5"/>
        <w:spacing w:line="360" w:lineRule="auto"/>
        <w:ind w:firstLine="465"/>
        <w:rPr>
          <w:sz w:val="24"/>
        </w:rPr>
      </w:pPr>
      <w:r>
        <w:rPr>
          <w:rFonts w:hint="eastAsia"/>
          <w:sz w:val="24"/>
        </w:rPr>
        <w:t>9、项目文件的管理</w:t>
      </w:r>
    </w:p>
    <w:p>
      <w:pPr>
        <w:spacing w:line="360" w:lineRule="auto"/>
        <w:ind w:firstLine="465"/>
        <w:rPr>
          <w:rFonts w:ascii="宋体" w:hAnsi="宋体"/>
          <w:sz w:val="24"/>
        </w:rPr>
      </w:pPr>
      <w:r>
        <w:rPr>
          <w:rFonts w:hint="eastAsia" w:ascii="宋体" w:hAnsi="宋体"/>
          <w:sz w:val="24"/>
        </w:rPr>
        <w:t>（1）监理方应负责以下文档的编写：</w:t>
      </w:r>
    </w:p>
    <w:p>
      <w:pPr>
        <w:spacing w:line="360" w:lineRule="auto"/>
        <w:ind w:firstLine="465"/>
        <w:rPr>
          <w:rFonts w:ascii="宋体" w:hAnsi="宋体"/>
          <w:sz w:val="24"/>
        </w:rPr>
      </w:pPr>
      <w:r>
        <w:rPr>
          <w:rFonts w:hint="eastAsia" w:ascii="宋体" w:hAnsi="宋体"/>
          <w:sz w:val="24"/>
        </w:rPr>
        <w:t>项目建设监理日记、周报、月报及项目大事记；</w:t>
      </w:r>
    </w:p>
    <w:p>
      <w:pPr>
        <w:spacing w:line="360" w:lineRule="auto"/>
        <w:ind w:firstLine="465"/>
        <w:rPr>
          <w:rFonts w:ascii="宋体" w:hAnsi="宋体"/>
          <w:sz w:val="24"/>
        </w:rPr>
      </w:pPr>
      <w:r>
        <w:rPr>
          <w:rFonts w:hint="eastAsia" w:ascii="宋体" w:hAnsi="宋体"/>
          <w:sz w:val="24"/>
        </w:rPr>
        <w:t>项目协调会、技术研讨会等各类会议的纪要；</w:t>
      </w:r>
    </w:p>
    <w:p>
      <w:pPr>
        <w:spacing w:line="360" w:lineRule="auto"/>
        <w:ind w:firstLine="465"/>
        <w:rPr>
          <w:rFonts w:ascii="宋体" w:hAnsi="宋体"/>
          <w:sz w:val="24"/>
        </w:rPr>
      </w:pPr>
      <w:r>
        <w:rPr>
          <w:rFonts w:hint="eastAsia" w:ascii="宋体" w:hAnsi="宋体"/>
          <w:sz w:val="24"/>
        </w:rPr>
        <w:t>阶段性项目总结、阶段性项目监理总结、各类监理通知；</w:t>
      </w:r>
    </w:p>
    <w:p>
      <w:pPr>
        <w:spacing w:line="360" w:lineRule="auto"/>
        <w:ind w:firstLine="465"/>
        <w:rPr>
          <w:rFonts w:ascii="宋体" w:hAnsi="宋体"/>
          <w:sz w:val="24"/>
        </w:rPr>
      </w:pPr>
      <w:r>
        <w:rPr>
          <w:rFonts w:hint="eastAsia" w:ascii="宋体" w:hAnsi="宋体"/>
          <w:sz w:val="24"/>
        </w:rPr>
        <w:t>（2）监理方应参与以下文档的管理：</w:t>
      </w:r>
    </w:p>
    <w:p>
      <w:pPr>
        <w:spacing w:line="360" w:lineRule="auto"/>
        <w:ind w:firstLine="465"/>
        <w:rPr>
          <w:rFonts w:ascii="宋体" w:hAnsi="宋体"/>
          <w:sz w:val="24"/>
        </w:rPr>
      </w:pPr>
      <w:r>
        <w:rPr>
          <w:rFonts w:hint="eastAsia" w:ascii="宋体" w:hAnsi="宋体"/>
          <w:sz w:val="24"/>
        </w:rPr>
        <w:t>1）项目实施期间各类技术文件；</w:t>
      </w:r>
    </w:p>
    <w:p>
      <w:pPr>
        <w:spacing w:line="360" w:lineRule="auto"/>
        <w:ind w:firstLine="465"/>
        <w:rPr>
          <w:rFonts w:ascii="宋体" w:hAnsi="宋体"/>
          <w:sz w:val="24"/>
        </w:rPr>
      </w:pPr>
      <w:r>
        <w:rPr>
          <w:rFonts w:hint="eastAsia" w:ascii="宋体" w:hAnsi="宋体"/>
          <w:sz w:val="24"/>
        </w:rPr>
        <w:t>2）合同执行过程中的各类往来文件及存档；</w:t>
      </w:r>
    </w:p>
    <w:p>
      <w:pPr>
        <w:spacing w:line="360" w:lineRule="auto"/>
        <w:ind w:firstLine="465"/>
        <w:rPr>
          <w:rFonts w:ascii="宋体" w:hAnsi="宋体"/>
          <w:sz w:val="24"/>
        </w:rPr>
      </w:pPr>
      <w:r>
        <w:rPr>
          <w:rFonts w:hint="eastAsia" w:ascii="宋体" w:hAnsi="宋体"/>
          <w:sz w:val="24"/>
        </w:rPr>
        <w:t>3）工程变更签证单</w:t>
      </w:r>
    </w:p>
    <w:p>
      <w:pPr>
        <w:pStyle w:val="5"/>
        <w:spacing w:line="360" w:lineRule="auto"/>
        <w:ind w:firstLine="465"/>
        <w:rPr>
          <w:sz w:val="24"/>
        </w:rPr>
      </w:pPr>
      <w:r>
        <w:rPr>
          <w:rFonts w:hint="eastAsia"/>
          <w:sz w:val="24"/>
        </w:rPr>
        <w:t>10、项目安全的管理</w:t>
      </w:r>
    </w:p>
    <w:p>
      <w:pPr>
        <w:spacing w:line="360" w:lineRule="auto"/>
        <w:ind w:firstLine="465"/>
        <w:rPr>
          <w:rFonts w:ascii="宋体" w:hAnsi="宋体"/>
          <w:sz w:val="24"/>
        </w:rPr>
      </w:pPr>
      <w:r>
        <w:rPr>
          <w:rFonts w:hint="eastAsia" w:ascii="宋体" w:hAnsi="宋体"/>
          <w:sz w:val="24"/>
        </w:rPr>
        <w:t>（</w:t>
      </w:r>
      <w:r>
        <w:rPr>
          <w:rFonts w:ascii="宋体" w:hAnsi="宋体"/>
          <w:sz w:val="24"/>
        </w:rPr>
        <w:t>1）负责监督项目建设过程中所涉及的政府数据和资料的安全保护，保证不被非授权使用；</w:t>
      </w:r>
    </w:p>
    <w:p>
      <w:pPr>
        <w:spacing w:line="360" w:lineRule="auto"/>
        <w:ind w:firstLine="465"/>
        <w:rPr>
          <w:rFonts w:ascii="宋体" w:hAnsi="宋体"/>
        </w:rPr>
      </w:pPr>
      <w:r>
        <w:rPr>
          <w:rFonts w:hint="eastAsia" w:ascii="宋体" w:hAnsi="宋体"/>
        </w:rPr>
        <w:t>（</w:t>
      </w:r>
      <w:r>
        <w:rPr>
          <w:rFonts w:ascii="宋体" w:hAnsi="宋体"/>
        </w:rPr>
        <w:t>2）负责项目建设施工过程中安全控制，确保不出现安全事故；</w:t>
      </w:r>
    </w:p>
    <w:p>
      <w:pPr>
        <w:pStyle w:val="5"/>
        <w:spacing w:line="360" w:lineRule="auto"/>
        <w:ind w:firstLine="465"/>
        <w:rPr>
          <w:sz w:val="24"/>
        </w:rPr>
      </w:pPr>
      <w:r>
        <w:rPr>
          <w:rFonts w:hint="eastAsia"/>
          <w:sz w:val="24"/>
        </w:rPr>
        <w:t>11、</w:t>
      </w:r>
      <w:r>
        <w:rPr>
          <w:sz w:val="24"/>
        </w:rPr>
        <w:t>项目会议制度</w:t>
      </w:r>
    </w:p>
    <w:p>
      <w:pPr>
        <w:spacing w:line="360" w:lineRule="auto"/>
        <w:rPr>
          <w:rFonts w:ascii="宋体" w:hAnsi="宋体"/>
          <w:sz w:val="24"/>
        </w:rPr>
      </w:pPr>
      <w:r>
        <w:rPr>
          <w:rFonts w:hint="eastAsia" w:ascii="宋体" w:hAnsi="宋体"/>
          <w:sz w:val="24"/>
        </w:rPr>
        <w:t>（</w:t>
      </w:r>
      <w:r>
        <w:rPr>
          <w:rFonts w:ascii="宋体" w:hAnsi="宋体"/>
          <w:sz w:val="24"/>
        </w:rPr>
        <w:t>1）为保证监理工作的开展和实施协调，监理方可组织必要的会议来保证：</w:t>
      </w:r>
    </w:p>
    <w:p>
      <w:pPr>
        <w:spacing w:line="360" w:lineRule="auto"/>
        <w:ind w:firstLine="465"/>
        <w:rPr>
          <w:rFonts w:ascii="宋体" w:hAnsi="宋体"/>
          <w:sz w:val="24"/>
        </w:rPr>
      </w:pPr>
      <w:r>
        <w:rPr>
          <w:rFonts w:ascii="宋体" w:hAnsi="宋体"/>
          <w:sz w:val="24"/>
        </w:rPr>
        <w:t>1）项目协调会；</w:t>
      </w:r>
    </w:p>
    <w:p>
      <w:pPr>
        <w:spacing w:line="360" w:lineRule="auto"/>
        <w:ind w:firstLine="465"/>
        <w:rPr>
          <w:rFonts w:ascii="宋体" w:hAnsi="宋体"/>
          <w:sz w:val="24"/>
        </w:rPr>
      </w:pPr>
      <w:r>
        <w:rPr>
          <w:rFonts w:ascii="宋体" w:hAnsi="宋体"/>
          <w:sz w:val="24"/>
        </w:rPr>
        <w:t>2）项目周例会；</w:t>
      </w:r>
    </w:p>
    <w:p>
      <w:pPr>
        <w:spacing w:line="360" w:lineRule="auto"/>
        <w:ind w:firstLine="465"/>
        <w:rPr>
          <w:rFonts w:ascii="宋体" w:hAnsi="宋体"/>
          <w:sz w:val="24"/>
        </w:rPr>
      </w:pPr>
      <w:r>
        <w:rPr>
          <w:rFonts w:ascii="宋体" w:hAnsi="宋体"/>
          <w:sz w:val="24"/>
        </w:rPr>
        <w:t>3）项目专题研讨会；</w:t>
      </w:r>
    </w:p>
    <w:p>
      <w:pPr>
        <w:spacing w:line="360" w:lineRule="auto"/>
        <w:ind w:firstLine="465"/>
        <w:rPr>
          <w:rFonts w:ascii="宋体" w:hAnsi="宋体"/>
          <w:sz w:val="24"/>
        </w:rPr>
      </w:pPr>
      <w:r>
        <w:rPr>
          <w:rFonts w:ascii="宋体" w:hAnsi="宋体"/>
          <w:sz w:val="24"/>
        </w:rPr>
        <w:t>4）项目问题通报会；</w:t>
      </w:r>
    </w:p>
    <w:p>
      <w:pPr>
        <w:spacing w:line="360" w:lineRule="auto"/>
        <w:ind w:firstLine="465"/>
        <w:rPr>
          <w:rFonts w:ascii="宋体" w:hAnsi="宋体"/>
          <w:sz w:val="24"/>
        </w:rPr>
      </w:pPr>
      <w:r>
        <w:rPr>
          <w:rFonts w:ascii="宋体" w:hAnsi="宋体"/>
          <w:sz w:val="24"/>
        </w:rPr>
        <w:t>5）项目阶段及最终验收会。</w:t>
      </w:r>
    </w:p>
    <w:p>
      <w:pPr>
        <w:spacing w:line="360" w:lineRule="auto"/>
        <w:rPr>
          <w:rFonts w:ascii="宋体" w:hAnsi="宋体"/>
          <w:sz w:val="24"/>
        </w:rPr>
      </w:pPr>
      <w:r>
        <w:rPr>
          <w:rFonts w:hint="eastAsia" w:ascii="宋体" w:hAnsi="宋体"/>
          <w:sz w:val="24"/>
        </w:rPr>
        <w:t>（</w:t>
      </w:r>
      <w:r>
        <w:rPr>
          <w:rFonts w:ascii="宋体" w:hAnsi="宋体"/>
          <w:sz w:val="24"/>
        </w:rPr>
        <w:t>2）监理方还应积极参加以下会议：</w:t>
      </w:r>
    </w:p>
    <w:p>
      <w:pPr>
        <w:spacing w:line="360" w:lineRule="auto"/>
        <w:ind w:firstLine="465"/>
        <w:rPr>
          <w:rFonts w:ascii="宋体" w:hAnsi="宋体"/>
          <w:sz w:val="24"/>
        </w:rPr>
      </w:pPr>
      <w:r>
        <w:rPr>
          <w:rFonts w:ascii="宋体" w:hAnsi="宋体"/>
          <w:sz w:val="24"/>
        </w:rPr>
        <w:t>1）项目</w:t>
      </w:r>
      <w:r>
        <w:rPr>
          <w:rFonts w:hint="eastAsia" w:ascii="宋体" w:hAnsi="宋体"/>
          <w:sz w:val="24"/>
        </w:rPr>
        <w:t>验收</w:t>
      </w:r>
      <w:r>
        <w:rPr>
          <w:rFonts w:ascii="宋体" w:hAnsi="宋体"/>
          <w:sz w:val="24"/>
        </w:rPr>
        <w:t>会；</w:t>
      </w:r>
    </w:p>
    <w:p>
      <w:pPr>
        <w:spacing w:line="360" w:lineRule="auto"/>
        <w:ind w:firstLine="465"/>
        <w:rPr>
          <w:rFonts w:ascii="宋体" w:hAnsi="宋体"/>
          <w:sz w:val="24"/>
        </w:rPr>
      </w:pPr>
      <w:r>
        <w:rPr>
          <w:rFonts w:ascii="宋体" w:hAnsi="宋体"/>
          <w:sz w:val="24"/>
        </w:rPr>
        <w:t>2）项目阶段工作总结会；</w:t>
      </w:r>
    </w:p>
    <w:p>
      <w:pPr>
        <w:pStyle w:val="5"/>
        <w:spacing w:line="360" w:lineRule="auto"/>
        <w:ind w:firstLine="465"/>
        <w:rPr>
          <w:sz w:val="24"/>
        </w:rPr>
      </w:pPr>
      <w:r>
        <w:rPr>
          <w:rFonts w:hint="eastAsia"/>
          <w:sz w:val="24"/>
        </w:rPr>
        <w:t>12、组织协调</w:t>
      </w:r>
    </w:p>
    <w:p>
      <w:pPr>
        <w:spacing w:line="360" w:lineRule="auto"/>
        <w:ind w:firstLine="465"/>
        <w:rPr>
          <w:rFonts w:ascii="宋体" w:hAnsi="宋体"/>
          <w:sz w:val="24"/>
        </w:rPr>
      </w:pPr>
      <w:r>
        <w:rPr>
          <w:rFonts w:hint="eastAsia" w:ascii="宋体" w:hAnsi="宋体"/>
          <w:sz w:val="24"/>
        </w:rPr>
        <w:t>（</w:t>
      </w:r>
      <w:r>
        <w:rPr>
          <w:rFonts w:ascii="宋体" w:hAnsi="宋体"/>
          <w:sz w:val="24"/>
        </w:rPr>
        <w:t>1</w:t>
      </w:r>
      <w:r>
        <w:rPr>
          <w:rFonts w:hint="eastAsia" w:ascii="宋体" w:hAnsi="宋体"/>
          <w:sz w:val="24"/>
        </w:rPr>
        <w:t>）监督各方履行职责，协调各方的工作关系；</w:t>
      </w:r>
    </w:p>
    <w:p>
      <w:pPr>
        <w:spacing w:line="360" w:lineRule="auto"/>
        <w:ind w:firstLine="465"/>
        <w:rPr>
          <w:rFonts w:ascii="宋体" w:hAnsi="宋体"/>
          <w:sz w:val="24"/>
        </w:rPr>
      </w:pPr>
      <w:r>
        <w:rPr>
          <w:rFonts w:hint="eastAsia" w:ascii="宋体" w:hAnsi="宋体"/>
          <w:sz w:val="24"/>
        </w:rPr>
        <w:t>（</w:t>
      </w:r>
      <w:r>
        <w:rPr>
          <w:rFonts w:ascii="宋体" w:hAnsi="宋体"/>
          <w:sz w:val="24"/>
        </w:rPr>
        <w:t>2</w:t>
      </w:r>
      <w:r>
        <w:rPr>
          <w:rFonts w:hint="eastAsia" w:ascii="宋体" w:hAnsi="宋体"/>
          <w:sz w:val="24"/>
        </w:rPr>
        <w:t>）建立畅通的沟通平台和沟通渠道，采取有效措施使项目信息在有关各方之间保持顺畅流通，积极协调项目各方之间的关系，推动项目实施过程中问题的解决。</w:t>
      </w:r>
    </w:p>
    <w:p>
      <w:pPr>
        <w:spacing w:line="360" w:lineRule="auto"/>
        <w:ind w:firstLine="465"/>
        <w:rPr>
          <w:rFonts w:ascii="宋体" w:hAnsi="宋体"/>
          <w:sz w:val="24"/>
        </w:rPr>
      </w:pPr>
      <w:r>
        <w:rPr>
          <w:rFonts w:hint="eastAsia" w:ascii="宋体" w:hAnsi="宋体"/>
          <w:sz w:val="24"/>
        </w:rPr>
        <w:t>（</w:t>
      </w:r>
      <w:r>
        <w:rPr>
          <w:rFonts w:ascii="宋体" w:hAnsi="宋体"/>
          <w:sz w:val="24"/>
        </w:rPr>
        <w:t>3</w:t>
      </w:r>
      <w:r>
        <w:rPr>
          <w:rFonts w:hint="eastAsia" w:ascii="宋体" w:hAnsi="宋体"/>
          <w:sz w:val="24"/>
        </w:rPr>
        <w:t>）确立项目安全监督的工作目标。</w:t>
      </w:r>
    </w:p>
    <w:p>
      <w:pPr>
        <w:pStyle w:val="5"/>
        <w:spacing w:line="360" w:lineRule="auto"/>
        <w:ind w:firstLine="465"/>
        <w:rPr>
          <w:sz w:val="24"/>
        </w:rPr>
      </w:pPr>
      <w:r>
        <w:rPr>
          <w:rFonts w:hint="eastAsia"/>
          <w:sz w:val="24"/>
        </w:rPr>
        <w:t>13、对监理服务的考核</w:t>
      </w:r>
    </w:p>
    <w:p>
      <w:pPr>
        <w:spacing w:line="360" w:lineRule="auto"/>
        <w:ind w:firstLine="465"/>
        <w:rPr>
          <w:rFonts w:ascii="宋体" w:hAnsi="宋体"/>
          <w:sz w:val="24"/>
        </w:rPr>
      </w:pPr>
      <w:r>
        <w:rPr>
          <w:rFonts w:hint="eastAsia" w:ascii="宋体" w:hAnsi="宋体"/>
          <w:sz w:val="24"/>
        </w:rPr>
        <w:t>委托人对中选单位开展相关工作实行严格的服务质量考核办法，对其工作质量进行评价考核监督。双方约定，合同签署后制定具体的考核细则，考核细则经确认后执行。</w:t>
      </w:r>
    </w:p>
    <w:p>
      <w:pPr>
        <w:pStyle w:val="4"/>
      </w:pPr>
      <w:r>
        <w:rPr>
          <w:rFonts w:hint="eastAsia"/>
        </w:rPr>
        <w:t>七、对监理单位的要求</w:t>
      </w:r>
    </w:p>
    <w:p>
      <w:pPr>
        <w:pStyle w:val="5"/>
        <w:rPr>
          <w:sz w:val="24"/>
        </w:rPr>
      </w:pPr>
      <w:r>
        <w:rPr>
          <w:rFonts w:hint="eastAsia"/>
          <w:sz w:val="24"/>
        </w:rPr>
        <w:t>（一）对监理机构的管理架构要求</w:t>
      </w:r>
    </w:p>
    <w:p>
      <w:pPr>
        <w:spacing w:line="360" w:lineRule="auto"/>
        <w:ind w:firstLine="465"/>
        <w:rPr>
          <w:rFonts w:ascii="宋体" w:hAnsi="宋体"/>
          <w:sz w:val="24"/>
        </w:rPr>
      </w:pPr>
      <w:r>
        <w:rPr>
          <w:rFonts w:ascii="宋体" w:hAnsi="宋体"/>
          <w:sz w:val="24"/>
        </w:rPr>
        <w:t>1.</w:t>
      </w:r>
      <w:r>
        <w:rPr>
          <w:rFonts w:hint="eastAsia" w:ascii="宋体" w:hAnsi="宋体"/>
          <w:sz w:val="24"/>
        </w:rPr>
        <w:t>应严格遵守监理规范、国家现行的有关强制性标准、规范的规定。公正、独立、自主地开展监理工作，维护建设单位和施工单位的合法权益。</w:t>
      </w:r>
    </w:p>
    <w:p>
      <w:pPr>
        <w:spacing w:line="360" w:lineRule="auto"/>
        <w:ind w:firstLine="465"/>
        <w:rPr>
          <w:rFonts w:ascii="宋体" w:hAnsi="宋体"/>
          <w:sz w:val="24"/>
        </w:rPr>
      </w:pPr>
      <w:r>
        <w:rPr>
          <w:rFonts w:ascii="宋体" w:hAnsi="宋体"/>
          <w:sz w:val="24"/>
        </w:rPr>
        <w:t>2.</w:t>
      </w:r>
      <w:r>
        <w:rPr>
          <w:rFonts w:hint="eastAsia" w:ascii="宋体" w:hAnsi="宋体"/>
          <w:sz w:val="24"/>
        </w:rPr>
        <w:t>应派总监理工程师驻场，全面负责委托监理合同的履行、主持项目监理机构工作，应取得信息系统项目管理师资格。</w:t>
      </w:r>
    </w:p>
    <w:p>
      <w:pPr>
        <w:spacing w:line="360" w:lineRule="auto"/>
        <w:ind w:firstLine="465"/>
        <w:rPr>
          <w:rFonts w:ascii="宋体" w:hAnsi="宋体"/>
          <w:sz w:val="24"/>
        </w:rPr>
      </w:pPr>
      <w:r>
        <w:rPr>
          <w:rFonts w:hint="eastAsia" w:ascii="宋体" w:hAnsi="宋体"/>
          <w:sz w:val="24"/>
        </w:rPr>
        <w:t>3. 技术负责人要求，负责项目全过程技术服务咨询，对信息化建设有相关类似工作经验，对新技术应用有较全面的了解。</w:t>
      </w:r>
    </w:p>
    <w:p>
      <w:pPr>
        <w:spacing w:line="360" w:lineRule="auto"/>
        <w:ind w:firstLine="465"/>
        <w:rPr>
          <w:rFonts w:ascii="宋体" w:hAnsi="宋体"/>
          <w:sz w:val="24"/>
        </w:rPr>
      </w:pPr>
      <w:r>
        <w:rPr>
          <w:rFonts w:ascii="宋体" w:hAnsi="宋体"/>
          <w:sz w:val="24"/>
        </w:rPr>
        <w:t>4.</w:t>
      </w:r>
      <w:r>
        <w:rPr>
          <w:rFonts w:hint="eastAsia" w:ascii="宋体" w:hAnsi="宋体"/>
          <w:sz w:val="24"/>
        </w:rPr>
        <w:t>驻场监理机构要求：专业配套齐备，监理人员必须是监理工程师或经过系统监理培训的人员。各专业人数应满足项目各阶段建设时监理人员旁站监理的要求。供应商须为“湖北省建筑市场监管与诚信信息一体化平台” (以下简称省一 体化平台)登记单位。(上传能证明本企业是省一体化平台登记单位的截图或《省外建筑业企业投标信息登记表》截图)；</w:t>
      </w:r>
    </w:p>
    <w:p>
      <w:pPr>
        <w:spacing w:line="360" w:lineRule="auto"/>
        <w:ind w:firstLine="480" w:firstLineChars="200"/>
        <w:jc w:val="left"/>
        <w:rPr>
          <w:rFonts w:hint="eastAsia" w:ascii="宋体" w:hAnsi="宋体"/>
          <w:sz w:val="24"/>
        </w:rPr>
      </w:pPr>
      <w:r>
        <w:rPr>
          <w:rFonts w:hint="eastAsia" w:ascii="宋体" w:hAnsi="宋体"/>
          <w:sz w:val="24"/>
        </w:rPr>
        <w:t>5</w:t>
      </w:r>
      <w:r>
        <w:rPr>
          <w:rFonts w:ascii="宋体" w:hAnsi="宋体"/>
          <w:sz w:val="24"/>
        </w:rPr>
        <w:t>.</w:t>
      </w:r>
      <w:r>
        <w:rPr>
          <w:rFonts w:hint="eastAsia" w:ascii="宋体" w:hAnsi="宋体"/>
          <w:sz w:val="24"/>
        </w:rPr>
        <w:t>供应商拟派本项目的项目总监、专业监理工程师、安全监理工程师等所有监理机构人员须上传 202</w:t>
      </w:r>
      <w:r>
        <w:rPr>
          <w:rFonts w:ascii="宋体" w:hAnsi="宋体"/>
          <w:sz w:val="24"/>
        </w:rPr>
        <w:t>3</w:t>
      </w:r>
      <w:r>
        <w:rPr>
          <w:rFonts w:hint="eastAsia" w:ascii="宋体" w:hAnsi="宋体"/>
          <w:sz w:val="24"/>
        </w:rPr>
        <w:t>年</w:t>
      </w:r>
      <w:r>
        <w:rPr>
          <w:rFonts w:ascii="宋体" w:hAnsi="宋体"/>
          <w:sz w:val="24"/>
        </w:rPr>
        <w:t>2</w:t>
      </w:r>
      <w:r>
        <w:rPr>
          <w:rFonts w:hint="eastAsia" w:ascii="宋体" w:hAnsi="宋体"/>
          <w:sz w:val="24"/>
        </w:rPr>
        <w:t>月以来任意一个月由社会劳动保障部门出具的社会保险缴费 证明(需加盖人社部门公章)原件彩色扫描件或带电子章的参保单位缴费信息证明原 件彩色扫描件，且社保证明材料所记载的单位必须是该投标单位或其分公司。</w:t>
      </w:r>
    </w:p>
    <w:p>
      <w:pPr>
        <w:spacing w:line="360" w:lineRule="auto"/>
        <w:ind w:firstLine="465"/>
        <w:rPr>
          <w:rFonts w:hint="eastAsia" w:ascii="宋体" w:hAnsi="宋体"/>
          <w:sz w:val="24"/>
        </w:rPr>
      </w:pPr>
      <w:r>
        <w:rPr>
          <w:rFonts w:ascii="宋体" w:hAnsi="宋体"/>
          <w:sz w:val="24"/>
        </w:rPr>
        <w:t>6</w:t>
      </w:r>
      <w:r>
        <w:rPr>
          <w:rFonts w:hint="eastAsia" w:ascii="宋体" w:hAnsi="宋体"/>
          <w:sz w:val="24"/>
        </w:rPr>
        <w:t>．应对工程的重点、难点，提出相应的监理控制手段和措施以及有参考价值的建议。监理单位编写的监理方案应包括：工程概况、监理范围、监理目标、监理措施、对工程的理解、投资、进度及质量控制、合同管理、组织协调、检测设备仪器、针对性监控难点、合理化建议、项目监理机构组织机构、监理人员等内容。</w:t>
      </w:r>
    </w:p>
    <w:p>
      <w:pPr>
        <w:pStyle w:val="5"/>
      </w:pPr>
      <w:r>
        <w:rPr>
          <w:rFonts w:hint="eastAsia"/>
        </w:rPr>
        <w:t>（二）对监理单位投入的人员要求与公司要求</w:t>
      </w:r>
    </w:p>
    <w:tbl>
      <w:tblPr>
        <w:tblStyle w:val="9"/>
        <w:tblW w:w="8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1"/>
        <w:gridCol w:w="851"/>
        <w:gridCol w:w="59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81" w:type="dxa"/>
            <w:vAlign w:val="center"/>
          </w:tcPr>
          <w:p>
            <w:pPr>
              <w:spacing w:line="360" w:lineRule="auto"/>
              <w:ind w:right="-53"/>
              <w:jc w:val="center"/>
              <w:rPr>
                <w:rFonts w:ascii="宋体" w:hAnsi="宋体" w:cs="Arial"/>
                <w:b/>
                <w:sz w:val="24"/>
              </w:rPr>
            </w:pPr>
            <w:r>
              <w:rPr>
                <w:rFonts w:hint="eastAsia" w:ascii="宋体" w:hAnsi="宋体" w:cs="Arial"/>
                <w:b/>
                <w:sz w:val="24"/>
              </w:rPr>
              <w:t>人员类别</w:t>
            </w:r>
          </w:p>
        </w:tc>
        <w:tc>
          <w:tcPr>
            <w:tcW w:w="851" w:type="dxa"/>
            <w:vAlign w:val="center"/>
          </w:tcPr>
          <w:p>
            <w:pPr>
              <w:spacing w:line="360" w:lineRule="auto"/>
              <w:ind w:right="-53"/>
              <w:jc w:val="center"/>
              <w:rPr>
                <w:rFonts w:ascii="宋体" w:hAnsi="宋体" w:cs="Arial"/>
                <w:b/>
                <w:sz w:val="24"/>
              </w:rPr>
            </w:pPr>
            <w:r>
              <w:rPr>
                <w:rFonts w:hint="eastAsia" w:ascii="宋体" w:hAnsi="宋体" w:cs="Arial"/>
                <w:b/>
                <w:sz w:val="24"/>
              </w:rPr>
              <w:t>数量</w:t>
            </w:r>
          </w:p>
        </w:tc>
        <w:tc>
          <w:tcPr>
            <w:tcW w:w="5956" w:type="dxa"/>
            <w:vAlign w:val="center"/>
          </w:tcPr>
          <w:p>
            <w:pPr>
              <w:spacing w:line="360" w:lineRule="auto"/>
              <w:ind w:right="-53"/>
              <w:jc w:val="center"/>
              <w:rPr>
                <w:rFonts w:ascii="宋体" w:hAnsi="宋体" w:cs="Arial"/>
                <w:b/>
                <w:sz w:val="24"/>
              </w:rPr>
            </w:pPr>
            <w:r>
              <w:rPr>
                <w:rFonts w:hint="eastAsia" w:ascii="宋体" w:hAnsi="宋体" w:cs="Arial"/>
                <w:b/>
                <w:sz w:val="24"/>
              </w:rPr>
              <w:t>人员要求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1381" w:type="dxa"/>
            <w:vAlign w:val="center"/>
          </w:tcPr>
          <w:p>
            <w:pPr>
              <w:spacing w:line="360" w:lineRule="auto"/>
              <w:ind w:right="-53"/>
              <w:jc w:val="center"/>
              <w:rPr>
                <w:rFonts w:ascii="宋体" w:hAnsi="宋体" w:cs="Arial"/>
                <w:b/>
                <w:sz w:val="24"/>
              </w:rPr>
            </w:pPr>
            <w:r>
              <w:rPr>
                <w:rFonts w:hint="eastAsia" w:ascii="宋体" w:hAnsi="宋体" w:cs="Arial"/>
                <w:b/>
                <w:sz w:val="24"/>
              </w:rPr>
              <w:t>监理工程师</w:t>
            </w:r>
          </w:p>
          <w:p>
            <w:pPr>
              <w:spacing w:line="360" w:lineRule="auto"/>
              <w:ind w:right="-53"/>
              <w:jc w:val="center"/>
              <w:rPr>
                <w:rFonts w:ascii="宋体" w:hAnsi="宋体" w:cs="Arial"/>
                <w:b/>
                <w:sz w:val="24"/>
              </w:rPr>
            </w:pPr>
          </w:p>
        </w:tc>
        <w:tc>
          <w:tcPr>
            <w:tcW w:w="851" w:type="dxa"/>
            <w:vAlign w:val="center"/>
          </w:tcPr>
          <w:p>
            <w:pPr>
              <w:spacing w:line="360" w:lineRule="auto"/>
              <w:ind w:right="-53"/>
              <w:jc w:val="center"/>
              <w:rPr>
                <w:rFonts w:ascii="宋体" w:hAnsi="宋体" w:cs="Arial"/>
                <w:b/>
                <w:color w:val="000000" w:themeColor="text1"/>
                <w:sz w:val="24"/>
                <w14:textFill>
                  <w14:solidFill>
                    <w14:schemeClr w14:val="tx1"/>
                  </w14:solidFill>
                </w14:textFill>
              </w:rPr>
            </w:pPr>
            <w:r>
              <w:rPr>
                <w:rFonts w:hint="eastAsia" w:ascii="宋体" w:hAnsi="宋体" w:cs="Arial"/>
                <w:b/>
                <w:color w:val="000000" w:themeColor="text1"/>
                <w:sz w:val="24"/>
                <w14:textFill>
                  <w14:solidFill>
                    <w14:schemeClr w14:val="tx1"/>
                  </w14:solidFill>
                </w14:textFill>
              </w:rPr>
              <w:t>1</w:t>
            </w:r>
          </w:p>
        </w:tc>
        <w:tc>
          <w:tcPr>
            <w:tcW w:w="5956" w:type="dxa"/>
            <w:vAlign w:val="center"/>
          </w:tcPr>
          <w:p>
            <w:pPr>
              <w:autoSpaceDE w:val="0"/>
              <w:autoSpaceDN w:val="0"/>
              <w:spacing w:line="360" w:lineRule="auto"/>
              <w:rPr>
                <w:rFonts w:ascii="宋体" w:hAnsi="宋体" w:cs="Arial"/>
                <w:color w:val="C00000"/>
                <w:sz w:val="24"/>
              </w:rPr>
            </w:pPr>
            <w:r>
              <w:rPr>
                <w:rFonts w:hint="eastAsia" w:ascii="宋体" w:hAnsi="宋体" w:cs="Arial"/>
                <w:color w:val="C00000"/>
                <w:sz w:val="24"/>
              </w:rPr>
              <w:t>从事弱电工程监理工作</w:t>
            </w:r>
            <w:r>
              <w:rPr>
                <w:rFonts w:ascii="宋体" w:hAnsi="宋体" w:cs="Arial"/>
                <w:color w:val="C00000"/>
                <w:sz w:val="24"/>
                <w:u w:val="single"/>
              </w:rPr>
              <w:t xml:space="preserve"> </w:t>
            </w:r>
            <w:r>
              <w:rPr>
                <w:rFonts w:hint="eastAsia" w:ascii="宋体" w:hAnsi="宋体" w:cs="Arial"/>
                <w:color w:val="C00000"/>
                <w:sz w:val="24"/>
                <w:u w:val="single"/>
              </w:rPr>
              <w:t>5</w:t>
            </w:r>
            <w:r>
              <w:rPr>
                <w:rFonts w:ascii="宋体" w:hAnsi="宋体" w:cs="Arial"/>
                <w:color w:val="C00000"/>
                <w:sz w:val="24"/>
                <w:u w:val="single"/>
              </w:rPr>
              <w:t xml:space="preserve"> </w:t>
            </w:r>
            <w:r>
              <w:rPr>
                <w:rFonts w:hint="eastAsia" w:ascii="宋体" w:hAnsi="宋体" w:cs="Arial"/>
                <w:color w:val="C00000"/>
                <w:sz w:val="24"/>
              </w:rPr>
              <w:t>年以上；</w:t>
            </w:r>
          </w:p>
          <w:p>
            <w:pPr>
              <w:autoSpaceDE w:val="0"/>
              <w:autoSpaceDN w:val="0"/>
              <w:spacing w:line="360" w:lineRule="auto"/>
              <w:rPr>
                <w:rFonts w:ascii="宋体" w:hAnsi="宋体" w:cs="Arial"/>
                <w:b/>
                <w:color w:val="000000" w:themeColor="text1"/>
                <w:sz w:val="24"/>
                <w14:textFill>
                  <w14:solidFill>
                    <w14:schemeClr w14:val="tx1"/>
                  </w14:solidFill>
                </w14:textFill>
              </w:rPr>
            </w:pPr>
            <w:r>
              <w:rPr>
                <w:rFonts w:hint="eastAsia" w:ascii="宋体" w:hAnsi="宋体"/>
                <w:color w:val="C00000"/>
                <w:sz w:val="24"/>
              </w:rPr>
              <w:t>中标供应商应保证能根据项目建设的实际需要，在相应阶段安排足够的监理工程师到场开展工作。未经甲方批准，不得随意更换驻场监理工程师。</w:t>
            </w:r>
          </w:p>
        </w:tc>
      </w:tr>
    </w:tbl>
    <w:p>
      <w:pPr>
        <w:pStyle w:val="4"/>
        <w:rPr>
          <w:rFonts w:hint="eastAsia"/>
        </w:rPr>
      </w:pPr>
    </w:p>
    <w:p>
      <w:pPr>
        <w:pStyle w:val="4"/>
        <w:rPr>
          <w:rFonts w:hint="eastAsia"/>
        </w:rPr>
      </w:pPr>
      <w:r>
        <w:rPr>
          <w:rFonts w:hint="eastAsia"/>
        </w:rPr>
        <w:t>八、验收与移交</w:t>
      </w:r>
    </w:p>
    <w:p>
      <w:pPr>
        <w:numPr>
          <w:ilvl w:val="0"/>
          <w:numId w:val="3"/>
        </w:numPr>
        <w:spacing w:line="360" w:lineRule="auto"/>
        <w:rPr>
          <w:rFonts w:ascii="宋体" w:hAnsi="宋体"/>
          <w:sz w:val="24"/>
        </w:rPr>
      </w:pPr>
      <w:r>
        <w:rPr>
          <w:rFonts w:hint="eastAsia" w:ascii="宋体" w:hAnsi="宋体"/>
          <w:sz w:val="24"/>
        </w:rPr>
        <w:t>按照《中国地质大学（武汉）信息化项目验收规范》，组织验收。</w:t>
      </w:r>
    </w:p>
    <w:p>
      <w:pPr>
        <w:numPr>
          <w:ilvl w:val="0"/>
          <w:numId w:val="3"/>
        </w:numPr>
        <w:spacing w:line="360" w:lineRule="auto"/>
        <w:rPr>
          <w:rFonts w:ascii="宋体" w:hAnsi="宋体"/>
          <w:sz w:val="24"/>
        </w:rPr>
      </w:pPr>
      <w:r>
        <w:rPr>
          <w:rFonts w:hint="eastAsia" w:ascii="宋体" w:hAnsi="宋体"/>
          <w:sz w:val="24"/>
        </w:rPr>
        <w:t>协助委托人审批承建单位的验收申请，并制订工程验收计划；协助委托人进行工程初验、试运行和终验工作，并负责督促和检查承建单位的整改工作；审查承建单位提交的竣工文档；工程验收通过后，与委托人、承建单位三方共同签署验收报告；复核确认或否决承建单位编制的工程结算、决算；审查承建单位阶段工程款支付申请，提出监理意见；向建设单位提交监理工作总结；将所有的监理材料汇总，编制监理业务手册，提交建设方；系统验收完毕进入保修阶段的审核与签发移交证书。其他需要监理的事项。</w:t>
      </w:r>
    </w:p>
    <w:p>
      <w:pPr>
        <w:numPr>
          <w:ilvl w:val="0"/>
          <w:numId w:val="3"/>
        </w:numPr>
        <w:spacing w:line="360" w:lineRule="auto"/>
        <w:rPr>
          <w:rFonts w:ascii="宋体" w:hAnsi="宋体"/>
          <w:sz w:val="24"/>
        </w:rPr>
      </w:pPr>
      <w:r>
        <w:rPr>
          <w:rFonts w:hint="eastAsia" w:ascii="宋体" w:hAnsi="宋体"/>
          <w:sz w:val="24"/>
        </w:rPr>
        <w:t>移交：各项目完工后根据相关合同督促承建单位将完整的原始实施技术资料移交给委托人方，同时负责检查移交的文档，确保真实和完整包括：系统的施工方案、竣工图纸；设备、材料清单等；工程实施文档；工程竣工文档以及链路测试报告；及工程项目的整体移交。</w:t>
      </w:r>
    </w:p>
    <w:p>
      <w:pPr>
        <w:spacing w:line="360" w:lineRule="auto"/>
        <w:ind w:firstLine="465"/>
        <w:rPr>
          <w:rFonts w:ascii="宋体" w:hAnsi="宋体"/>
          <w:sz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swiss"/>
    <w:pitch w:val="default"/>
    <w:sig w:usb0="E0002EFF" w:usb1="C000785B" w:usb2="00000009" w:usb3="00000000" w:csb0="4000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65B25FF"/>
    <w:multiLevelType w:val="singleLevel"/>
    <w:tmpl w:val="C65B25FF"/>
    <w:lvl w:ilvl="0" w:tentative="0">
      <w:start w:val="1"/>
      <w:numFmt w:val="decimal"/>
      <w:lvlText w:val="%1."/>
      <w:lvlJc w:val="left"/>
      <w:pPr>
        <w:ind w:left="425" w:hanging="425"/>
      </w:pPr>
      <w:rPr>
        <w:rFonts w:hint="default"/>
      </w:rPr>
    </w:lvl>
  </w:abstractNum>
  <w:abstractNum w:abstractNumId="1">
    <w:nsid w:val="563E1D73"/>
    <w:multiLevelType w:val="singleLevel"/>
    <w:tmpl w:val="563E1D73"/>
    <w:lvl w:ilvl="0" w:tentative="0">
      <w:start w:val="1"/>
      <w:numFmt w:val="chineseCounting"/>
      <w:suff w:val="nothing"/>
      <w:lvlText w:val="（%1）"/>
      <w:lvlJc w:val="left"/>
      <w:pPr>
        <w:ind w:left="0" w:firstLine="420"/>
      </w:pPr>
      <w:rPr>
        <w:rFonts w:hint="eastAsia"/>
      </w:rPr>
    </w:lvl>
  </w:abstractNum>
  <w:abstractNum w:abstractNumId="2">
    <w:nsid w:val="61119259"/>
    <w:multiLevelType w:val="singleLevel"/>
    <w:tmpl w:val="61119259"/>
    <w:lvl w:ilvl="0" w:tentative="0">
      <w:start w:val="1"/>
      <w:numFmt w:val="bullet"/>
      <w:lvlText w:val=""/>
      <w:lvlJc w:val="left"/>
      <w:pPr>
        <w:ind w:left="420" w:hanging="420"/>
      </w:pPr>
      <w:rPr>
        <w:rFonts w:hint="default" w:ascii="Wingdings" w:hAnsi="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MyZmUxOTI0MTQ4NjZjZmZmNDVjMzViNmEwMmVlMjkifQ=="/>
  </w:docVars>
  <w:rsids>
    <w:rsidRoot w:val="00CD0AC9"/>
    <w:rsid w:val="00050F82"/>
    <w:rsid w:val="00180694"/>
    <w:rsid w:val="002D703F"/>
    <w:rsid w:val="00317399"/>
    <w:rsid w:val="003A2E39"/>
    <w:rsid w:val="003A74CC"/>
    <w:rsid w:val="003B32B3"/>
    <w:rsid w:val="004A327F"/>
    <w:rsid w:val="004A7A67"/>
    <w:rsid w:val="0056548E"/>
    <w:rsid w:val="00566AA1"/>
    <w:rsid w:val="005E1B07"/>
    <w:rsid w:val="00665D61"/>
    <w:rsid w:val="00776D68"/>
    <w:rsid w:val="007974B0"/>
    <w:rsid w:val="00871325"/>
    <w:rsid w:val="008D2ED9"/>
    <w:rsid w:val="008E2C48"/>
    <w:rsid w:val="00941283"/>
    <w:rsid w:val="00A57528"/>
    <w:rsid w:val="00AD1551"/>
    <w:rsid w:val="00AE513A"/>
    <w:rsid w:val="00B606E9"/>
    <w:rsid w:val="00BA2796"/>
    <w:rsid w:val="00BB3406"/>
    <w:rsid w:val="00C15389"/>
    <w:rsid w:val="00C5121F"/>
    <w:rsid w:val="00CD0AC9"/>
    <w:rsid w:val="00DA365D"/>
    <w:rsid w:val="00DB0C68"/>
    <w:rsid w:val="00DF4BB4"/>
    <w:rsid w:val="00E05CD8"/>
    <w:rsid w:val="00E45D6E"/>
    <w:rsid w:val="00ED5F05"/>
    <w:rsid w:val="00F851C3"/>
    <w:rsid w:val="1DE65813"/>
    <w:rsid w:val="23DC4DE9"/>
    <w:rsid w:val="28595FA5"/>
    <w:rsid w:val="31EF74E2"/>
    <w:rsid w:val="36A268A0"/>
    <w:rsid w:val="418F2ED6"/>
    <w:rsid w:val="4B512FA7"/>
    <w:rsid w:val="527404E1"/>
    <w:rsid w:val="59AC0A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iPriority="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nhideWhenUsed="0" w:uiPriority="0" w:semiHidden="0" w:name="Table Subtle 1"/>
    <w:lsdException w:uiPriority="0" w:name="Table Subtle 2"/>
    <w:lsdException w:uiPriority="0" w:name="Table Web 1"/>
    <w:lsdException w:unhideWhenUsed="0" w:uiPriority="0" w:semiHidden="0" w:name="Table Web 2"/>
    <w:lsdException w:unhideWhenUsed="0" w:uiPriority="0" w:semiHidden="0" w:name="Table Web 3"/>
    <w:lsdException w:uiPriority="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after="330" w:line="576" w:lineRule="auto"/>
      <w:outlineLvl w:val="0"/>
    </w:pPr>
    <w:rPr>
      <w:b/>
      <w:kern w:val="44"/>
      <w:sz w:val="44"/>
    </w:rPr>
  </w:style>
  <w:style w:type="paragraph" w:styleId="4">
    <w:name w:val="heading 2"/>
    <w:basedOn w:val="1"/>
    <w:next w:val="1"/>
    <w:unhideWhenUsed/>
    <w:qFormat/>
    <w:uiPriority w:val="0"/>
    <w:pPr>
      <w:keepNext/>
      <w:keepLines/>
      <w:spacing w:before="260" w:after="260" w:line="413" w:lineRule="auto"/>
      <w:outlineLvl w:val="1"/>
    </w:pPr>
    <w:rPr>
      <w:rFonts w:ascii="Arial" w:hAnsi="Arial" w:eastAsia="黑体"/>
      <w:b/>
      <w:sz w:val="32"/>
    </w:rPr>
  </w:style>
  <w:style w:type="paragraph" w:styleId="5">
    <w:name w:val="heading 3"/>
    <w:basedOn w:val="1"/>
    <w:next w:val="1"/>
    <w:unhideWhenUsed/>
    <w:qFormat/>
    <w:uiPriority w:val="0"/>
    <w:pPr>
      <w:keepNext/>
      <w:keepLines/>
      <w:spacing w:before="260" w:after="260" w:line="413" w:lineRule="auto"/>
      <w:outlineLvl w:val="2"/>
    </w:pPr>
    <w:rPr>
      <w:b/>
      <w:sz w:val="32"/>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customStyle="1" w:styleId="2">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styleId="6">
    <w:name w:val="annotation text"/>
    <w:basedOn w:val="1"/>
    <w:qFormat/>
    <w:uiPriority w:val="99"/>
    <w:pPr>
      <w:jc w:val="left"/>
    </w:pPr>
  </w:style>
  <w:style w:type="paragraph" w:styleId="7">
    <w:name w:val="footer"/>
    <w:basedOn w:val="1"/>
    <w:link w:val="14"/>
    <w:uiPriority w:val="0"/>
    <w:pPr>
      <w:tabs>
        <w:tab w:val="center" w:pos="4153"/>
        <w:tab w:val="right" w:pos="8306"/>
      </w:tabs>
      <w:snapToGrid w:val="0"/>
      <w:jc w:val="left"/>
    </w:pPr>
    <w:rPr>
      <w:sz w:val="18"/>
      <w:szCs w:val="18"/>
    </w:rPr>
  </w:style>
  <w:style w:type="paragraph" w:styleId="8">
    <w:name w:val="header"/>
    <w:basedOn w:val="1"/>
    <w:link w:val="13"/>
    <w:qFormat/>
    <w:uiPriority w:val="0"/>
    <w:pPr>
      <w:pBdr>
        <w:bottom w:val="single" w:color="auto" w:sz="6" w:space="1"/>
      </w:pBdr>
      <w:tabs>
        <w:tab w:val="center" w:pos="4153"/>
        <w:tab w:val="right" w:pos="8306"/>
      </w:tabs>
      <w:snapToGrid w:val="0"/>
      <w:jc w:val="center"/>
    </w:pPr>
    <w:rPr>
      <w:sz w:val="18"/>
      <w:szCs w:val="18"/>
    </w:rPr>
  </w:style>
  <w:style w:type="character" w:styleId="11">
    <w:name w:val="annotation reference"/>
    <w:qFormat/>
    <w:uiPriority w:val="0"/>
    <w:rPr>
      <w:sz w:val="21"/>
      <w:szCs w:val="21"/>
    </w:rPr>
  </w:style>
  <w:style w:type="paragraph" w:customStyle="1" w:styleId="12">
    <w:name w:val="正文_1"/>
    <w:qFormat/>
    <w:uiPriority w:val="99"/>
    <w:pPr>
      <w:widowControl w:val="0"/>
      <w:jc w:val="both"/>
    </w:pPr>
    <w:rPr>
      <w:rFonts w:ascii="Calibri" w:hAnsi="Calibri" w:eastAsia="宋体" w:cs="Calibri"/>
      <w:kern w:val="2"/>
      <w:sz w:val="21"/>
      <w:szCs w:val="21"/>
      <w:lang w:val="en-US" w:eastAsia="zh-CN" w:bidi="ar-SA"/>
    </w:rPr>
  </w:style>
  <w:style w:type="character" w:customStyle="1" w:styleId="13">
    <w:name w:val="页眉 字符"/>
    <w:basedOn w:val="10"/>
    <w:link w:val="8"/>
    <w:uiPriority w:val="0"/>
    <w:rPr>
      <w:kern w:val="2"/>
      <w:sz w:val="18"/>
      <w:szCs w:val="18"/>
    </w:rPr>
  </w:style>
  <w:style w:type="character" w:customStyle="1" w:styleId="14">
    <w:name w:val="页脚 字符"/>
    <w:basedOn w:val="10"/>
    <w:link w:val="7"/>
    <w:uiPriority w:val="0"/>
    <w:rPr>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Pages>
  <Words>3597</Words>
  <Characters>3626</Characters>
  <Lines>26</Lines>
  <Paragraphs>7</Paragraphs>
  <TotalTime>3</TotalTime>
  <ScaleCrop>false</ScaleCrop>
  <LinksUpToDate>false</LinksUpToDate>
  <CharactersWithSpaces>3636</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2023-04-19T07:07:00Z</dcterms:created>
  <dc:creator>Lenovo</dc:creator>
  <cp:lastModifiedBy>付豪</cp:lastModifiedBy>
  <dcterms:modified xsi:type="dcterms:W3CDTF">2023-08-21T07:13:05Z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681061FC3D6B4F3EA17A6B184355B492</vt:lpwstr>
  </property>
</Properties>
</file>