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CDD55D">
      <w:pPr>
        <w:widowControl/>
        <w:adjustRightInd w:val="0"/>
        <w:snapToGrid w:val="0"/>
        <w:spacing w:line="600" w:lineRule="exact"/>
        <w:jc w:val="left"/>
        <w:outlineLvl w:val="1"/>
        <w:rPr>
          <w:rFonts w:hint="eastAsia" w:ascii="仿宋_GB2312" w:hAnsi="方正小标宋简体" w:eastAsia="仿宋_GB2312" w:cs="宋体"/>
          <w:b/>
          <w:bCs/>
          <w:kern w:val="36"/>
          <w:sz w:val="32"/>
          <w:szCs w:val="32"/>
        </w:rPr>
      </w:pPr>
      <w:r>
        <w:rPr>
          <w:rFonts w:hint="eastAsia" w:ascii="仿宋_GB2312" w:hAnsi="方正小标宋简体" w:eastAsia="仿宋_GB2312" w:cs="宋体"/>
          <w:b/>
          <w:bCs/>
          <w:kern w:val="36"/>
          <w:sz w:val="32"/>
          <w:szCs w:val="32"/>
        </w:rPr>
        <w:t>附件1：</w:t>
      </w:r>
    </w:p>
    <w:p w14:paraId="7E7EFE1D">
      <w:pPr>
        <w:pStyle w:val="3"/>
        <w:spacing w:before="0" w:after="0" w:line="360" w:lineRule="auto"/>
        <w:rPr>
          <w:rFonts w:hint="eastAsia" w:ascii="宋体" w:hAnsi="宋体"/>
          <w:szCs w:val="28"/>
        </w:rPr>
      </w:pPr>
      <w:r>
        <w:rPr>
          <w:rFonts w:hint="eastAsia" w:ascii="宋体" w:hAnsi="宋体"/>
          <w:szCs w:val="28"/>
        </w:rPr>
        <w:drawing>
          <wp:inline distT="0" distB="0" distL="114300" distR="114300">
            <wp:extent cx="2712085" cy="636270"/>
            <wp:effectExtent l="0" t="0" r="635" b="3810"/>
            <wp:docPr id="6" name="图片 1" descr="1668069378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1668069378632"/>
                    <pic:cNvPicPr>
                      <a:picLocks noChangeAspect="1"/>
                    </pic:cNvPicPr>
                  </pic:nvPicPr>
                  <pic:blipFill>
                    <a:blip r:embed="rId4"/>
                    <a:stretch>
                      <a:fillRect/>
                    </a:stretch>
                  </pic:blipFill>
                  <pic:spPr>
                    <a:xfrm>
                      <a:off x="0" y="0"/>
                      <a:ext cx="2712085" cy="636270"/>
                    </a:xfrm>
                    <a:prstGeom prst="rect">
                      <a:avLst/>
                    </a:prstGeom>
                    <a:noFill/>
                    <a:ln>
                      <a:noFill/>
                    </a:ln>
                  </pic:spPr>
                </pic:pic>
              </a:graphicData>
            </a:graphic>
          </wp:inline>
        </w:drawing>
      </w:r>
    </w:p>
    <w:p w14:paraId="68E79A9D">
      <w:pPr>
        <w:pStyle w:val="3"/>
        <w:spacing w:before="0" w:after="0" w:line="360" w:lineRule="auto"/>
        <w:jc w:val="center"/>
        <w:rPr>
          <w:rFonts w:hint="eastAsia" w:ascii="宋体" w:hAnsi="宋体"/>
          <w:szCs w:val="28"/>
        </w:rPr>
      </w:pPr>
    </w:p>
    <w:p w14:paraId="18237173">
      <w:pPr>
        <w:pStyle w:val="3"/>
        <w:spacing w:before="0" w:after="0" w:line="360" w:lineRule="auto"/>
        <w:jc w:val="center"/>
        <w:rPr>
          <w:rFonts w:hint="eastAsia" w:ascii="宋体" w:hAnsi="宋体"/>
          <w:szCs w:val="28"/>
        </w:rPr>
      </w:pPr>
    </w:p>
    <w:p w14:paraId="22C3F849"/>
    <w:p w14:paraId="5318C223">
      <w:pPr>
        <w:rPr>
          <w:rFonts w:hint="eastAsia" w:ascii="宋体" w:hAnsi="宋体"/>
          <w:szCs w:val="28"/>
        </w:rPr>
      </w:pPr>
    </w:p>
    <w:p w14:paraId="77DCACB3">
      <w:pPr>
        <w:jc w:val="center"/>
        <w:rPr>
          <w:rFonts w:hint="eastAsia" w:ascii="方正小标宋简体" w:hAnsi="方正小标宋简体" w:eastAsia="方正小标宋简体"/>
          <w:sz w:val="48"/>
          <w:szCs w:val="48"/>
        </w:rPr>
      </w:pPr>
      <w:r>
        <w:rPr>
          <w:rFonts w:hint="eastAsia" w:ascii="方正小标宋简体" w:hAnsi="方正小标宋简体" w:eastAsia="方正小标宋简体"/>
          <w:sz w:val="48"/>
          <w:szCs w:val="48"/>
        </w:rPr>
        <w:t>采 购 需 求 书</w:t>
      </w:r>
    </w:p>
    <w:p w14:paraId="67DA561F"/>
    <w:p w14:paraId="3E26D048">
      <w:pPr>
        <w:ind w:firstLine="1044" w:firstLineChars="400"/>
        <w:rPr>
          <w:rFonts w:hint="eastAsia" w:ascii="仿宋" w:hAnsi="仿宋" w:eastAsia="仿宋" w:cs="仿宋"/>
          <w:b/>
          <w:bCs/>
          <w:color w:val="000000"/>
          <w:kern w:val="0"/>
          <w:sz w:val="26"/>
          <w:szCs w:val="26"/>
          <w:shd w:val="clear" w:color="auto" w:fill="FFFFFF"/>
        </w:rPr>
      </w:pPr>
    </w:p>
    <w:p w14:paraId="72113F02">
      <w:pPr>
        <w:ind w:firstLine="1044" w:firstLineChars="400"/>
        <w:rPr>
          <w:rFonts w:hint="eastAsia" w:ascii="仿宋" w:hAnsi="仿宋" w:eastAsia="仿宋" w:cs="仿宋"/>
          <w:b/>
          <w:bCs/>
          <w:color w:val="000000"/>
          <w:kern w:val="0"/>
          <w:sz w:val="26"/>
          <w:szCs w:val="26"/>
          <w:shd w:val="clear" w:color="auto" w:fill="FFFFFF"/>
        </w:rPr>
      </w:pPr>
    </w:p>
    <w:p w14:paraId="1AAB1C4D">
      <w:pPr>
        <w:ind w:firstLine="1044" w:firstLineChars="400"/>
        <w:rPr>
          <w:rFonts w:hint="eastAsia" w:ascii="仿宋" w:hAnsi="仿宋" w:eastAsia="仿宋" w:cs="仿宋"/>
          <w:b/>
          <w:bCs/>
          <w:color w:val="000000"/>
          <w:kern w:val="0"/>
          <w:sz w:val="26"/>
          <w:szCs w:val="26"/>
          <w:shd w:val="clear" w:color="auto" w:fill="FFFFFF"/>
        </w:rPr>
      </w:pPr>
    </w:p>
    <w:p w14:paraId="31697118">
      <w:pPr>
        <w:spacing w:line="720" w:lineRule="auto"/>
        <w:ind w:firstLine="2108" w:firstLineChars="659"/>
        <w:rPr>
          <w:rFonts w:hint="eastAsia" w:ascii="方正小标宋简体" w:hAnsi="方正小标宋简体" w:eastAsia="方正小标宋简体" w:cs="Calibri"/>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项目名称：</w:t>
      </w:r>
      <w:bookmarkStart w:id="0" w:name="_GoBack"/>
      <w:r>
        <w:rPr>
          <w:rFonts w:hint="eastAsia" w:ascii="Cambria" w:hAnsi="Cambria" w:eastAsia="方正小标宋简体" w:cs="Cambria"/>
          <w:color w:val="000000"/>
          <w:kern w:val="0"/>
          <w:sz w:val="32"/>
          <w:szCs w:val="32"/>
          <w:u w:val="single"/>
          <w:shd w:val="clear" w:color="auto" w:fill="FFFFFF"/>
        </w:rPr>
        <w:t>202</w:t>
      </w:r>
      <w:r>
        <w:rPr>
          <w:rFonts w:hint="eastAsia" w:ascii="Cambria" w:hAnsi="Cambria" w:eastAsia="方正小标宋简体" w:cs="Cambria"/>
          <w:color w:val="000000"/>
          <w:kern w:val="0"/>
          <w:sz w:val="32"/>
          <w:szCs w:val="32"/>
          <w:u w:val="single"/>
          <w:shd w:val="clear" w:color="auto" w:fill="FFFFFF"/>
          <w:lang w:val="en-US" w:eastAsia="zh-CN"/>
        </w:rPr>
        <w:t>6年度</w:t>
      </w:r>
      <w:r>
        <w:rPr>
          <w:rFonts w:hint="eastAsia" w:ascii="Cambria" w:hAnsi="Cambria" w:eastAsia="方正小标宋简体" w:cs="Cambria"/>
          <w:color w:val="000000"/>
          <w:kern w:val="0"/>
          <w:sz w:val="32"/>
          <w:szCs w:val="32"/>
          <w:u w:val="single"/>
          <w:shd w:val="clear" w:color="auto" w:fill="FFFFFF"/>
        </w:rPr>
        <w:t>网络安全</w:t>
      </w:r>
      <w:r>
        <w:rPr>
          <w:rFonts w:hint="eastAsia" w:ascii="Cambria" w:hAnsi="Cambria" w:eastAsia="方正小标宋简体" w:cs="Cambria"/>
          <w:color w:val="000000"/>
          <w:kern w:val="0"/>
          <w:sz w:val="32"/>
          <w:szCs w:val="32"/>
          <w:u w:val="single"/>
          <w:shd w:val="clear" w:color="auto" w:fill="FFFFFF"/>
          <w:lang w:val="en-US" w:eastAsia="zh-CN"/>
        </w:rPr>
        <w:t>护网</w:t>
      </w:r>
      <w:r>
        <w:rPr>
          <w:rFonts w:hint="eastAsia" w:ascii="Cambria" w:hAnsi="Cambria" w:eastAsia="方正小标宋简体" w:cs="Cambria"/>
          <w:color w:val="000000"/>
          <w:kern w:val="0"/>
          <w:sz w:val="32"/>
          <w:szCs w:val="32"/>
          <w:u w:val="single"/>
          <w:shd w:val="clear" w:color="auto" w:fill="FFFFFF"/>
        </w:rPr>
        <w:t>服务</w:t>
      </w:r>
      <w:bookmarkEnd w:id="0"/>
    </w:p>
    <w:p w14:paraId="35246542">
      <w:pPr>
        <w:spacing w:line="720" w:lineRule="auto"/>
        <w:ind w:firstLine="2108" w:firstLineChars="659"/>
        <w:rPr>
          <w:rFonts w:hint="eastAsia" w:ascii="方正小标宋简体" w:hAnsi="方正小标宋简体" w:eastAsia="方正小标宋简体" w:cs="Calibri"/>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用户单位：</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rPr>
        <w:t>信息化工作办公室</w:t>
      </w:r>
      <w:r>
        <w:rPr>
          <w:rFonts w:ascii="Cambria" w:hAnsi="Cambria" w:eastAsia="方正小标宋简体" w:cs="Cambria"/>
          <w:color w:val="000000"/>
          <w:kern w:val="0"/>
          <w:sz w:val="32"/>
          <w:szCs w:val="32"/>
          <w:u w:val="single"/>
          <w:shd w:val="clear" w:color="auto" w:fill="FFFFFF"/>
        </w:rPr>
        <w:t>     </w:t>
      </w:r>
    </w:p>
    <w:p w14:paraId="504D7004">
      <w:pPr>
        <w:spacing w:line="720" w:lineRule="auto"/>
        <w:ind w:firstLine="2108" w:firstLineChars="659"/>
        <w:rPr>
          <w:rFonts w:hint="eastAsia" w:ascii="方正小标宋简体" w:hAnsi="方正小标宋简体" w:eastAsia="方正小标宋简体" w:cs="Calibri"/>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编制时间：</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rPr>
        <w:t>202</w:t>
      </w:r>
      <w:r>
        <w:rPr>
          <w:rFonts w:hint="eastAsia" w:ascii="Cambria" w:hAnsi="Cambria" w:eastAsia="方正小标宋简体" w:cs="Cambria"/>
          <w:color w:val="000000"/>
          <w:kern w:val="0"/>
          <w:sz w:val="32"/>
          <w:szCs w:val="32"/>
          <w:u w:val="single"/>
          <w:shd w:val="clear" w:color="auto" w:fill="FFFFFF"/>
          <w:lang w:val="en-US" w:eastAsia="zh-CN"/>
        </w:rPr>
        <w:t>6</w:t>
      </w:r>
      <w:r>
        <w:rPr>
          <w:rFonts w:hint="eastAsia" w:ascii="Cambria" w:hAnsi="Cambria" w:eastAsia="方正小标宋简体" w:cs="Cambria"/>
          <w:color w:val="000000"/>
          <w:kern w:val="0"/>
          <w:sz w:val="32"/>
          <w:szCs w:val="32"/>
          <w:u w:val="single"/>
          <w:shd w:val="clear" w:color="auto" w:fill="FFFFFF"/>
        </w:rPr>
        <w:t>-</w:t>
      </w:r>
      <w:r>
        <w:rPr>
          <w:rFonts w:hint="eastAsia" w:ascii="Cambria" w:hAnsi="Cambria" w:eastAsia="方正小标宋简体" w:cs="Cambria"/>
          <w:color w:val="000000"/>
          <w:kern w:val="0"/>
          <w:sz w:val="32"/>
          <w:szCs w:val="32"/>
          <w:u w:val="single"/>
          <w:shd w:val="clear" w:color="auto" w:fill="FFFFFF"/>
          <w:lang w:val="en-US" w:eastAsia="zh-CN"/>
        </w:rPr>
        <w:t>4</w:t>
      </w:r>
      <w:r>
        <w:rPr>
          <w:rFonts w:hint="eastAsia" w:ascii="Cambria" w:hAnsi="Cambria" w:eastAsia="方正小标宋简体" w:cs="Cambria"/>
          <w:color w:val="000000"/>
          <w:kern w:val="0"/>
          <w:sz w:val="32"/>
          <w:szCs w:val="32"/>
          <w:u w:val="single"/>
          <w:shd w:val="clear" w:color="auto" w:fill="FFFFFF"/>
        </w:rPr>
        <w:t>-</w:t>
      </w:r>
      <w:r>
        <w:rPr>
          <w:rFonts w:hint="eastAsia" w:ascii="Cambria" w:hAnsi="Cambria" w:eastAsia="方正小标宋简体" w:cs="Cambria"/>
          <w:color w:val="000000"/>
          <w:kern w:val="0"/>
          <w:sz w:val="32"/>
          <w:szCs w:val="32"/>
          <w:u w:val="single"/>
          <w:shd w:val="clear" w:color="auto" w:fill="FFFFFF"/>
          <w:lang w:val="en-US" w:eastAsia="zh-CN"/>
        </w:rPr>
        <w:t>15</w:t>
      </w:r>
      <w:r>
        <w:rPr>
          <w:rFonts w:ascii="Cambria" w:hAnsi="Cambria" w:eastAsia="方正小标宋简体" w:cs="Cambria"/>
          <w:color w:val="000000"/>
          <w:kern w:val="0"/>
          <w:sz w:val="32"/>
          <w:szCs w:val="32"/>
          <w:u w:val="single"/>
          <w:shd w:val="clear" w:color="auto" w:fill="FFFFFF"/>
        </w:rPr>
        <w:t>            </w:t>
      </w:r>
    </w:p>
    <w:p w14:paraId="45CF1787">
      <w:pPr>
        <w:rPr>
          <w:rFonts w:hint="eastAsia" w:ascii="宋体" w:hAnsi="宋体"/>
          <w:color w:val="FF0000"/>
          <w:sz w:val="28"/>
          <w:szCs w:val="28"/>
        </w:rPr>
      </w:pPr>
    </w:p>
    <w:p w14:paraId="34C67A39">
      <w:pPr>
        <w:rPr>
          <w:rFonts w:hint="default" w:ascii="宋体" w:hAnsi="宋体" w:eastAsiaTheme="minorEastAsia"/>
          <w:color w:val="FF0000"/>
          <w:sz w:val="28"/>
          <w:szCs w:val="28"/>
          <w:lang w:val="en-US" w:eastAsia="zh-CN"/>
        </w:rPr>
      </w:pPr>
      <w:r>
        <w:rPr>
          <w:rFonts w:hint="eastAsia" w:ascii="宋体" w:hAnsi="宋体"/>
          <w:color w:val="FF0000"/>
          <w:sz w:val="28"/>
          <w:szCs w:val="28"/>
          <w:lang w:val="en-US" w:eastAsia="zh-CN"/>
        </w:rPr>
        <w:t xml:space="preserve">                   </w:t>
      </w:r>
    </w:p>
    <w:p w14:paraId="3D4BB0ED">
      <w:pPr>
        <w:rPr>
          <w:rFonts w:hint="eastAsia" w:ascii="宋体" w:hAnsi="宋体"/>
          <w:color w:val="FF0000"/>
          <w:sz w:val="28"/>
          <w:szCs w:val="28"/>
        </w:rPr>
      </w:pPr>
    </w:p>
    <w:p w14:paraId="1BCF543C">
      <w:pPr>
        <w:rPr>
          <w:rFonts w:hint="eastAsia" w:ascii="宋体" w:hAnsi="宋体"/>
          <w:color w:val="FF0000"/>
          <w:sz w:val="28"/>
          <w:szCs w:val="28"/>
        </w:rPr>
      </w:pPr>
    </w:p>
    <w:p w14:paraId="7BDF36FE">
      <w:pPr>
        <w:jc w:val="center"/>
        <w:rPr>
          <w:rFonts w:hint="eastAsia" w:ascii="方正小标宋简体" w:hAnsi="方正小标宋简体" w:eastAsia="方正小标宋简体" w:cs="仿宋"/>
          <w:color w:val="000000"/>
          <w:kern w:val="0"/>
          <w:sz w:val="32"/>
          <w:szCs w:val="32"/>
          <w:shd w:val="clear" w:color="auto" w:fill="FFFFFF"/>
        </w:rPr>
      </w:pPr>
    </w:p>
    <w:p w14:paraId="3D4DAD21">
      <w:pPr>
        <w:widowControl/>
        <w:jc w:val="left"/>
        <w:rPr>
          <w:rFonts w:hint="eastAsia" w:ascii="方正小标宋简体" w:hAnsi="方正小标宋简体" w:eastAsia="方正小标宋简体" w:cs="仿宋"/>
          <w:color w:val="000000"/>
          <w:kern w:val="0"/>
          <w:sz w:val="32"/>
          <w:szCs w:val="32"/>
          <w:shd w:val="clear" w:color="auto" w:fill="FFFFFF"/>
        </w:rPr>
      </w:pPr>
      <w:r>
        <w:rPr>
          <w:rFonts w:ascii="方正小标宋简体" w:hAnsi="方正小标宋简体" w:eastAsia="方正小标宋简体" w:cs="仿宋"/>
          <w:color w:val="000000"/>
          <w:kern w:val="0"/>
          <w:sz w:val="32"/>
          <w:szCs w:val="32"/>
          <w:shd w:val="clear" w:color="auto" w:fill="FFFFFF"/>
        </w:rPr>
        <w:br w:type="page"/>
      </w:r>
    </w:p>
    <w:p w14:paraId="67F79265">
      <w:pPr>
        <w:jc w:val="center"/>
        <w:rPr>
          <w:rFonts w:hint="eastAsia" w:ascii="方正小标宋简体" w:hAnsi="方正小标宋简体" w:eastAsia="方正小标宋简体" w:cs="仿宋"/>
          <w:color w:val="000000"/>
          <w:kern w:val="0"/>
          <w:sz w:val="32"/>
          <w:szCs w:val="32"/>
          <w:shd w:val="clear" w:color="auto" w:fill="FFFFFF"/>
        </w:rPr>
      </w:pPr>
      <w:r>
        <w:rPr>
          <w:rFonts w:hint="eastAsia" w:ascii="方正小标宋简体" w:hAnsi="方正小标宋简体" w:eastAsia="方正小标宋简体" w:cs="仿宋"/>
          <w:color w:val="000000"/>
          <w:kern w:val="0"/>
          <w:sz w:val="32"/>
          <w:szCs w:val="32"/>
          <w:shd w:val="clear" w:color="auto" w:fill="FFFFFF"/>
        </w:rPr>
        <w:t>编制说明</w:t>
      </w:r>
    </w:p>
    <w:p w14:paraId="1FB80A81">
      <w:pPr>
        <w:widowControl/>
        <w:spacing w:line="560" w:lineRule="atLeast"/>
        <w:ind w:firstLine="640"/>
        <w:jc w:val="left"/>
        <w:rPr>
          <w:rFonts w:hint="eastAsia" w:ascii="宋体" w:hAnsi="宋体" w:cs="仿宋"/>
          <w:color w:val="000000"/>
          <w:kern w:val="0"/>
          <w:sz w:val="28"/>
          <w:szCs w:val="28"/>
          <w:shd w:val="clear" w:color="auto" w:fill="FFFFFF"/>
        </w:rPr>
      </w:pPr>
    </w:p>
    <w:p w14:paraId="7277BA39">
      <w:pPr>
        <w:widowControl/>
        <w:spacing w:line="560" w:lineRule="atLeast"/>
        <w:ind w:firstLine="640"/>
        <w:jc w:val="left"/>
        <w:rPr>
          <w:rFonts w:hint="eastAsia"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一、用户单位依据咨询、论证、问卷等方式调查的具体情况自行编制采购需求书。</w:t>
      </w:r>
    </w:p>
    <w:p w14:paraId="763001DB">
      <w:pPr>
        <w:widowControl/>
        <w:spacing w:line="560" w:lineRule="atLeast"/>
        <w:ind w:firstLine="640"/>
        <w:jc w:val="left"/>
        <w:rPr>
          <w:rFonts w:hint="eastAsia"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二、编制的采购需求书应当符合《财政部关于印发政府采购需求管理办法的通知》（财库〔2021〕22号）要求及政府采购的相关规定。除单一来源采购外，标的物名称、指标要求等不能指向单一供应商。</w:t>
      </w:r>
    </w:p>
    <w:p w14:paraId="2AC43728">
      <w:pPr>
        <w:widowControl/>
        <w:spacing w:line="560" w:lineRule="atLeast"/>
        <w:ind w:firstLine="640"/>
        <w:jc w:val="left"/>
        <w:rPr>
          <w:rFonts w:hint="eastAsia"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三、斜体字部分属于提醒内容，编制时应删除。</w:t>
      </w:r>
    </w:p>
    <w:p w14:paraId="4484B21A">
      <w:pPr>
        <w:widowControl/>
        <w:spacing w:line="560" w:lineRule="atLeast"/>
        <w:ind w:firstLine="640"/>
        <w:jc w:val="left"/>
        <w:rPr>
          <w:rFonts w:hint="eastAsia"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四、对不适用的内容应删除，并调整相应序号。</w:t>
      </w:r>
    </w:p>
    <w:p w14:paraId="02B05562">
      <w:pPr>
        <w:widowControl/>
        <w:ind w:firstLine="482" w:firstLineChars="200"/>
        <w:jc w:val="left"/>
        <w:rPr>
          <w:rFonts w:ascii="宋体" w:hAnsi="宋体" w:cs="Arial"/>
          <w:b/>
          <w:color w:val="333333"/>
          <w:kern w:val="0"/>
          <w:sz w:val="24"/>
          <w:szCs w:val="24"/>
        </w:rPr>
      </w:pPr>
    </w:p>
    <w:p w14:paraId="24DFF753">
      <w:pPr>
        <w:widowControl/>
        <w:ind w:firstLine="482" w:firstLineChars="200"/>
        <w:jc w:val="left"/>
        <w:rPr>
          <w:rFonts w:ascii="宋体" w:hAnsi="宋体" w:cs="Arial"/>
          <w:b/>
          <w:color w:val="333333"/>
          <w:kern w:val="0"/>
          <w:sz w:val="24"/>
          <w:szCs w:val="24"/>
        </w:rPr>
      </w:pPr>
    </w:p>
    <w:p w14:paraId="784BE879">
      <w:pPr>
        <w:widowControl/>
        <w:ind w:firstLine="482" w:firstLineChars="200"/>
        <w:jc w:val="left"/>
        <w:rPr>
          <w:rFonts w:ascii="宋体" w:hAnsi="宋体" w:cs="Arial"/>
          <w:b/>
          <w:color w:val="333333"/>
          <w:kern w:val="0"/>
          <w:sz w:val="24"/>
          <w:szCs w:val="24"/>
        </w:rPr>
      </w:pPr>
    </w:p>
    <w:p w14:paraId="72D04C74">
      <w:pPr>
        <w:widowControl/>
        <w:ind w:firstLine="482" w:firstLineChars="200"/>
        <w:jc w:val="left"/>
        <w:rPr>
          <w:rFonts w:ascii="宋体" w:hAnsi="宋体" w:cs="Arial"/>
          <w:b/>
          <w:color w:val="333333"/>
          <w:kern w:val="0"/>
          <w:sz w:val="24"/>
          <w:szCs w:val="24"/>
        </w:rPr>
      </w:pPr>
    </w:p>
    <w:p w14:paraId="099986BD">
      <w:pPr>
        <w:widowControl/>
        <w:ind w:firstLine="482" w:firstLineChars="200"/>
        <w:jc w:val="left"/>
        <w:rPr>
          <w:rFonts w:ascii="宋体" w:hAnsi="宋体" w:cs="Arial"/>
          <w:b/>
          <w:color w:val="333333"/>
          <w:kern w:val="0"/>
          <w:sz w:val="24"/>
          <w:szCs w:val="24"/>
        </w:rPr>
      </w:pPr>
    </w:p>
    <w:p w14:paraId="59ED7269">
      <w:pPr>
        <w:widowControl/>
        <w:ind w:firstLine="482" w:firstLineChars="200"/>
        <w:jc w:val="left"/>
        <w:rPr>
          <w:rFonts w:ascii="宋体" w:hAnsi="宋体" w:cs="Arial"/>
          <w:b/>
          <w:color w:val="333333"/>
          <w:kern w:val="0"/>
          <w:sz w:val="24"/>
          <w:szCs w:val="24"/>
        </w:rPr>
      </w:pPr>
    </w:p>
    <w:p w14:paraId="0E87529D">
      <w:pPr>
        <w:widowControl/>
        <w:ind w:firstLine="482" w:firstLineChars="200"/>
        <w:jc w:val="left"/>
        <w:rPr>
          <w:rFonts w:ascii="宋体" w:hAnsi="宋体" w:cs="Arial"/>
          <w:b/>
          <w:color w:val="333333"/>
          <w:kern w:val="0"/>
          <w:sz w:val="24"/>
          <w:szCs w:val="24"/>
        </w:rPr>
      </w:pPr>
    </w:p>
    <w:p w14:paraId="6D08089A">
      <w:pPr>
        <w:widowControl/>
        <w:ind w:firstLine="482" w:firstLineChars="200"/>
        <w:jc w:val="left"/>
        <w:rPr>
          <w:rFonts w:ascii="宋体" w:hAnsi="宋体" w:cs="Arial"/>
          <w:b/>
          <w:color w:val="333333"/>
          <w:kern w:val="0"/>
          <w:sz w:val="24"/>
          <w:szCs w:val="24"/>
        </w:rPr>
      </w:pPr>
    </w:p>
    <w:p w14:paraId="10E9D7D8">
      <w:pPr>
        <w:widowControl/>
        <w:ind w:firstLine="482" w:firstLineChars="200"/>
        <w:jc w:val="left"/>
        <w:rPr>
          <w:rFonts w:ascii="宋体" w:hAnsi="宋体" w:cs="Arial"/>
          <w:b/>
          <w:color w:val="333333"/>
          <w:kern w:val="0"/>
          <w:sz w:val="24"/>
          <w:szCs w:val="24"/>
        </w:rPr>
      </w:pPr>
    </w:p>
    <w:p w14:paraId="4C57F040">
      <w:pPr>
        <w:widowControl/>
        <w:ind w:firstLine="482" w:firstLineChars="200"/>
        <w:jc w:val="left"/>
        <w:rPr>
          <w:rFonts w:ascii="宋体" w:hAnsi="宋体" w:cs="Arial"/>
          <w:b/>
          <w:color w:val="333333"/>
          <w:kern w:val="0"/>
          <w:sz w:val="24"/>
          <w:szCs w:val="24"/>
        </w:rPr>
      </w:pPr>
    </w:p>
    <w:p w14:paraId="04B9DA74">
      <w:pPr>
        <w:widowControl/>
        <w:ind w:firstLine="482" w:firstLineChars="200"/>
        <w:jc w:val="left"/>
        <w:rPr>
          <w:rFonts w:ascii="宋体" w:hAnsi="宋体" w:cs="Arial"/>
          <w:b/>
          <w:color w:val="333333"/>
          <w:kern w:val="0"/>
          <w:sz w:val="24"/>
          <w:szCs w:val="24"/>
        </w:rPr>
      </w:pPr>
    </w:p>
    <w:p w14:paraId="2D3CCEFC">
      <w:pPr>
        <w:widowControl/>
        <w:ind w:firstLine="482" w:firstLineChars="200"/>
        <w:jc w:val="left"/>
        <w:rPr>
          <w:rFonts w:ascii="宋体" w:hAnsi="宋体" w:cs="Arial"/>
          <w:b/>
          <w:color w:val="333333"/>
          <w:kern w:val="0"/>
          <w:sz w:val="24"/>
          <w:szCs w:val="24"/>
        </w:rPr>
      </w:pPr>
    </w:p>
    <w:p w14:paraId="6D0823DF">
      <w:pPr>
        <w:widowControl/>
        <w:ind w:firstLine="482" w:firstLineChars="200"/>
        <w:jc w:val="left"/>
        <w:rPr>
          <w:rFonts w:ascii="宋体" w:hAnsi="宋体" w:cs="Arial"/>
          <w:b/>
          <w:color w:val="333333"/>
          <w:kern w:val="0"/>
          <w:sz w:val="24"/>
          <w:szCs w:val="24"/>
        </w:rPr>
      </w:pPr>
    </w:p>
    <w:p w14:paraId="0259B18B">
      <w:pPr>
        <w:widowControl/>
        <w:ind w:firstLine="482" w:firstLineChars="200"/>
        <w:jc w:val="left"/>
        <w:rPr>
          <w:rFonts w:ascii="宋体" w:hAnsi="宋体" w:cs="Arial"/>
          <w:b/>
          <w:color w:val="333333"/>
          <w:kern w:val="0"/>
          <w:sz w:val="24"/>
          <w:szCs w:val="24"/>
        </w:rPr>
      </w:pPr>
    </w:p>
    <w:p w14:paraId="6E8BCBAE">
      <w:pPr>
        <w:widowControl/>
        <w:ind w:firstLine="482" w:firstLineChars="200"/>
        <w:jc w:val="left"/>
        <w:rPr>
          <w:rFonts w:ascii="宋体" w:hAnsi="宋体" w:cs="Arial"/>
          <w:b/>
          <w:color w:val="333333"/>
          <w:kern w:val="0"/>
          <w:sz w:val="24"/>
          <w:szCs w:val="24"/>
        </w:rPr>
      </w:pPr>
    </w:p>
    <w:p w14:paraId="6E50D46D">
      <w:pPr>
        <w:widowControl/>
        <w:ind w:firstLine="482" w:firstLineChars="200"/>
        <w:jc w:val="left"/>
        <w:rPr>
          <w:rFonts w:ascii="宋体" w:hAnsi="宋体" w:cs="Arial"/>
          <w:b/>
          <w:color w:val="333333"/>
          <w:kern w:val="0"/>
          <w:sz w:val="24"/>
          <w:szCs w:val="24"/>
        </w:rPr>
      </w:pPr>
    </w:p>
    <w:p w14:paraId="5ED47274">
      <w:pPr>
        <w:widowControl/>
        <w:ind w:firstLine="482" w:firstLineChars="200"/>
        <w:jc w:val="left"/>
        <w:rPr>
          <w:rFonts w:ascii="宋体" w:hAnsi="宋体" w:cs="Arial"/>
          <w:b/>
          <w:color w:val="333333"/>
          <w:kern w:val="0"/>
          <w:sz w:val="24"/>
          <w:szCs w:val="24"/>
        </w:rPr>
      </w:pPr>
    </w:p>
    <w:p w14:paraId="507BA93A">
      <w:pPr>
        <w:widowControl/>
        <w:ind w:firstLine="482" w:firstLineChars="200"/>
        <w:jc w:val="left"/>
        <w:rPr>
          <w:rFonts w:ascii="宋体" w:hAnsi="宋体" w:cs="Arial"/>
          <w:b/>
          <w:color w:val="333333"/>
          <w:kern w:val="0"/>
          <w:sz w:val="24"/>
          <w:szCs w:val="24"/>
        </w:rPr>
      </w:pPr>
    </w:p>
    <w:p w14:paraId="7E48EA14">
      <w:pPr>
        <w:widowControl/>
        <w:ind w:firstLine="482" w:firstLineChars="200"/>
        <w:jc w:val="left"/>
        <w:rPr>
          <w:rFonts w:ascii="宋体" w:hAnsi="宋体" w:cs="Arial"/>
          <w:b/>
          <w:color w:val="333333"/>
          <w:kern w:val="0"/>
          <w:sz w:val="24"/>
          <w:szCs w:val="24"/>
        </w:rPr>
      </w:pPr>
    </w:p>
    <w:p w14:paraId="5F30F183">
      <w:pPr>
        <w:widowControl/>
        <w:ind w:firstLine="482" w:firstLineChars="200"/>
        <w:jc w:val="left"/>
        <w:rPr>
          <w:rFonts w:ascii="宋体" w:hAnsi="宋体" w:cs="Arial"/>
          <w:b/>
          <w:color w:val="333333"/>
          <w:kern w:val="0"/>
          <w:sz w:val="24"/>
          <w:szCs w:val="24"/>
        </w:rPr>
      </w:pPr>
    </w:p>
    <w:p w14:paraId="02C3A5F8">
      <w:pPr>
        <w:widowControl/>
        <w:ind w:firstLine="482" w:firstLineChars="200"/>
        <w:jc w:val="left"/>
        <w:rPr>
          <w:rFonts w:ascii="宋体" w:hAnsi="宋体" w:cs="Arial"/>
          <w:b/>
          <w:color w:val="333333"/>
          <w:kern w:val="0"/>
          <w:sz w:val="24"/>
          <w:szCs w:val="24"/>
        </w:rPr>
      </w:pPr>
    </w:p>
    <w:p w14:paraId="634BF93E">
      <w:pPr>
        <w:widowControl/>
        <w:ind w:firstLine="482" w:firstLineChars="200"/>
        <w:jc w:val="left"/>
        <w:rPr>
          <w:rFonts w:ascii="宋体" w:hAnsi="宋体" w:cs="Arial"/>
          <w:b/>
          <w:color w:val="333333"/>
          <w:kern w:val="0"/>
          <w:sz w:val="24"/>
          <w:szCs w:val="24"/>
        </w:rPr>
      </w:pPr>
    </w:p>
    <w:p w14:paraId="292DE4B8">
      <w:pPr>
        <w:widowControl/>
        <w:ind w:firstLine="482" w:firstLineChars="200"/>
        <w:jc w:val="left"/>
        <w:rPr>
          <w:rFonts w:ascii="宋体" w:hAnsi="宋体" w:cs="Arial"/>
          <w:b/>
          <w:color w:val="333333"/>
          <w:kern w:val="0"/>
          <w:sz w:val="24"/>
          <w:szCs w:val="24"/>
        </w:rPr>
      </w:pPr>
    </w:p>
    <w:p w14:paraId="7E1D3B00">
      <w:pPr>
        <w:keepNext w:val="0"/>
        <w:keepLines w:val="0"/>
        <w:pageBreakBefore w:val="0"/>
        <w:widowControl/>
        <w:kinsoku/>
        <w:wordWrap/>
        <w:overflowPunct/>
        <w:topLinePunct w:val="0"/>
        <w:autoSpaceDE/>
        <w:autoSpaceDN/>
        <w:bidi w:val="0"/>
        <w:adjustRightInd/>
        <w:snapToGrid/>
        <w:ind w:firstLine="482" w:firstLineChars="200"/>
        <w:jc w:val="left"/>
        <w:textAlignment w:val="auto"/>
        <w:rPr>
          <w:rFonts w:hint="eastAsia" w:ascii="仿宋_GB2312" w:hAnsi="宋体" w:eastAsia="仿宋_GB2312" w:cs="仿宋"/>
          <w:b/>
          <w:color w:val="000000"/>
          <w:kern w:val="0"/>
          <w:sz w:val="32"/>
          <w:szCs w:val="28"/>
          <w:shd w:val="clear" w:color="auto" w:fill="FFFFFF"/>
        </w:rPr>
      </w:pPr>
      <w:r>
        <w:rPr>
          <w:rFonts w:ascii="宋体" w:hAnsi="宋体" w:cs="Arial"/>
          <w:b/>
          <w:color w:val="333333"/>
          <w:kern w:val="0"/>
          <w:sz w:val="24"/>
          <w:szCs w:val="24"/>
        </w:rPr>
        <w:br w:type="page"/>
      </w:r>
      <w:r>
        <w:rPr>
          <w:rFonts w:hint="eastAsia" w:ascii="宋体" w:hAnsi="宋体" w:cs="Arial"/>
          <w:b/>
          <w:color w:val="333333"/>
          <w:kern w:val="0"/>
          <w:sz w:val="24"/>
          <w:szCs w:val="24"/>
        </w:rPr>
        <w:t xml:space="preserve">  </w:t>
      </w:r>
      <w:r>
        <w:rPr>
          <w:rFonts w:hint="eastAsia" w:ascii="仿宋_GB2312" w:hAnsi="宋体" w:eastAsia="仿宋_GB2312" w:cs="仿宋"/>
          <w:b/>
          <w:color w:val="000000"/>
          <w:kern w:val="0"/>
          <w:sz w:val="32"/>
          <w:szCs w:val="28"/>
          <w:shd w:val="clear" w:color="auto" w:fill="FFFFFF"/>
        </w:rPr>
        <w:t>一、项目概况</w:t>
      </w:r>
    </w:p>
    <w:p w14:paraId="1B896E9B">
      <w:pPr>
        <w:keepNext w:val="0"/>
        <w:keepLines w:val="0"/>
        <w:pageBreakBefore w:val="0"/>
        <w:widowControl/>
        <w:kinsoku/>
        <w:wordWrap/>
        <w:overflowPunct/>
        <w:topLinePunct w:val="0"/>
        <w:autoSpaceDE/>
        <w:autoSpaceDN/>
        <w:bidi w:val="0"/>
        <w:adjustRightInd/>
        <w:snapToGrid/>
        <w:ind w:firstLine="560" w:firstLineChars="200"/>
        <w:jc w:val="left"/>
        <w:textAlignment w:val="auto"/>
        <w:rPr>
          <w:rFonts w:hint="eastAsia" w:ascii="仿宋_GB2312" w:eastAsia="仿宋_GB2312" w:cs="仿宋"/>
          <w:bCs/>
          <w:color w:val="000000"/>
          <w:sz w:val="28"/>
          <w:szCs w:val="28"/>
          <w:shd w:val="clear" w:color="auto" w:fill="FFFFFF"/>
          <w:lang w:val="en-US" w:eastAsia="zh-CN"/>
        </w:rPr>
      </w:pPr>
      <w:r>
        <w:rPr>
          <w:rFonts w:hint="eastAsia" w:ascii="仿宋_GB2312" w:eastAsia="仿宋_GB2312" w:cs="仿宋"/>
          <w:bCs/>
          <w:color w:val="000000"/>
          <w:sz w:val="28"/>
          <w:szCs w:val="28"/>
          <w:shd w:val="clear" w:color="auto" w:fill="FFFFFF"/>
          <w:lang w:val="en-US" w:eastAsia="zh-CN"/>
        </w:rPr>
        <w:t>目前学校网络安全面临着日益严峻的网络安全挑战，网络攻击手段日趋复杂、数据泄露风险增高，依据国家网络安全法律法规要求系统性地提升网络安全综合保障能力，构建“技术、管理、运营”三位一体的网络安全体系。该服务项目通过重保时期和攻防演习护网时期及相应日常运营基础安全运维，实现日常网络安全管理，保障网络安全正常运行。</w:t>
      </w:r>
    </w:p>
    <w:p w14:paraId="0264FBFE">
      <w:pPr>
        <w:widowControl/>
        <w:ind w:firstLine="643" w:firstLineChars="200"/>
        <w:jc w:val="left"/>
        <w:rPr>
          <w:rFonts w:hint="eastAsia"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二、主要标的</w:t>
      </w:r>
    </w:p>
    <w:p w14:paraId="7723DDEB">
      <w:pPr>
        <w:keepNext w:val="0"/>
        <w:keepLines w:val="0"/>
        <w:pageBreakBefore w:val="0"/>
        <w:widowControl/>
        <w:kinsoku/>
        <w:wordWrap/>
        <w:overflowPunct/>
        <w:topLinePunct w:val="0"/>
        <w:autoSpaceDE/>
        <w:autoSpaceDN/>
        <w:bidi w:val="0"/>
        <w:adjustRightInd/>
        <w:snapToGrid/>
        <w:ind w:firstLine="560" w:firstLineChars="200"/>
        <w:jc w:val="left"/>
        <w:textAlignment w:val="auto"/>
        <w:rPr>
          <w:rFonts w:hint="eastAsia" w:ascii="仿宋_GB2312" w:eastAsia="仿宋_GB2312" w:cs="仿宋"/>
          <w:bCs/>
          <w:color w:val="000000"/>
          <w:sz w:val="28"/>
          <w:szCs w:val="28"/>
          <w:shd w:val="clear" w:color="auto" w:fill="FFFFFF"/>
          <w:lang w:val="en-US" w:eastAsia="zh-CN"/>
        </w:rPr>
      </w:pPr>
      <w:r>
        <w:rPr>
          <w:rFonts w:hint="eastAsia" w:ascii="仿宋_GB2312" w:eastAsia="仿宋_GB2312" w:cs="仿宋"/>
          <w:bCs/>
          <w:color w:val="000000"/>
          <w:sz w:val="28"/>
          <w:szCs w:val="28"/>
          <w:shd w:val="clear" w:color="auto" w:fill="FFFFFF"/>
          <w:lang w:val="en-US" w:eastAsia="zh-CN"/>
        </w:rPr>
        <w:t xml:space="preserve">服务：是否属于科研活动相关采购 </w:t>
      </w:r>
      <w:r>
        <w:rPr>
          <w:rFonts w:hint="eastAsia" w:ascii="仿宋_GB2312" w:eastAsia="仿宋_GB2312" w:cs="仿宋"/>
          <w:bCs/>
          <w:color w:val="000000"/>
          <w:sz w:val="28"/>
          <w:szCs w:val="28"/>
          <w:shd w:val="clear" w:color="auto" w:fill="FFFFFF"/>
          <w:lang w:val="en-US" w:eastAsia="zh-CN"/>
        </w:rPr>
        <w:sym w:font="Wingdings 2" w:char="00A3"/>
      </w:r>
      <w:r>
        <w:rPr>
          <w:rFonts w:hint="eastAsia" w:ascii="仿宋_GB2312" w:eastAsia="仿宋_GB2312" w:cs="仿宋"/>
          <w:bCs/>
          <w:color w:val="000000"/>
          <w:sz w:val="28"/>
          <w:szCs w:val="28"/>
          <w:shd w:val="clear" w:color="auto" w:fill="FFFFFF"/>
          <w:lang w:val="en-US" w:eastAsia="zh-CN"/>
        </w:rPr>
        <w:t>是  ☑否</w:t>
      </w:r>
    </w:p>
    <w:p w14:paraId="58204B3E">
      <w:pPr>
        <w:keepNext w:val="0"/>
        <w:keepLines w:val="0"/>
        <w:pageBreakBefore w:val="0"/>
        <w:widowControl/>
        <w:kinsoku/>
        <w:wordWrap/>
        <w:overflowPunct/>
        <w:topLinePunct w:val="0"/>
        <w:autoSpaceDE/>
        <w:autoSpaceDN/>
        <w:bidi w:val="0"/>
        <w:adjustRightInd/>
        <w:snapToGrid/>
        <w:ind w:firstLine="560" w:firstLineChars="200"/>
        <w:jc w:val="left"/>
        <w:textAlignment w:val="auto"/>
        <w:rPr>
          <w:rFonts w:hint="default" w:ascii="仿宋_GB2312" w:eastAsia="仿宋_GB2312" w:cs="仿宋"/>
          <w:bCs/>
          <w:color w:val="000000"/>
          <w:sz w:val="28"/>
          <w:szCs w:val="28"/>
          <w:shd w:val="clear" w:color="auto" w:fill="FFFFFF"/>
          <w:lang w:val="en-US" w:eastAsia="zh-CN"/>
        </w:rPr>
      </w:pPr>
      <w:r>
        <w:rPr>
          <w:rFonts w:hint="eastAsia" w:ascii="仿宋_GB2312" w:eastAsia="仿宋_GB2312" w:cs="仿宋"/>
          <w:bCs/>
          <w:color w:val="000000"/>
          <w:sz w:val="28"/>
          <w:szCs w:val="28"/>
          <w:shd w:val="clear" w:color="auto" w:fill="FFFFFF"/>
          <w:lang w:val="en-US" w:eastAsia="zh-CN"/>
        </w:rPr>
        <w:t>2026年度网络护网服务，服务期限2026年4月—2026年5月31日。服务期内完成我校网络护网服务，具体有以下工作内容：</w:t>
      </w:r>
    </w:p>
    <w:tbl>
      <w:tblPr>
        <w:tblStyle w:val="7"/>
        <w:tblpPr w:leftFromText="180" w:rightFromText="180" w:vertAnchor="text" w:horzAnchor="page" w:tblpX="2043" w:tblpY="223"/>
        <w:tblOverlap w:val="never"/>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3"/>
        <w:gridCol w:w="1660"/>
        <w:gridCol w:w="6169"/>
      </w:tblGrid>
      <w:tr w14:paraId="272C8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01" w:type="pct"/>
            <w:vAlign w:val="center"/>
          </w:tcPr>
          <w:p w14:paraId="36056561">
            <w:pPr>
              <w:widowControl/>
              <w:spacing w:line="360" w:lineRule="auto"/>
              <w:jc w:val="center"/>
              <w:rPr>
                <w:rFonts w:hint="eastAsia" w:ascii="仿宋_GB2312" w:hAnsi="宋体" w:eastAsia="仿宋_GB2312"/>
                <w:sz w:val="22"/>
                <w:szCs w:val="22"/>
              </w:rPr>
            </w:pPr>
            <w:r>
              <w:rPr>
                <w:rFonts w:hint="eastAsia" w:ascii="仿宋_GB2312" w:hAnsi="宋体" w:eastAsia="仿宋_GB2312"/>
                <w:sz w:val="22"/>
                <w:szCs w:val="22"/>
              </w:rPr>
              <w:t>序号</w:t>
            </w:r>
          </w:p>
        </w:tc>
        <w:tc>
          <w:tcPr>
            <w:tcW w:w="975" w:type="pct"/>
            <w:vAlign w:val="center"/>
          </w:tcPr>
          <w:p w14:paraId="080EFF1A">
            <w:pPr>
              <w:widowControl/>
              <w:spacing w:line="360" w:lineRule="auto"/>
              <w:jc w:val="center"/>
              <w:rPr>
                <w:rFonts w:hint="eastAsia" w:ascii="仿宋_GB2312" w:hAnsi="宋体" w:eastAsia="仿宋_GB2312"/>
                <w:sz w:val="22"/>
                <w:szCs w:val="22"/>
              </w:rPr>
            </w:pPr>
            <w:r>
              <w:rPr>
                <w:rFonts w:hint="eastAsia" w:ascii="仿宋_GB2312" w:hAnsi="宋体" w:eastAsia="仿宋_GB2312"/>
                <w:sz w:val="22"/>
                <w:szCs w:val="22"/>
              </w:rPr>
              <w:t>服务名称</w:t>
            </w:r>
          </w:p>
        </w:tc>
        <w:tc>
          <w:tcPr>
            <w:tcW w:w="3623" w:type="pct"/>
            <w:vAlign w:val="center"/>
          </w:tcPr>
          <w:p w14:paraId="0D664332">
            <w:pPr>
              <w:widowControl/>
              <w:spacing w:line="360" w:lineRule="auto"/>
              <w:jc w:val="center"/>
              <w:rPr>
                <w:rFonts w:hint="eastAsia" w:ascii="仿宋_GB2312" w:hAnsi="宋体" w:eastAsia="仿宋_GB2312"/>
                <w:sz w:val="22"/>
                <w:szCs w:val="22"/>
              </w:rPr>
            </w:pPr>
            <w:r>
              <w:rPr>
                <w:rFonts w:hint="eastAsia" w:ascii="仿宋_GB2312" w:hAnsi="宋体" w:eastAsia="仿宋_GB2312"/>
                <w:sz w:val="22"/>
                <w:szCs w:val="22"/>
              </w:rPr>
              <w:t>服务说明</w:t>
            </w:r>
          </w:p>
        </w:tc>
      </w:tr>
      <w:tr w14:paraId="3D476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401" w:type="pct"/>
            <w:vAlign w:val="center"/>
          </w:tcPr>
          <w:p w14:paraId="60DDAE33">
            <w:pPr>
              <w:widowControl/>
              <w:spacing w:line="360" w:lineRule="auto"/>
              <w:jc w:val="center"/>
              <w:rPr>
                <w:rFonts w:hint="eastAsia" w:ascii="仿宋_GB2312" w:hAnsi="宋体" w:eastAsia="仿宋_GB2312"/>
                <w:sz w:val="20"/>
                <w:szCs w:val="20"/>
                <w:lang w:val="en-US" w:eastAsia="zh-CN"/>
              </w:rPr>
            </w:pPr>
            <w:r>
              <w:rPr>
                <w:rFonts w:hint="eastAsia" w:ascii="仿宋_GB2312" w:hAnsi="宋体" w:eastAsia="仿宋_GB2312"/>
                <w:sz w:val="20"/>
                <w:szCs w:val="20"/>
                <w:lang w:val="en-US" w:eastAsia="zh-CN"/>
              </w:rPr>
              <w:t>1</w:t>
            </w:r>
          </w:p>
        </w:tc>
        <w:tc>
          <w:tcPr>
            <w:tcW w:w="975" w:type="pct"/>
            <w:vAlign w:val="center"/>
          </w:tcPr>
          <w:p w14:paraId="56D62454">
            <w:pPr>
              <w:keepNext w:val="0"/>
              <w:keepLines w:val="0"/>
              <w:widowControl/>
              <w:suppressLineNumbers w:val="0"/>
              <w:jc w:val="center"/>
              <w:textAlignment w:val="center"/>
              <w:rPr>
                <w:rFonts w:hint="default" w:ascii="仿宋_GB2312" w:hAnsi="宋体" w:eastAsia="仿宋_GB2312"/>
                <w:sz w:val="20"/>
                <w:szCs w:val="20"/>
                <w:lang w:val="en-US" w:eastAsia="zh-CN"/>
              </w:rPr>
            </w:pPr>
            <w:r>
              <w:rPr>
                <w:rFonts w:hint="eastAsia" w:ascii="仿宋_GB2312" w:hAnsi="宋体" w:eastAsia="仿宋_GB2312" w:cs="仿宋_GB2312"/>
                <w:i w:val="0"/>
                <w:iCs w:val="0"/>
                <w:color w:val="000000"/>
                <w:kern w:val="0"/>
                <w:sz w:val="20"/>
                <w:szCs w:val="20"/>
                <w:u w:val="none"/>
                <w:lang w:val="en-US" w:eastAsia="zh-CN" w:bidi="ar"/>
              </w:rPr>
              <w:t>安全设备运维</w:t>
            </w:r>
          </w:p>
        </w:tc>
        <w:tc>
          <w:tcPr>
            <w:tcW w:w="3623" w:type="pct"/>
            <w:vAlign w:val="center"/>
          </w:tcPr>
          <w:p w14:paraId="2C78103F">
            <w:pPr>
              <w:keepNext w:val="0"/>
              <w:keepLines w:val="0"/>
              <w:widowControl/>
              <w:suppressLineNumbers w:val="0"/>
              <w:jc w:val="left"/>
              <w:textAlignment w:val="center"/>
              <w:rPr>
                <w:rFonts w:hint="default" w:ascii="仿宋_GB2312" w:hAnsi="宋体" w:eastAsia="仿宋_GB2312"/>
                <w:sz w:val="20"/>
                <w:szCs w:val="20"/>
                <w:lang w:val="en-US" w:eastAsia="zh-CN"/>
              </w:rPr>
            </w:pPr>
            <w:r>
              <w:rPr>
                <w:rFonts w:hint="eastAsia" w:ascii="仿宋_GB2312" w:hAnsi="宋体" w:eastAsia="仿宋_GB2312" w:cs="仿宋_GB2312"/>
                <w:i w:val="0"/>
                <w:iCs w:val="0"/>
                <w:color w:val="000000"/>
                <w:kern w:val="0"/>
                <w:sz w:val="20"/>
                <w:szCs w:val="20"/>
                <w:u w:val="none"/>
                <w:lang w:val="en-US" w:eastAsia="zh-CN" w:bidi="ar"/>
              </w:rPr>
              <w:t>安全设备日常监测数据分析，调整优化配置，实现网络安全技术防护目标落地。</w:t>
            </w:r>
          </w:p>
        </w:tc>
      </w:tr>
      <w:tr w14:paraId="475EF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01" w:type="pct"/>
            <w:vAlign w:val="center"/>
          </w:tcPr>
          <w:p w14:paraId="252A9836">
            <w:pPr>
              <w:widowControl/>
              <w:spacing w:line="360" w:lineRule="auto"/>
              <w:jc w:val="center"/>
              <w:rPr>
                <w:rFonts w:hint="eastAsia" w:ascii="仿宋_GB2312" w:hAnsi="宋体" w:eastAsia="仿宋_GB2312"/>
                <w:sz w:val="20"/>
                <w:szCs w:val="20"/>
                <w:lang w:val="en-US" w:eastAsia="zh-CN"/>
              </w:rPr>
            </w:pPr>
            <w:r>
              <w:rPr>
                <w:rFonts w:hint="eastAsia" w:ascii="仿宋_GB2312" w:hAnsi="宋体" w:eastAsia="仿宋_GB2312"/>
                <w:sz w:val="20"/>
                <w:szCs w:val="20"/>
                <w:lang w:val="en-US" w:eastAsia="zh-CN"/>
              </w:rPr>
              <w:t>2</w:t>
            </w:r>
          </w:p>
        </w:tc>
        <w:tc>
          <w:tcPr>
            <w:tcW w:w="975" w:type="pct"/>
            <w:shd w:val="clear" w:color="auto" w:fill="auto"/>
            <w:vAlign w:val="center"/>
          </w:tcPr>
          <w:p w14:paraId="05DCCE08">
            <w:pPr>
              <w:widowControl/>
              <w:spacing w:line="360" w:lineRule="auto"/>
              <w:jc w:val="center"/>
              <w:rPr>
                <w:rFonts w:hint="default" w:ascii="仿宋_GB2312" w:hAnsi="宋体" w:eastAsia="仿宋_GB2312" w:cstheme="minorBidi"/>
                <w:kern w:val="2"/>
                <w:sz w:val="20"/>
                <w:szCs w:val="20"/>
                <w:lang w:val="en-US" w:eastAsia="zh-CN" w:bidi="ar-SA"/>
              </w:rPr>
            </w:pPr>
            <w:r>
              <w:rPr>
                <w:rFonts w:hint="eastAsia" w:ascii="仿宋_GB2312" w:hAnsi="宋体" w:eastAsia="仿宋_GB2312"/>
                <w:sz w:val="20"/>
                <w:szCs w:val="20"/>
                <w:lang w:val="en-US" w:eastAsia="zh-CN"/>
              </w:rPr>
              <w:t>重要时期保障</w:t>
            </w:r>
          </w:p>
        </w:tc>
        <w:tc>
          <w:tcPr>
            <w:tcW w:w="3623" w:type="pct"/>
            <w:shd w:val="clear" w:color="auto" w:fill="auto"/>
            <w:vAlign w:val="center"/>
          </w:tcPr>
          <w:p w14:paraId="29D8E30D">
            <w:pPr>
              <w:widowControl/>
              <w:spacing w:line="360" w:lineRule="auto"/>
              <w:jc w:val="left"/>
              <w:rPr>
                <w:rFonts w:hint="default" w:ascii="仿宋_GB2312" w:hAnsi="宋体" w:eastAsia="仿宋_GB2312" w:cstheme="minorBidi"/>
                <w:kern w:val="2"/>
                <w:sz w:val="20"/>
                <w:szCs w:val="20"/>
                <w:lang w:val="en-US" w:eastAsia="zh-CN" w:bidi="ar-SA"/>
              </w:rPr>
            </w:pPr>
            <w:r>
              <w:rPr>
                <w:rFonts w:hint="eastAsia" w:ascii="仿宋_GB2312" w:hAnsi="宋体" w:eastAsia="仿宋_GB2312"/>
                <w:sz w:val="20"/>
                <w:szCs w:val="20"/>
                <w:lang w:val="en-US" w:eastAsia="zh-CN"/>
              </w:rPr>
              <w:t>按上级单位要求，开展重要时期24小时保障工作，工作时间按70天计算，超出部分另行协商；</w:t>
            </w:r>
          </w:p>
        </w:tc>
      </w:tr>
      <w:tr w14:paraId="0BD1E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01" w:type="pct"/>
            <w:vAlign w:val="center"/>
          </w:tcPr>
          <w:p w14:paraId="12C87601">
            <w:pPr>
              <w:widowControl/>
              <w:spacing w:line="360" w:lineRule="auto"/>
              <w:jc w:val="center"/>
              <w:rPr>
                <w:rFonts w:hint="eastAsia" w:ascii="仿宋_GB2312" w:hAnsi="宋体" w:eastAsia="仿宋_GB2312"/>
                <w:sz w:val="20"/>
                <w:szCs w:val="20"/>
                <w:lang w:val="en-US" w:eastAsia="zh-CN"/>
              </w:rPr>
            </w:pPr>
            <w:r>
              <w:rPr>
                <w:rFonts w:hint="eastAsia" w:ascii="仿宋_GB2312" w:hAnsi="宋体" w:eastAsia="仿宋_GB2312"/>
                <w:sz w:val="20"/>
                <w:szCs w:val="20"/>
                <w:lang w:val="en-US" w:eastAsia="zh-CN"/>
              </w:rPr>
              <w:t>3</w:t>
            </w:r>
          </w:p>
        </w:tc>
        <w:tc>
          <w:tcPr>
            <w:tcW w:w="975" w:type="pct"/>
            <w:shd w:val="clear" w:color="auto" w:fill="auto"/>
            <w:vAlign w:val="center"/>
          </w:tcPr>
          <w:p w14:paraId="763B1F0B">
            <w:pPr>
              <w:widowControl/>
              <w:spacing w:line="360" w:lineRule="auto"/>
              <w:jc w:val="center"/>
              <w:rPr>
                <w:rFonts w:hint="default" w:ascii="仿宋_GB2312" w:hAnsi="宋体" w:eastAsia="仿宋_GB2312" w:cstheme="minorBidi"/>
                <w:kern w:val="2"/>
                <w:sz w:val="20"/>
                <w:szCs w:val="20"/>
                <w:lang w:val="en-US" w:eastAsia="zh-CN" w:bidi="ar-SA"/>
              </w:rPr>
            </w:pPr>
            <w:r>
              <w:rPr>
                <w:rFonts w:hint="eastAsia" w:ascii="仿宋_GB2312" w:hAnsi="宋体" w:eastAsia="仿宋_GB2312"/>
                <w:sz w:val="20"/>
                <w:szCs w:val="20"/>
                <w:lang w:val="en-US" w:eastAsia="zh-CN"/>
              </w:rPr>
              <w:t>攻防演练期间护网服务</w:t>
            </w:r>
          </w:p>
        </w:tc>
        <w:tc>
          <w:tcPr>
            <w:tcW w:w="3623" w:type="pct"/>
            <w:shd w:val="clear" w:color="auto" w:fill="auto"/>
            <w:vAlign w:val="center"/>
          </w:tcPr>
          <w:p w14:paraId="528B44D0">
            <w:pPr>
              <w:widowControl/>
              <w:spacing w:line="360" w:lineRule="auto"/>
              <w:jc w:val="left"/>
              <w:rPr>
                <w:rFonts w:hint="default" w:ascii="仿宋_GB2312" w:hAnsi="宋体" w:eastAsia="仿宋_GB2312" w:cstheme="minorBidi"/>
                <w:kern w:val="2"/>
                <w:sz w:val="20"/>
                <w:szCs w:val="20"/>
                <w:lang w:val="en-US" w:eastAsia="zh-CN" w:bidi="ar-SA"/>
              </w:rPr>
            </w:pPr>
            <w:r>
              <w:rPr>
                <w:rFonts w:hint="eastAsia" w:ascii="仿宋_GB2312" w:hAnsi="宋体" w:eastAsia="仿宋_GB2312"/>
                <w:sz w:val="20"/>
                <w:szCs w:val="20"/>
                <w:lang w:val="en-US" w:eastAsia="zh-CN"/>
              </w:rPr>
              <w:t>按上级单位要求，开展重要时期24小时保障工作，在攻防演习期间安全现场值守和二线支持，保障学校网络安全；</w:t>
            </w:r>
          </w:p>
        </w:tc>
      </w:tr>
      <w:tr w14:paraId="2A950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01" w:type="pct"/>
            <w:vAlign w:val="center"/>
          </w:tcPr>
          <w:p w14:paraId="49A6C3BF">
            <w:pPr>
              <w:widowControl/>
              <w:spacing w:line="360" w:lineRule="auto"/>
              <w:jc w:val="center"/>
              <w:rPr>
                <w:rFonts w:hint="eastAsia" w:ascii="仿宋_GB2312" w:hAnsi="宋体" w:eastAsia="仿宋_GB2312"/>
                <w:sz w:val="20"/>
                <w:szCs w:val="20"/>
                <w:lang w:val="en-US" w:eastAsia="zh-CN"/>
              </w:rPr>
            </w:pPr>
            <w:r>
              <w:rPr>
                <w:rFonts w:hint="eastAsia" w:ascii="仿宋_GB2312" w:hAnsi="宋体" w:eastAsia="仿宋_GB2312"/>
                <w:sz w:val="20"/>
                <w:szCs w:val="20"/>
                <w:lang w:val="en-US" w:eastAsia="zh-CN"/>
              </w:rPr>
              <w:t>4</w:t>
            </w:r>
          </w:p>
        </w:tc>
        <w:tc>
          <w:tcPr>
            <w:tcW w:w="975" w:type="pct"/>
            <w:shd w:val="clear" w:color="auto" w:fill="auto"/>
            <w:vAlign w:val="center"/>
          </w:tcPr>
          <w:p w14:paraId="7C3A2C1C">
            <w:pPr>
              <w:keepNext w:val="0"/>
              <w:keepLines w:val="0"/>
              <w:widowControl/>
              <w:suppressLineNumbers w:val="0"/>
              <w:jc w:val="center"/>
              <w:textAlignment w:val="center"/>
              <w:rPr>
                <w:rFonts w:hint="default" w:ascii="仿宋_GB2312" w:hAnsi="宋体" w:eastAsia="仿宋_GB2312" w:cstheme="minorBidi"/>
                <w:kern w:val="2"/>
                <w:sz w:val="20"/>
                <w:szCs w:val="20"/>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应急事件响应</w:t>
            </w:r>
          </w:p>
        </w:tc>
        <w:tc>
          <w:tcPr>
            <w:tcW w:w="3623" w:type="pct"/>
            <w:shd w:val="clear" w:color="auto" w:fill="auto"/>
            <w:vAlign w:val="center"/>
          </w:tcPr>
          <w:p w14:paraId="22A261A5">
            <w:pPr>
              <w:keepNext w:val="0"/>
              <w:keepLines w:val="0"/>
              <w:widowControl/>
              <w:suppressLineNumbers w:val="0"/>
              <w:jc w:val="left"/>
              <w:textAlignment w:val="center"/>
              <w:rPr>
                <w:rFonts w:hint="default" w:ascii="仿宋_GB2312" w:hAnsi="宋体" w:eastAsia="仿宋_GB2312" w:cstheme="minorBidi"/>
                <w:kern w:val="2"/>
                <w:sz w:val="20"/>
                <w:szCs w:val="20"/>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对上级部门安全事件通报开展应急处置、溯源分析，形成处置报告。</w:t>
            </w:r>
          </w:p>
        </w:tc>
      </w:tr>
      <w:tr w14:paraId="39B2F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401" w:type="pct"/>
            <w:vAlign w:val="center"/>
          </w:tcPr>
          <w:p w14:paraId="6C8A8071">
            <w:pPr>
              <w:widowControl/>
              <w:spacing w:line="360" w:lineRule="auto"/>
              <w:jc w:val="center"/>
              <w:rPr>
                <w:rFonts w:hint="eastAsia" w:ascii="仿宋_GB2312" w:hAnsi="宋体" w:eastAsia="仿宋_GB2312"/>
                <w:sz w:val="20"/>
                <w:szCs w:val="20"/>
                <w:lang w:val="en-US" w:eastAsia="zh-CN"/>
              </w:rPr>
            </w:pPr>
            <w:r>
              <w:rPr>
                <w:rFonts w:hint="eastAsia" w:ascii="仿宋_GB2312" w:hAnsi="宋体" w:eastAsia="仿宋_GB2312"/>
                <w:sz w:val="20"/>
                <w:szCs w:val="20"/>
                <w:lang w:val="en-US" w:eastAsia="zh-CN"/>
              </w:rPr>
              <w:t>5</w:t>
            </w:r>
          </w:p>
        </w:tc>
        <w:tc>
          <w:tcPr>
            <w:tcW w:w="975" w:type="pct"/>
            <w:shd w:val="clear" w:color="auto" w:fill="auto"/>
            <w:vAlign w:val="center"/>
          </w:tcPr>
          <w:p w14:paraId="4E5D644D">
            <w:pPr>
              <w:keepNext w:val="0"/>
              <w:keepLines w:val="0"/>
              <w:widowControl/>
              <w:suppressLineNumbers w:val="0"/>
              <w:jc w:val="center"/>
              <w:textAlignment w:val="center"/>
              <w:rPr>
                <w:rFonts w:hint="eastAsia" w:ascii="仿宋_GB2312" w:hAnsi="宋体" w:eastAsia="仿宋_GB2312" w:cstheme="minorBidi"/>
                <w:kern w:val="2"/>
                <w:sz w:val="20"/>
                <w:szCs w:val="20"/>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其他网安全工作</w:t>
            </w:r>
          </w:p>
        </w:tc>
        <w:tc>
          <w:tcPr>
            <w:tcW w:w="3623" w:type="pct"/>
            <w:shd w:val="clear" w:color="auto" w:fill="auto"/>
            <w:vAlign w:val="center"/>
          </w:tcPr>
          <w:p w14:paraId="48B4B0C4">
            <w:pPr>
              <w:keepNext w:val="0"/>
              <w:keepLines w:val="0"/>
              <w:widowControl/>
              <w:suppressLineNumbers w:val="0"/>
              <w:jc w:val="left"/>
              <w:textAlignment w:val="center"/>
              <w:rPr>
                <w:rFonts w:hint="eastAsia" w:ascii="仿宋_GB2312" w:hAnsi="宋体" w:eastAsia="仿宋_GB2312" w:cstheme="minorBidi"/>
                <w:kern w:val="2"/>
                <w:sz w:val="20"/>
                <w:szCs w:val="20"/>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学校交办的其他网络安全工作。</w:t>
            </w:r>
          </w:p>
        </w:tc>
      </w:tr>
    </w:tbl>
    <w:p w14:paraId="4F96F41F">
      <w:pPr>
        <w:spacing w:line="360" w:lineRule="auto"/>
        <w:ind w:firstLine="360" w:firstLineChars="150"/>
        <w:rPr>
          <w:rFonts w:hint="eastAsia" w:ascii="仿宋_GB2312" w:hAnsi="宋体" w:eastAsia="仿宋_GB2312"/>
          <w:i/>
          <w:iCs/>
          <w:sz w:val="24"/>
          <w:szCs w:val="24"/>
        </w:rPr>
      </w:pPr>
    </w:p>
    <w:p w14:paraId="4D2FB2CA">
      <w:pPr>
        <w:widowControl/>
        <w:ind w:firstLine="643" w:firstLineChars="200"/>
        <w:jc w:val="left"/>
        <w:rPr>
          <w:rFonts w:hint="eastAsia" w:ascii="仿宋_GB2312" w:hAnsi="宋体" w:eastAsia="仿宋_GB2312" w:cs="仿宋"/>
          <w:color w:val="000000"/>
          <w:kern w:val="0"/>
          <w:sz w:val="28"/>
          <w:szCs w:val="28"/>
          <w:shd w:val="clear" w:color="auto" w:fill="FFFFFF"/>
        </w:rPr>
      </w:pPr>
      <w:r>
        <w:rPr>
          <w:rFonts w:hint="eastAsia" w:ascii="仿宋_GB2312" w:hAnsi="宋体" w:eastAsia="仿宋_GB2312" w:cs="仿宋"/>
          <w:b/>
          <w:color w:val="000000"/>
          <w:kern w:val="0"/>
          <w:sz w:val="32"/>
          <w:szCs w:val="28"/>
          <w:shd w:val="clear" w:color="auto" w:fill="FFFFFF"/>
        </w:rPr>
        <w:t>三、技术要求</w:t>
      </w:r>
    </w:p>
    <w:p w14:paraId="39EADA4E">
      <w:pPr>
        <w:pStyle w:val="6"/>
        <w:spacing w:before="0" w:beforeAutospacing="0" w:after="0" w:afterAutospacing="0" w:line="360" w:lineRule="auto"/>
        <w:ind w:firstLine="560" w:firstLineChars="200"/>
        <w:rPr>
          <w:rFonts w:hint="eastAsia" w:ascii="仿宋_GB2312" w:eastAsia="仿宋_GB2312" w:cs="仿宋" w:hAnsiTheme="minorHAnsi"/>
          <w:bCs/>
          <w:color w:val="000000"/>
          <w:kern w:val="2"/>
          <w:sz w:val="28"/>
          <w:szCs w:val="28"/>
          <w:shd w:val="clear" w:color="auto" w:fill="FFFFFF"/>
          <w:lang w:val="en-US" w:eastAsia="zh-CN" w:bidi="ar-SA"/>
        </w:rPr>
      </w:pPr>
      <w:r>
        <w:rPr>
          <w:rFonts w:hint="eastAsia" w:ascii="仿宋_GB2312" w:eastAsia="仿宋_GB2312" w:cs="仿宋" w:hAnsiTheme="minorHAnsi"/>
          <w:bCs/>
          <w:color w:val="000000"/>
          <w:kern w:val="2"/>
          <w:sz w:val="28"/>
          <w:szCs w:val="28"/>
          <w:shd w:val="clear" w:color="auto" w:fill="FFFFFF"/>
          <w:lang w:val="en-US" w:eastAsia="zh-CN" w:bidi="ar-SA"/>
        </w:rPr>
        <w:t>具体服务要求如下：</w:t>
      </w:r>
    </w:p>
    <w:p w14:paraId="7CF8C0A8">
      <w:pPr>
        <w:pStyle w:val="6"/>
        <w:numPr>
          <w:ilvl w:val="0"/>
          <w:numId w:val="1"/>
        </w:numPr>
        <w:spacing w:before="0" w:beforeAutospacing="0" w:after="0" w:afterAutospacing="0" w:line="360" w:lineRule="auto"/>
        <w:ind w:firstLine="560" w:firstLineChars="200"/>
        <w:rPr>
          <w:rFonts w:hint="eastAsia" w:ascii="仿宋_GB2312" w:eastAsia="仿宋_GB2312" w:cs="仿宋" w:hAnsiTheme="minorHAnsi"/>
          <w:bCs/>
          <w:color w:val="000000"/>
          <w:kern w:val="2"/>
          <w:sz w:val="28"/>
          <w:szCs w:val="28"/>
          <w:shd w:val="clear" w:color="auto" w:fill="FFFFFF"/>
          <w:lang w:val="en-US" w:eastAsia="zh-CN" w:bidi="ar-SA"/>
        </w:rPr>
      </w:pPr>
      <w:r>
        <w:rPr>
          <w:rFonts w:hint="eastAsia" w:ascii="仿宋_GB2312" w:eastAsia="仿宋_GB2312" w:cs="仿宋" w:hAnsiTheme="minorHAnsi"/>
          <w:bCs/>
          <w:color w:val="000000"/>
          <w:kern w:val="2"/>
          <w:sz w:val="28"/>
          <w:szCs w:val="28"/>
          <w:shd w:val="clear" w:color="auto" w:fill="FFFFFF"/>
          <w:lang w:val="en-US" w:eastAsia="zh-CN" w:bidi="ar-SA"/>
        </w:rPr>
        <w:t>专业团队进行驻场运维服务，要求安排网络工程师≥2人，工作时间与学校工作时间一致，根据工作内容服务单位应提供专业人员提供二线支持；</w:t>
      </w:r>
    </w:p>
    <w:p w14:paraId="577F907A">
      <w:pPr>
        <w:pStyle w:val="6"/>
        <w:numPr>
          <w:ilvl w:val="0"/>
          <w:numId w:val="1"/>
        </w:numPr>
        <w:spacing w:before="0" w:beforeAutospacing="0" w:after="0" w:afterAutospacing="0" w:line="360" w:lineRule="auto"/>
        <w:ind w:firstLine="560" w:firstLineChars="200"/>
        <w:rPr>
          <w:rFonts w:hint="eastAsia" w:ascii="仿宋_GB2312" w:eastAsia="仿宋_GB2312" w:cs="仿宋" w:hAnsiTheme="minorHAnsi"/>
          <w:bCs/>
          <w:color w:val="000000"/>
          <w:kern w:val="2"/>
          <w:sz w:val="28"/>
          <w:szCs w:val="28"/>
          <w:shd w:val="clear" w:color="auto" w:fill="FFFFFF"/>
        </w:rPr>
      </w:pPr>
      <w:r>
        <w:rPr>
          <w:rFonts w:hint="eastAsia" w:ascii="仿宋_GB2312" w:eastAsia="仿宋_GB2312" w:cs="仿宋" w:hAnsiTheme="minorHAnsi"/>
          <w:bCs/>
          <w:color w:val="000000"/>
          <w:kern w:val="2"/>
          <w:sz w:val="28"/>
          <w:szCs w:val="28"/>
          <w:shd w:val="clear" w:color="auto" w:fill="FFFFFF"/>
          <w:lang w:val="en-US" w:eastAsia="zh-CN"/>
        </w:rPr>
        <w:t>护网保障期间额外增加1人7*24小时现场值守；</w:t>
      </w:r>
    </w:p>
    <w:p w14:paraId="098C5251">
      <w:pPr>
        <w:pStyle w:val="6"/>
        <w:numPr>
          <w:ilvl w:val="0"/>
          <w:numId w:val="1"/>
        </w:numPr>
        <w:spacing w:before="0" w:beforeAutospacing="0" w:after="0" w:afterAutospacing="0" w:line="360" w:lineRule="auto"/>
        <w:ind w:firstLine="560" w:firstLineChars="200"/>
        <w:rPr>
          <w:rFonts w:hint="eastAsia" w:ascii="仿宋_GB2312" w:eastAsia="仿宋_GB2312" w:cs="仿宋" w:hAnsiTheme="minorHAnsi"/>
          <w:bCs/>
          <w:color w:val="000000"/>
          <w:kern w:val="2"/>
          <w:sz w:val="28"/>
          <w:szCs w:val="28"/>
          <w:shd w:val="clear" w:color="auto" w:fill="FFFFFF"/>
          <w:lang w:val="en-US" w:eastAsia="zh-CN" w:bidi="ar-SA"/>
        </w:rPr>
      </w:pPr>
      <w:r>
        <w:rPr>
          <w:rFonts w:hint="eastAsia" w:ascii="仿宋_GB2312" w:eastAsia="仿宋_GB2312" w:cs="仿宋" w:hAnsiTheme="minorHAnsi"/>
          <w:bCs/>
          <w:color w:val="000000"/>
          <w:kern w:val="2"/>
          <w:sz w:val="28"/>
          <w:szCs w:val="28"/>
          <w:shd w:val="clear" w:color="auto" w:fill="FFFFFF"/>
          <w:lang w:val="en-US" w:eastAsia="zh-CN"/>
        </w:rPr>
        <w:t>重要保障时期额外增加1人7*24小时现场值守；</w:t>
      </w:r>
    </w:p>
    <w:p w14:paraId="73E771C1">
      <w:pPr>
        <w:pStyle w:val="6"/>
        <w:numPr>
          <w:ilvl w:val="0"/>
          <w:numId w:val="1"/>
        </w:numPr>
        <w:spacing w:before="0" w:beforeAutospacing="0" w:after="0" w:afterAutospacing="0" w:line="360" w:lineRule="auto"/>
        <w:ind w:firstLine="560" w:firstLineChars="200"/>
        <w:rPr>
          <w:rFonts w:hint="eastAsia" w:ascii="仿宋_GB2312" w:eastAsia="仿宋_GB2312" w:cs="仿宋" w:hAnsiTheme="minorHAnsi"/>
          <w:bCs/>
          <w:color w:val="000000"/>
          <w:kern w:val="2"/>
          <w:sz w:val="28"/>
          <w:szCs w:val="28"/>
          <w:shd w:val="clear" w:color="auto" w:fill="FFFFFF"/>
          <w:lang w:val="en-US" w:eastAsia="zh-CN" w:bidi="ar-SA"/>
        </w:rPr>
      </w:pPr>
      <w:r>
        <w:rPr>
          <w:rFonts w:hint="eastAsia" w:ascii="仿宋_GB2312" w:eastAsia="仿宋_GB2312" w:cs="仿宋" w:hAnsiTheme="minorHAnsi"/>
          <w:bCs/>
          <w:color w:val="000000"/>
          <w:kern w:val="2"/>
          <w:sz w:val="28"/>
          <w:szCs w:val="28"/>
          <w:shd w:val="clear" w:color="auto" w:fill="FFFFFF"/>
          <w:lang w:val="en-US" w:eastAsia="zh-CN" w:bidi="ar-SA"/>
        </w:rPr>
        <w:t>驻场工作人员签订《保密协议书》保障学校相关信息安全。</w:t>
      </w:r>
    </w:p>
    <w:p w14:paraId="411AD691">
      <w:pPr>
        <w:pStyle w:val="6"/>
        <w:numPr>
          <w:ilvl w:val="0"/>
          <w:numId w:val="0"/>
        </w:numPr>
        <w:spacing w:before="0" w:beforeAutospacing="0" w:after="0" w:afterAutospacing="0" w:line="360" w:lineRule="auto"/>
        <w:rPr>
          <w:rFonts w:hint="eastAsia" w:ascii="仿宋_GB2312" w:eastAsia="仿宋_GB2312" w:cs="仿宋" w:hAnsiTheme="minorHAnsi"/>
          <w:bCs/>
          <w:color w:val="000000"/>
          <w:kern w:val="2"/>
          <w:sz w:val="28"/>
          <w:szCs w:val="28"/>
          <w:shd w:val="clear" w:color="auto" w:fill="FFFFFF"/>
          <w:lang w:val="en-US" w:eastAsia="zh-CN" w:bidi="ar-SA"/>
        </w:rPr>
      </w:pPr>
    </w:p>
    <w:p w14:paraId="47A4FC07">
      <w:pPr>
        <w:pStyle w:val="6"/>
        <w:numPr>
          <w:ilvl w:val="0"/>
          <w:numId w:val="0"/>
        </w:numPr>
        <w:spacing w:before="0" w:beforeAutospacing="0" w:after="0" w:afterAutospacing="0" w:line="360" w:lineRule="auto"/>
        <w:rPr>
          <w:rFonts w:hint="eastAsia" w:ascii="仿宋_GB2312" w:eastAsia="仿宋_GB2312" w:cs="仿宋" w:hAnsiTheme="minorHAnsi"/>
          <w:bCs/>
          <w:color w:val="000000"/>
          <w:kern w:val="2"/>
          <w:sz w:val="28"/>
          <w:szCs w:val="28"/>
          <w:shd w:val="clear" w:color="auto" w:fill="FFFFFF"/>
          <w:lang w:val="en-US" w:eastAsia="zh-CN" w:bidi="ar-SA"/>
        </w:rPr>
      </w:pPr>
    </w:p>
    <w:p w14:paraId="79425FB5">
      <w:pPr>
        <w:pStyle w:val="6"/>
        <w:spacing w:before="0" w:beforeAutospacing="0" w:after="0" w:afterAutospacing="0" w:line="360" w:lineRule="auto"/>
        <w:ind w:firstLine="480" w:firstLineChars="200"/>
        <w:rPr>
          <w:rFonts w:hint="eastAsia" w:ascii="微软雅黑" w:hAnsi="微软雅黑" w:eastAsia="微软雅黑"/>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Wingdings 2">
    <w:altName w:val="Wingdings"/>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Kingsoft UE">
    <w:panose1 w:val="02000100010000000000"/>
    <w:charset w:val="00"/>
    <w:family w:val="auto"/>
    <w:pitch w:val="default"/>
    <w:sig w:usb0="00000001" w:usb1="00004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847B862"/>
    <w:multiLevelType w:val="singleLevel"/>
    <w:tmpl w:val="2847B862"/>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removePersonalInformation/>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zMjg5ZTk0ZmI5MWFhNTcyMmY3YTlmN2Y3NmI0YzkifQ=="/>
  </w:docVars>
  <w:rsids>
    <w:rsidRoot w:val="5DAD333C"/>
    <w:rsid w:val="000104DA"/>
    <w:rsid w:val="00064EEB"/>
    <w:rsid w:val="000933D2"/>
    <w:rsid w:val="001840C8"/>
    <w:rsid w:val="00240B3B"/>
    <w:rsid w:val="00251837"/>
    <w:rsid w:val="002A6985"/>
    <w:rsid w:val="002F073D"/>
    <w:rsid w:val="00356605"/>
    <w:rsid w:val="004F4A7C"/>
    <w:rsid w:val="00573EFB"/>
    <w:rsid w:val="006B6C71"/>
    <w:rsid w:val="00723B00"/>
    <w:rsid w:val="00771733"/>
    <w:rsid w:val="009900AA"/>
    <w:rsid w:val="00AA5C84"/>
    <w:rsid w:val="00B1366B"/>
    <w:rsid w:val="00BC042D"/>
    <w:rsid w:val="00C879B3"/>
    <w:rsid w:val="00CE29C9"/>
    <w:rsid w:val="00CE45ED"/>
    <w:rsid w:val="00D6193B"/>
    <w:rsid w:val="00D731CF"/>
    <w:rsid w:val="00F00A8C"/>
    <w:rsid w:val="00F47007"/>
    <w:rsid w:val="00FB3883"/>
    <w:rsid w:val="00FE60C3"/>
    <w:rsid w:val="043B2EAD"/>
    <w:rsid w:val="060E6ACB"/>
    <w:rsid w:val="0B4E7969"/>
    <w:rsid w:val="0BF038E7"/>
    <w:rsid w:val="0D340549"/>
    <w:rsid w:val="0E386917"/>
    <w:rsid w:val="142C636E"/>
    <w:rsid w:val="15EF0127"/>
    <w:rsid w:val="16D94E67"/>
    <w:rsid w:val="1C3A1F70"/>
    <w:rsid w:val="272730F1"/>
    <w:rsid w:val="2BC82763"/>
    <w:rsid w:val="32173DE1"/>
    <w:rsid w:val="359027A9"/>
    <w:rsid w:val="35A74D3D"/>
    <w:rsid w:val="36AD7304"/>
    <w:rsid w:val="36D466C5"/>
    <w:rsid w:val="37485C5F"/>
    <w:rsid w:val="3BA93AF9"/>
    <w:rsid w:val="46F56910"/>
    <w:rsid w:val="499A72FA"/>
    <w:rsid w:val="4BA32DDE"/>
    <w:rsid w:val="4CBE77A4"/>
    <w:rsid w:val="4CFC14B7"/>
    <w:rsid w:val="4F0C78AF"/>
    <w:rsid w:val="52F83A10"/>
    <w:rsid w:val="560B1E4F"/>
    <w:rsid w:val="57A95590"/>
    <w:rsid w:val="59A73005"/>
    <w:rsid w:val="5D0B2591"/>
    <w:rsid w:val="5DAD333C"/>
    <w:rsid w:val="64412342"/>
    <w:rsid w:val="656E0B6F"/>
    <w:rsid w:val="69C72E40"/>
    <w:rsid w:val="69EC72A7"/>
    <w:rsid w:val="6CF50FAE"/>
    <w:rsid w:val="6DAF500B"/>
    <w:rsid w:val="71C468B3"/>
    <w:rsid w:val="77F03ED5"/>
    <w:rsid w:val="7AE91D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9"/>
    <w:pPr>
      <w:keepNext/>
      <w:keepLines/>
      <w:spacing w:before="260" w:after="260" w:line="416" w:lineRule="auto"/>
      <w:outlineLvl w:val="1"/>
    </w:pPr>
    <w:rPr>
      <w:rFonts w:ascii="Calibri Light" w:hAnsi="Calibri Light" w:eastAsia="宋体" w:cs="Times New Roman"/>
      <w:b/>
      <w:bCs/>
      <w:sz w:val="32"/>
      <w:szCs w:val="32"/>
    </w:rPr>
  </w:style>
  <w:style w:type="paragraph" w:styleId="3">
    <w:name w:val="heading 3"/>
    <w:basedOn w:val="1"/>
    <w:next w:val="1"/>
    <w:qFormat/>
    <w:uiPriority w:val="9"/>
    <w:pPr>
      <w:keepNext/>
      <w:keepLines/>
      <w:spacing w:before="260" w:after="260" w:line="416" w:lineRule="auto"/>
      <w:outlineLvl w:val="2"/>
    </w:pPr>
    <w:rPr>
      <w:rFonts w:eastAsia="宋体"/>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10"/>
    <w:qFormat/>
    <w:uiPriority w:val="0"/>
    <w:pPr>
      <w:tabs>
        <w:tab w:val="center" w:pos="4153"/>
        <w:tab w:val="right" w:pos="8306"/>
      </w:tabs>
      <w:snapToGrid w:val="0"/>
      <w:jc w:val="left"/>
    </w:pPr>
    <w:rPr>
      <w:sz w:val="18"/>
      <w:szCs w:val="18"/>
    </w:rPr>
  </w:style>
  <w:style w:type="paragraph" w:styleId="5">
    <w:name w:val="header"/>
    <w:basedOn w:val="1"/>
    <w:link w:val="9"/>
    <w:qFormat/>
    <w:uiPriority w:val="0"/>
    <w:pPr>
      <w:tabs>
        <w:tab w:val="center" w:pos="4153"/>
        <w:tab w:val="right" w:pos="8306"/>
      </w:tabs>
      <w:snapToGrid w:val="0"/>
      <w:jc w:val="center"/>
    </w:pPr>
    <w:rPr>
      <w:sz w:val="18"/>
      <w:szCs w:val="18"/>
    </w:rPr>
  </w:style>
  <w:style w:type="paragraph" w:styleId="6">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9">
    <w:name w:val="页眉 字符"/>
    <w:basedOn w:val="8"/>
    <w:link w:val="5"/>
    <w:qFormat/>
    <w:uiPriority w:val="0"/>
    <w:rPr>
      <w:kern w:val="2"/>
      <w:sz w:val="18"/>
      <w:szCs w:val="18"/>
    </w:rPr>
  </w:style>
  <w:style w:type="character" w:customStyle="1" w:styleId="10">
    <w:name w:val="页脚 字符"/>
    <w:basedOn w:val="8"/>
    <w:link w:val="4"/>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998</Words>
  <Characters>1032</Characters>
  <Lines>9</Lines>
  <Paragraphs>2</Paragraphs>
  <TotalTime>0</TotalTime>
  <ScaleCrop>false</ScaleCrop>
  <LinksUpToDate>false</LinksUpToDate>
  <CharactersWithSpaces>1081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2025-10-29T06:53:00Z</dcterms:created>
  <dcterms:modified xsi:type="dcterms:W3CDTF">2026-04-22T09:26:33Z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eyJoZGlkIjoiYzQ3NjY0MDA2MDA1MTVkZGI0NGNjY2Y1NjZkYmVhMDEiLCJ1c2VySWQiOiIxNDcxNjk2MTU0In0=</vt:lpwstr>
  </property>
  <property fmtid="{D5CDD505-2E9C-101B-9397-08002B2CF9AE}" pid="3" name="KSOProductBuildVer">
    <vt:lpwstr>2052-12.1.0.24034</vt:lpwstr>
  </property>
  <property fmtid="{D5CDD505-2E9C-101B-9397-08002B2CF9AE}" pid="4" name="ICV">
    <vt:lpwstr>88C965C0CAC64D6FA89051A65B394347_13</vt:lpwstr>
  </property>
</Properties>
</file>