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8CDAC">
      <w:pPr>
        <w:spacing w:line="360" w:lineRule="auto"/>
        <w:ind w:firstLine="482" w:firstLineChars="200"/>
        <w:outlineLvl w:val="1"/>
        <w:rPr>
          <w:rFonts w:ascii="宋体" w:hAnsi="宋体" w:cs="宋体"/>
          <w:b/>
          <w:bCs/>
          <w:color w:val="auto"/>
          <w:sz w:val="24"/>
          <w:szCs w:val="24"/>
          <w:highlight w:val="none"/>
        </w:rPr>
      </w:pPr>
      <w:bookmarkStart w:id="0" w:name="_Toc7919"/>
      <w:r>
        <w:rPr>
          <w:rFonts w:hint="eastAsia" w:ascii="宋体" w:hAnsi="宋体" w:cs="宋体"/>
          <w:b/>
          <w:bCs/>
          <w:color w:val="auto"/>
          <w:sz w:val="24"/>
          <w:szCs w:val="24"/>
          <w:highlight w:val="none"/>
        </w:rPr>
        <w:t>一、项目概况</w:t>
      </w:r>
      <w:bookmarkEnd w:id="0"/>
    </w:p>
    <w:p w14:paraId="3E2A6031">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 xml:space="preserve">为贯彻落实《中华人民共和国网络安全法》，根据《国家信息化领导小组关于加强信息安全保障工作的意见》等，进一步提高网络安全工作的管理水平和技术防护能力，促进信息化建设健康发展，按照国家等级保护等相关要求全面梳理、检测和评估信息系统的安全隐患和安全风险，并在此基础上科学规划和设计出完善的安全体系建设和整改方案。通过安全建设整改，实现对信息资产的保密、完整、可用、不可抵赖和可审计性，力争做到“进不来、拿不走、改不了，看不懂、跑不了、可审计、打不垮”的信息安全管理目标。 </w:t>
      </w:r>
    </w:p>
    <w:p w14:paraId="7AB918E8">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根据《中华人民共和国网络安全法》的要求，“国家实行网络安全等级保护制度。采购人按照网络安全等级保护制度的要求，履行网络安全保护义务，保障网络免受干扰、破坏或者未经授权的访问，防止网络数据泄露或者被窃取、篡改。”以及《信息安全等级保护管理办法》等要求选择测评机构开展等级保护测评工作。</w:t>
      </w:r>
    </w:p>
    <w:p w14:paraId="29FD65B5">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按照“全面排查风险、及时发现预警、快速有效处置、确保万无一失”的工作目标，确保关键敏感时期不发生网络安全事件，保障重要信息系统平稳运行。拟对</w:t>
      </w:r>
      <w:r>
        <w:rPr>
          <w:rFonts w:hint="eastAsia" w:ascii="宋体" w:hAnsi="宋体" w:cs="宋体"/>
          <w:snapToGrid w:val="0"/>
          <w:color w:val="auto"/>
          <w:kern w:val="0"/>
          <w:sz w:val="24"/>
          <w:szCs w:val="24"/>
          <w:highlight w:val="none"/>
          <w:lang w:val="en-US" w:eastAsia="zh-CN"/>
        </w:rPr>
        <w:t>新增</w:t>
      </w:r>
      <w:r>
        <w:rPr>
          <w:rFonts w:hint="eastAsia" w:ascii="宋体" w:hAnsi="宋体" w:cs="宋体"/>
          <w:snapToGrid w:val="0"/>
          <w:color w:val="auto"/>
          <w:kern w:val="0"/>
          <w:sz w:val="24"/>
          <w:szCs w:val="24"/>
          <w:highlight w:val="none"/>
          <w:lang w:val="zh-CN"/>
        </w:rPr>
        <w:t>系统开展等级保护测评工作、</w:t>
      </w:r>
      <w:r>
        <w:rPr>
          <w:rFonts w:ascii="宋体" w:hAnsi="宋体" w:eastAsia="宋体" w:cs="宋体"/>
          <w:sz w:val="24"/>
          <w:szCs w:val="24"/>
        </w:rPr>
        <w:t>定级工作，投标人需要提供切实有效的整改方案</w:t>
      </w:r>
      <w:r>
        <w:rPr>
          <w:rFonts w:hint="eastAsia" w:ascii="宋体" w:hAnsi="宋体" w:cs="宋体"/>
          <w:sz w:val="24"/>
          <w:szCs w:val="24"/>
          <w:lang w:eastAsia="zh-CN"/>
        </w:rPr>
        <w:t>，</w:t>
      </w:r>
      <w:r>
        <w:rPr>
          <w:rFonts w:ascii="宋体" w:hAnsi="宋体" w:eastAsia="宋体" w:cs="宋体"/>
          <w:sz w:val="24"/>
          <w:szCs w:val="24"/>
        </w:rPr>
        <w:t>并提供整改咨询方案；对整改后的信息系统进行测评，对需定级的系统完成等级保护定级，最终所有系统达到国家等级保护相关要求。</w:t>
      </w:r>
    </w:p>
    <w:p w14:paraId="79339A1B">
      <w:pPr>
        <w:spacing w:line="360" w:lineRule="auto"/>
        <w:ind w:firstLine="482" w:firstLineChars="200"/>
        <w:outlineLvl w:val="1"/>
        <w:rPr>
          <w:rFonts w:ascii="宋体" w:hAnsi="宋体" w:cs="宋体"/>
          <w:b/>
          <w:bCs/>
          <w:color w:val="auto"/>
          <w:sz w:val="24"/>
          <w:szCs w:val="24"/>
          <w:highlight w:val="none"/>
        </w:rPr>
      </w:pPr>
      <w:bookmarkStart w:id="1" w:name="_Toc23009"/>
      <w:r>
        <w:rPr>
          <w:rFonts w:hint="eastAsia" w:ascii="宋体" w:hAnsi="宋体" w:cs="宋体"/>
          <w:b/>
          <w:bCs/>
          <w:color w:val="auto"/>
          <w:sz w:val="24"/>
          <w:szCs w:val="24"/>
          <w:highlight w:val="none"/>
          <w:lang w:val="zh-CN"/>
        </w:rPr>
        <w:t>二、</w:t>
      </w:r>
      <w:bookmarkEnd w:id="1"/>
      <w:r>
        <w:rPr>
          <w:rFonts w:hint="eastAsia" w:ascii="宋体" w:hAnsi="宋体" w:cs="宋体"/>
          <w:b/>
          <w:bCs/>
          <w:color w:val="auto"/>
          <w:sz w:val="24"/>
          <w:szCs w:val="24"/>
          <w:highlight w:val="none"/>
        </w:rPr>
        <w:t>主要标的</w:t>
      </w:r>
    </w:p>
    <w:p w14:paraId="4BABF758">
      <w:pPr>
        <w:spacing w:line="360" w:lineRule="auto"/>
        <w:ind w:firstLine="482" w:firstLineChars="200"/>
        <w:rPr>
          <w:rFonts w:ascii="仿宋_GB2312" w:hAnsi="宋体" w:eastAsia="仿宋_GB2312"/>
          <w:color w:val="auto"/>
          <w:sz w:val="24"/>
          <w:szCs w:val="24"/>
          <w:highlight w:val="none"/>
        </w:rPr>
      </w:pPr>
      <w:r>
        <w:rPr>
          <w:rFonts w:hint="eastAsia" w:ascii="仿宋_GB2312" w:hAnsi="宋体" w:eastAsia="仿宋_GB2312"/>
          <w:b/>
          <w:color w:val="auto"/>
          <w:sz w:val="24"/>
          <w:szCs w:val="24"/>
          <w:highlight w:val="none"/>
        </w:rPr>
        <w:t>是否属于科研活动相关采购：否</w:t>
      </w:r>
    </w:p>
    <w:tbl>
      <w:tblPr>
        <w:tblStyle w:val="5"/>
        <w:tblpPr w:leftFromText="180" w:rightFromText="180" w:vertAnchor="text" w:horzAnchor="page" w:tblpX="1807" w:tblpY="223"/>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310"/>
        <w:gridCol w:w="1701"/>
        <w:gridCol w:w="4677"/>
      </w:tblGrid>
      <w:tr w14:paraId="04E19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9" w:type="dxa"/>
            <w:vAlign w:val="center"/>
          </w:tcPr>
          <w:p w14:paraId="1F3CB66D">
            <w:pPr>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序号</w:t>
            </w:r>
          </w:p>
        </w:tc>
        <w:tc>
          <w:tcPr>
            <w:tcW w:w="1310" w:type="dxa"/>
            <w:vAlign w:val="center"/>
          </w:tcPr>
          <w:p w14:paraId="772F23B3">
            <w:pPr>
              <w:widowControl/>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服务名称</w:t>
            </w:r>
          </w:p>
        </w:tc>
        <w:tc>
          <w:tcPr>
            <w:tcW w:w="1701" w:type="dxa"/>
            <w:vAlign w:val="center"/>
          </w:tcPr>
          <w:p w14:paraId="66797B64">
            <w:pPr>
              <w:widowControl/>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服务期限</w:t>
            </w:r>
          </w:p>
        </w:tc>
        <w:tc>
          <w:tcPr>
            <w:tcW w:w="4677" w:type="dxa"/>
            <w:vAlign w:val="center"/>
          </w:tcPr>
          <w:p w14:paraId="5D7FA4C9">
            <w:pPr>
              <w:widowControl/>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服务说明</w:t>
            </w:r>
          </w:p>
        </w:tc>
      </w:tr>
      <w:tr w14:paraId="021E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9" w:type="dxa"/>
            <w:vAlign w:val="center"/>
          </w:tcPr>
          <w:p w14:paraId="5E6C687E">
            <w:pPr>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310" w:type="dxa"/>
            <w:vAlign w:val="center"/>
          </w:tcPr>
          <w:p w14:paraId="7FF1A301">
            <w:pPr>
              <w:widowControl/>
              <w:jc w:val="lef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等级保护测评</w:t>
            </w:r>
            <w:r>
              <w:rPr>
                <w:rFonts w:hint="eastAsia" w:ascii="仿宋_GB2312" w:hAnsi="宋体" w:eastAsia="仿宋_GB2312"/>
                <w:color w:val="auto"/>
                <w:sz w:val="24"/>
                <w:szCs w:val="24"/>
                <w:highlight w:val="none"/>
                <w:lang w:eastAsia="zh-CN"/>
              </w:rPr>
              <w:t>、</w:t>
            </w:r>
            <w:r>
              <w:rPr>
                <w:rFonts w:hint="eastAsia" w:ascii="仿宋_GB2312" w:hAnsi="宋体" w:eastAsia="仿宋_GB2312"/>
                <w:color w:val="auto"/>
                <w:sz w:val="24"/>
                <w:szCs w:val="24"/>
                <w:highlight w:val="none"/>
                <w:lang w:val="en-US" w:eastAsia="zh-CN"/>
              </w:rPr>
              <w:t>定级</w:t>
            </w:r>
            <w:r>
              <w:rPr>
                <w:rFonts w:hint="eastAsia" w:ascii="仿宋_GB2312" w:hAnsi="宋体" w:eastAsia="仿宋_GB2312"/>
                <w:color w:val="auto"/>
                <w:sz w:val="24"/>
                <w:szCs w:val="24"/>
                <w:highlight w:val="none"/>
              </w:rPr>
              <w:t>服务</w:t>
            </w:r>
          </w:p>
        </w:tc>
        <w:tc>
          <w:tcPr>
            <w:tcW w:w="1701" w:type="dxa"/>
            <w:vAlign w:val="center"/>
          </w:tcPr>
          <w:p w14:paraId="59021C68">
            <w:pPr>
              <w:widowControl/>
              <w:jc w:val="center"/>
              <w:rPr>
                <w:rFonts w:hint="default"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2026年4月—2026年9月</w:t>
            </w:r>
          </w:p>
        </w:tc>
        <w:tc>
          <w:tcPr>
            <w:tcW w:w="4677" w:type="dxa"/>
            <w:vAlign w:val="center"/>
          </w:tcPr>
          <w:p w14:paraId="41089A92">
            <w:pPr>
              <w:widowControl/>
              <w:jc w:val="left"/>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rPr>
              <w:t>对指定信息系统按照《GB/T22239》的标准开展等级保护测评</w:t>
            </w:r>
            <w:r>
              <w:rPr>
                <w:rFonts w:hint="eastAsia" w:ascii="仿宋_GB2312" w:hAnsi="宋体" w:eastAsia="仿宋_GB2312"/>
                <w:color w:val="auto"/>
                <w:sz w:val="24"/>
                <w:szCs w:val="24"/>
                <w:highlight w:val="none"/>
                <w:lang w:eastAsia="zh-CN"/>
              </w:rPr>
              <w:t>、</w:t>
            </w:r>
            <w:r>
              <w:rPr>
                <w:rFonts w:hint="eastAsia" w:ascii="仿宋_GB2312" w:hAnsi="宋体" w:eastAsia="仿宋_GB2312"/>
                <w:color w:val="auto"/>
                <w:sz w:val="24"/>
                <w:szCs w:val="24"/>
                <w:highlight w:val="none"/>
                <w:lang w:val="en-US" w:eastAsia="zh-CN"/>
              </w:rPr>
              <w:t>定级</w:t>
            </w:r>
            <w:r>
              <w:rPr>
                <w:rFonts w:hint="eastAsia" w:ascii="仿宋_GB2312" w:hAnsi="宋体" w:eastAsia="仿宋_GB2312"/>
                <w:color w:val="auto"/>
                <w:sz w:val="24"/>
                <w:szCs w:val="24"/>
                <w:highlight w:val="none"/>
              </w:rPr>
              <w:t>服务，并出具相应的测评</w:t>
            </w:r>
            <w:r>
              <w:rPr>
                <w:rFonts w:hint="eastAsia" w:ascii="仿宋_GB2312" w:hAnsi="宋体" w:eastAsia="仿宋_GB2312"/>
                <w:color w:val="auto"/>
                <w:sz w:val="24"/>
                <w:szCs w:val="24"/>
                <w:highlight w:val="none"/>
                <w:lang w:eastAsia="zh-CN"/>
              </w:rPr>
              <w:t>、</w:t>
            </w:r>
            <w:r>
              <w:rPr>
                <w:rFonts w:hint="eastAsia" w:ascii="仿宋_GB2312" w:hAnsi="宋体" w:eastAsia="仿宋_GB2312"/>
                <w:color w:val="auto"/>
                <w:sz w:val="24"/>
                <w:szCs w:val="24"/>
                <w:highlight w:val="none"/>
                <w:lang w:val="en-US" w:eastAsia="zh-CN"/>
              </w:rPr>
              <w:t>定级</w:t>
            </w:r>
            <w:r>
              <w:rPr>
                <w:rFonts w:hint="eastAsia" w:ascii="仿宋_GB2312" w:hAnsi="宋体" w:eastAsia="仿宋_GB2312"/>
                <w:color w:val="auto"/>
                <w:sz w:val="24"/>
                <w:szCs w:val="24"/>
                <w:highlight w:val="none"/>
              </w:rPr>
              <w:t>报告</w:t>
            </w:r>
            <w:r>
              <w:rPr>
                <w:rFonts w:hint="eastAsia" w:ascii="仿宋_GB2312" w:hAnsi="宋体" w:eastAsia="仿宋_GB2312"/>
                <w:color w:val="auto"/>
                <w:sz w:val="24"/>
                <w:szCs w:val="24"/>
                <w:highlight w:val="none"/>
                <w:lang w:eastAsia="zh-CN"/>
              </w:rPr>
              <w:t>。</w:t>
            </w:r>
          </w:p>
        </w:tc>
      </w:tr>
    </w:tbl>
    <w:p w14:paraId="6F42553E">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p>
    <w:p w14:paraId="5ECD1ADE">
      <w:pPr>
        <w:spacing w:line="360" w:lineRule="auto"/>
        <w:ind w:firstLine="482" w:firstLineChars="200"/>
        <w:outlineLvl w:val="1"/>
        <w:rPr>
          <w:rFonts w:ascii="宋体" w:hAnsi="宋体" w:cs="宋体"/>
          <w:b/>
          <w:bCs/>
          <w:color w:val="auto"/>
          <w:sz w:val="24"/>
          <w:szCs w:val="24"/>
          <w:highlight w:val="none"/>
        </w:rPr>
      </w:pPr>
      <w:bookmarkStart w:id="2" w:name="_Toc13494"/>
      <w:r>
        <w:rPr>
          <w:rFonts w:hint="eastAsia" w:ascii="宋体" w:hAnsi="宋体" w:cs="宋体"/>
          <w:b/>
          <w:bCs/>
          <w:color w:val="auto"/>
          <w:sz w:val="24"/>
          <w:szCs w:val="24"/>
          <w:highlight w:val="none"/>
          <w:lang w:val="zh-CN"/>
        </w:rPr>
        <w:t>三、</w:t>
      </w:r>
      <w:bookmarkEnd w:id="2"/>
      <w:r>
        <w:rPr>
          <w:rFonts w:hint="eastAsia" w:ascii="宋体" w:hAnsi="宋体" w:cs="宋体"/>
          <w:b/>
          <w:bCs/>
          <w:color w:val="auto"/>
          <w:sz w:val="24"/>
          <w:szCs w:val="24"/>
          <w:highlight w:val="none"/>
        </w:rPr>
        <w:t>技术和服务要求</w:t>
      </w:r>
    </w:p>
    <w:p w14:paraId="7D8CA46A">
      <w:pPr>
        <w:numPr>
          <w:ilvl w:val="0"/>
          <w:numId w:val="1"/>
        </w:numPr>
        <w:tabs>
          <w:tab w:val="left" w:pos="426"/>
        </w:tabs>
        <w:autoSpaceDE w:val="0"/>
        <w:autoSpaceDN w:val="0"/>
        <w:adjustRightInd w:val="0"/>
        <w:snapToGrid w:val="0"/>
        <w:spacing w:line="360" w:lineRule="auto"/>
        <w:ind w:left="0" w:leftChars="0" w:firstLine="420" w:firstLineChars="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应遵循的相关国家标准、行业标准、地方标准等标准、规范：</w:t>
      </w:r>
    </w:p>
    <w:p w14:paraId="178C7AAF">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网络安全等级保护基本要求》(GB/T22239-2019)</w:t>
      </w:r>
    </w:p>
    <w:p w14:paraId="034B4EF0">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《信息安全技术信息系统安全等级保护定级指南》(GB/T22240-2020)</w:t>
      </w:r>
    </w:p>
    <w:p w14:paraId="7B200BF9">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《信息安全技术信息系统安全等级保护实施指南》(GB/T25058-2019)</w:t>
      </w:r>
    </w:p>
    <w:p w14:paraId="177857E8">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网络安全等级保护测评要求》(GB/T28448-2019)</w:t>
      </w:r>
    </w:p>
    <w:p w14:paraId="7ED120D7">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《信息安全技术网络安全等级保护测评过程指南》(GB/T28449-2018)</w:t>
      </w:r>
    </w:p>
    <w:p w14:paraId="37E5D5D6">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信息系统安全通用技术要求》(GB/T20271-2006)</w:t>
      </w:r>
    </w:p>
    <w:p w14:paraId="074944CB">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网络基础安全技术要求》(GB/T20270-2006)</w:t>
      </w:r>
    </w:p>
    <w:p w14:paraId="20E0CF41">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信息系统物理安全技术要求》(GB/T21052-2007)</w:t>
      </w:r>
    </w:p>
    <w:p w14:paraId="6B7BAA3B">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信息系统安全管理要求》(GB/T20269-2006)</w:t>
      </w:r>
    </w:p>
    <w:p w14:paraId="023E8D6D">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信息系统安全管理测评》(GA/T713-2007)</w:t>
      </w:r>
    </w:p>
    <w:p w14:paraId="34C448F8">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信息系统安全工程管理要求》(GB/T20282-2006)</w:t>
      </w:r>
    </w:p>
    <w:p w14:paraId="693018AD">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《信息安全技术 信息安全风险评估规范》(GB/T20984-2022)</w:t>
      </w:r>
    </w:p>
    <w:p w14:paraId="4B0F036D">
      <w:pPr>
        <w:numPr>
          <w:ilvl w:val="0"/>
          <w:numId w:val="0"/>
        </w:numPr>
        <w:tabs>
          <w:tab w:val="left" w:pos="426"/>
        </w:tabs>
        <w:autoSpaceDE w:val="0"/>
        <w:autoSpaceDN w:val="0"/>
        <w:adjustRightInd w:val="0"/>
        <w:snapToGrid w:val="0"/>
        <w:spacing w:line="360" w:lineRule="auto"/>
        <w:ind w:left="420" w:leftChars="0"/>
        <w:rPr>
          <w:rFonts w:hint="default" w:ascii="宋体" w:hAnsi="宋体" w:cs="宋体"/>
          <w:snapToGrid w:val="0"/>
          <w:color w:val="auto"/>
          <w:kern w:val="0"/>
          <w:sz w:val="24"/>
          <w:szCs w:val="24"/>
          <w:highlight w:val="none"/>
          <w:lang w:val="en-US" w:eastAsia="zh-CN"/>
        </w:rPr>
      </w:pPr>
    </w:p>
    <w:p w14:paraId="0D1B0B4E">
      <w:pPr>
        <w:numPr>
          <w:ilvl w:val="0"/>
          <w:numId w:val="1"/>
        </w:numPr>
        <w:tabs>
          <w:tab w:val="left" w:pos="426"/>
        </w:tabs>
        <w:autoSpaceDE w:val="0"/>
        <w:autoSpaceDN w:val="0"/>
        <w:adjustRightInd w:val="0"/>
        <w:snapToGrid w:val="0"/>
        <w:spacing w:line="360" w:lineRule="auto"/>
        <w:ind w:left="0" w:leftChars="0" w:firstLine="420" w:firstLineChars="0"/>
        <w:rPr>
          <w:rFonts w:hint="default" w:ascii="宋体" w:hAnsi="宋体" w:cs="宋体"/>
          <w:snapToGrid w:val="0"/>
          <w:color w:val="auto"/>
          <w:kern w:val="0"/>
          <w:sz w:val="24"/>
          <w:szCs w:val="24"/>
          <w:highlight w:val="none"/>
          <w:lang w:val="en-US" w:eastAsia="zh-CN"/>
        </w:rPr>
      </w:pPr>
      <w:r>
        <w:rPr>
          <w:rFonts w:hint="eastAsia" w:ascii="宋体" w:hAnsi="宋体" w:cs="宋体"/>
          <w:snapToGrid w:val="0"/>
          <w:color w:val="auto"/>
          <w:kern w:val="0"/>
          <w:sz w:val="24"/>
          <w:szCs w:val="24"/>
          <w:highlight w:val="none"/>
          <w:lang w:val="en-US" w:eastAsia="zh-CN"/>
        </w:rPr>
        <w:t>服务要求：</w:t>
      </w:r>
    </w:p>
    <w:tbl>
      <w:tblPr>
        <w:tblStyle w:val="5"/>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813"/>
        <w:gridCol w:w="4914"/>
        <w:gridCol w:w="1665"/>
      </w:tblGrid>
      <w:tr w14:paraId="5CB93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19" w:type="dxa"/>
            <w:shd w:val="clear" w:color="auto" w:fill="D8D8D8"/>
            <w:vAlign w:val="center"/>
          </w:tcPr>
          <w:p w14:paraId="5F4247AA">
            <w:pPr>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序号</w:t>
            </w:r>
          </w:p>
        </w:tc>
        <w:tc>
          <w:tcPr>
            <w:tcW w:w="1813" w:type="dxa"/>
            <w:shd w:val="clear" w:color="auto" w:fill="D8D8D8"/>
            <w:vAlign w:val="center"/>
          </w:tcPr>
          <w:p w14:paraId="0CC42E1C">
            <w:pPr>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服务名称</w:t>
            </w:r>
          </w:p>
        </w:tc>
        <w:tc>
          <w:tcPr>
            <w:tcW w:w="4914" w:type="dxa"/>
            <w:shd w:val="clear" w:color="auto" w:fill="D8D8D8"/>
            <w:vAlign w:val="center"/>
          </w:tcPr>
          <w:p w14:paraId="5D29AA7B">
            <w:pPr>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服务内容</w:t>
            </w:r>
          </w:p>
        </w:tc>
        <w:tc>
          <w:tcPr>
            <w:tcW w:w="1665" w:type="dxa"/>
            <w:shd w:val="clear" w:color="auto" w:fill="D8D8D8"/>
            <w:vAlign w:val="center"/>
          </w:tcPr>
          <w:p w14:paraId="227E275F">
            <w:pPr>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服务周期</w:t>
            </w:r>
          </w:p>
        </w:tc>
      </w:tr>
      <w:tr w14:paraId="4C81E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19" w:type="dxa"/>
            <w:vAlign w:val="center"/>
          </w:tcPr>
          <w:p w14:paraId="486EFDFD">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813" w:type="dxa"/>
            <w:vAlign w:val="center"/>
          </w:tcPr>
          <w:p w14:paraId="6512BE48">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中国地质大学（武汉）信息门户系统</w:t>
            </w:r>
          </w:p>
        </w:tc>
        <w:tc>
          <w:tcPr>
            <w:tcW w:w="4914" w:type="dxa"/>
            <w:vAlign w:val="center"/>
          </w:tcPr>
          <w:p w14:paraId="1B1AB52A">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根据国家等级保护相关标准《GBT22239-2019 网络安全等级保护基本要求》对本</w:t>
            </w:r>
            <w:r>
              <w:rPr>
                <w:rFonts w:hint="eastAsia" w:ascii="仿宋_GB2312" w:hAnsi="宋体" w:eastAsia="仿宋_GB2312"/>
                <w:color w:val="auto"/>
                <w:sz w:val="24"/>
                <w:szCs w:val="24"/>
                <w:highlight w:val="none"/>
                <w:lang w:val="en-US" w:eastAsia="zh-CN"/>
              </w:rPr>
              <w:t>二</w:t>
            </w:r>
            <w:r>
              <w:rPr>
                <w:rFonts w:hint="eastAsia" w:ascii="仿宋_GB2312" w:hAnsi="宋体" w:eastAsia="仿宋_GB2312"/>
                <w:color w:val="auto"/>
                <w:sz w:val="24"/>
                <w:szCs w:val="24"/>
                <w:highlight w:val="none"/>
              </w:rPr>
              <w:t>级信息系统从安全技术和安全管理两个方面共十个层面对信息系统进行详细等级保护测评。</w:t>
            </w:r>
          </w:p>
        </w:tc>
        <w:tc>
          <w:tcPr>
            <w:tcW w:w="1665" w:type="dxa"/>
            <w:vAlign w:val="center"/>
          </w:tcPr>
          <w:p w14:paraId="6AA4BA09">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zh-CN"/>
              </w:rPr>
              <w:t>1</w:t>
            </w:r>
            <w:r>
              <w:rPr>
                <w:rFonts w:hint="eastAsia" w:ascii="仿宋_GB2312" w:hAnsi="宋体" w:eastAsia="仿宋_GB2312"/>
                <w:color w:val="auto"/>
                <w:sz w:val="24"/>
                <w:szCs w:val="24"/>
                <w:highlight w:val="none"/>
              </w:rPr>
              <w:t>次（差距分析</w:t>
            </w:r>
            <w:r>
              <w:rPr>
                <w:rFonts w:hint="eastAsia" w:ascii="仿宋_GB2312" w:hAnsi="宋体" w:eastAsia="仿宋_GB2312"/>
                <w:color w:val="auto"/>
                <w:sz w:val="24"/>
                <w:szCs w:val="24"/>
                <w:highlight w:val="none"/>
                <w:lang w:val="en-US" w:eastAsia="zh-CN"/>
              </w:rPr>
              <w:t>子系统调整</w:t>
            </w:r>
            <w:r>
              <w:rPr>
                <w:rFonts w:hint="eastAsia" w:ascii="仿宋_GB2312" w:hAnsi="宋体" w:eastAsia="仿宋_GB2312"/>
                <w:color w:val="auto"/>
                <w:sz w:val="24"/>
                <w:szCs w:val="24"/>
                <w:highlight w:val="none"/>
              </w:rPr>
              <w:t>+等级测评）</w:t>
            </w:r>
          </w:p>
        </w:tc>
      </w:tr>
      <w:tr w14:paraId="54385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19" w:type="dxa"/>
            <w:vAlign w:val="center"/>
          </w:tcPr>
          <w:p w14:paraId="2F1973CB">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1813" w:type="dxa"/>
            <w:shd w:val="clear" w:color="auto" w:fill="auto"/>
            <w:vAlign w:val="center"/>
          </w:tcPr>
          <w:p w14:paraId="7E7C0ADC">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人事信息管理系统</w:t>
            </w:r>
          </w:p>
        </w:tc>
        <w:tc>
          <w:tcPr>
            <w:tcW w:w="4914" w:type="dxa"/>
            <w:shd w:val="clear" w:color="auto" w:fill="auto"/>
            <w:vAlign w:val="center"/>
          </w:tcPr>
          <w:p w14:paraId="77B98B23">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根据国家等级保护相关标准《GBT22239-2019 网络安全等级保护基本要求》对本二级信息系统从安全技术和安全管理两个方面共十个层面对信息系统进行详细等级保护测评。</w:t>
            </w:r>
          </w:p>
        </w:tc>
        <w:tc>
          <w:tcPr>
            <w:tcW w:w="1665" w:type="dxa"/>
            <w:shd w:val="clear" w:color="auto" w:fill="auto"/>
            <w:vAlign w:val="center"/>
          </w:tcPr>
          <w:p w14:paraId="241BA93D">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lang w:val="en-US" w:eastAsia="zh-CN"/>
              </w:rPr>
              <w:t>1</w:t>
            </w:r>
            <w:r>
              <w:rPr>
                <w:rFonts w:hint="eastAsia" w:ascii="仿宋_GB2312" w:hAnsi="宋体" w:eastAsia="仿宋_GB2312"/>
                <w:color w:val="auto"/>
                <w:sz w:val="24"/>
                <w:szCs w:val="24"/>
                <w:highlight w:val="none"/>
              </w:rPr>
              <w:t>次（差距分析</w:t>
            </w:r>
            <w:r>
              <w:rPr>
                <w:rFonts w:hint="eastAsia" w:ascii="仿宋_GB2312" w:hAnsi="宋体" w:eastAsia="仿宋_GB2312"/>
                <w:color w:val="auto"/>
                <w:sz w:val="24"/>
                <w:szCs w:val="24"/>
                <w:highlight w:val="none"/>
                <w:lang w:val="en-US" w:eastAsia="zh-CN"/>
              </w:rPr>
              <w:t>子系统调整</w:t>
            </w:r>
            <w:r>
              <w:rPr>
                <w:rFonts w:hint="eastAsia" w:ascii="仿宋_GB2312" w:hAnsi="宋体" w:eastAsia="仿宋_GB2312"/>
                <w:color w:val="auto"/>
                <w:sz w:val="24"/>
                <w:szCs w:val="24"/>
                <w:highlight w:val="none"/>
              </w:rPr>
              <w:t>+等级测评）</w:t>
            </w:r>
          </w:p>
        </w:tc>
      </w:tr>
      <w:tr w14:paraId="41F59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dxa"/>
            <w:vAlign w:val="center"/>
          </w:tcPr>
          <w:p w14:paraId="1040DF70">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1813" w:type="dxa"/>
            <w:shd w:val="clear" w:color="auto" w:fill="auto"/>
            <w:vAlign w:val="center"/>
          </w:tcPr>
          <w:p w14:paraId="23C87B1F">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教学管理平台</w:t>
            </w:r>
          </w:p>
        </w:tc>
        <w:tc>
          <w:tcPr>
            <w:tcW w:w="4914" w:type="dxa"/>
            <w:shd w:val="clear" w:color="auto" w:fill="auto"/>
            <w:vAlign w:val="center"/>
          </w:tcPr>
          <w:p w14:paraId="5D2806E9">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根据国家等级保护相关标准《GBT22239-2019 网络安全等级保护基本要求》对本二级信息系统从安全技术和安全管理两个方面共十个层面对信息系统进行详细等级保护测评。</w:t>
            </w:r>
          </w:p>
        </w:tc>
        <w:tc>
          <w:tcPr>
            <w:tcW w:w="1665" w:type="dxa"/>
            <w:shd w:val="clear" w:color="auto" w:fill="auto"/>
            <w:vAlign w:val="center"/>
          </w:tcPr>
          <w:p w14:paraId="639E10C1">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lang w:val="en-US" w:eastAsia="zh-CN"/>
              </w:rPr>
              <w:t>1</w:t>
            </w:r>
            <w:r>
              <w:rPr>
                <w:rFonts w:hint="eastAsia" w:ascii="仿宋_GB2312" w:hAnsi="宋体" w:eastAsia="仿宋_GB2312"/>
                <w:color w:val="auto"/>
                <w:sz w:val="24"/>
                <w:szCs w:val="24"/>
                <w:highlight w:val="none"/>
              </w:rPr>
              <w:t>次（差距分析</w:t>
            </w:r>
            <w:r>
              <w:rPr>
                <w:rFonts w:hint="eastAsia" w:ascii="仿宋_GB2312" w:hAnsi="宋体" w:eastAsia="仿宋_GB2312"/>
                <w:color w:val="auto"/>
                <w:sz w:val="24"/>
                <w:szCs w:val="24"/>
                <w:highlight w:val="none"/>
                <w:lang w:val="en-US" w:eastAsia="zh-CN"/>
              </w:rPr>
              <w:t>子系统调整</w:t>
            </w:r>
            <w:r>
              <w:rPr>
                <w:rFonts w:hint="eastAsia" w:ascii="仿宋_GB2312" w:hAnsi="宋体" w:eastAsia="仿宋_GB2312"/>
                <w:color w:val="auto"/>
                <w:sz w:val="24"/>
                <w:szCs w:val="24"/>
                <w:highlight w:val="none"/>
              </w:rPr>
              <w:t>+等级测评）</w:t>
            </w:r>
          </w:p>
        </w:tc>
      </w:tr>
      <w:tr w14:paraId="426F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dxa"/>
            <w:vAlign w:val="center"/>
          </w:tcPr>
          <w:p w14:paraId="06809811">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1813" w:type="dxa"/>
            <w:shd w:val="clear" w:color="auto" w:fill="auto"/>
            <w:vAlign w:val="center"/>
          </w:tcPr>
          <w:p w14:paraId="0E5669F1">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智慧后勤系统</w:t>
            </w:r>
          </w:p>
        </w:tc>
        <w:tc>
          <w:tcPr>
            <w:tcW w:w="4914" w:type="dxa"/>
            <w:shd w:val="clear" w:color="auto" w:fill="auto"/>
            <w:vAlign w:val="center"/>
          </w:tcPr>
          <w:p w14:paraId="242B0B02">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根据国家等级保护相关标准《GBT22239-2019 网络安全等级保护基本要求》对本二级信息系统完成等级保护定级及从安全技术和安全管理两个方面共十个层面对信息系统进行详细等级保护测评。</w:t>
            </w:r>
          </w:p>
        </w:tc>
        <w:tc>
          <w:tcPr>
            <w:tcW w:w="1665" w:type="dxa"/>
            <w:shd w:val="clear" w:color="auto" w:fill="auto"/>
            <w:vAlign w:val="center"/>
          </w:tcPr>
          <w:p w14:paraId="22521801">
            <w:pPr>
              <w:widowControl/>
              <w:jc w:val="center"/>
              <w:rPr>
                <w:rFonts w:hint="eastAsia"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lang w:val="en-US" w:eastAsia="zh-CN"/>
              </w:rPr>
              <w:t>1</w:t>
            </w:r>
            <w:r>
              <w:rPr>
                <w:rFonts w:hint="eastAsia" w:ascii="仿宋_GB2312" w:hAnsi="宋体" w:eastAsia="仿宋_GB2312"/>
                <w:color w:val="auto"/>
                <w:sz w:val="24"/>
                <w:szCs w:val="24"/>
                <w:highlight w:val="none"/>
              </w:rPr>
              <w:t>次（差距分析</w:t>
            </w:r>
            <w:r>
              <w:rPr>
                <w:rFonts w:hint="eastAsia" w:ascii="仿宋_GB2312" w:hAnsi="宋体" w:eastAsia="仿宋_GB2312"/>
                <w:color w:val="auto"/>
                <w:sz w:val="24"/>
                <w:szCs w:val="24"/>
                <w:highlight w:val="none"/>
                <w:lang w:val="en-US" w:eastAsia="zh-CN"/>
              </w:rPr>
              <w:t>子系统调整</w:t>
            </w:r>
            <w:r>
              <w:rPr>
                <w:rFonts w:hint="eastAsia" w:ascii="仿宋_GB2312" w:hAnsi="宋体" w:eastAsia="仿宋_GB2312"/>
                <w:color w:val="auto"/>
                <w:sz w:val="24"/>
                <w:szCs w:val="24"/>
                <w:highlight w:val="none"/>
              </w:rPr>
              <w:t>+等级测评）</w:t>
            </w:r>
          </w:p>
        </w:tc>
      </w:tr>
      <w:tr w14:paraId="4F07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dxa"/>
            <w:vAlign w:val="center"/>
          </w:tcPr>
          <w:p w14:paraId="52763A83">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w:t>
            </w:r>
          </w:p>
        </w:tc>
        <w:tc>
          <w:tcPr>
            <w:tcW w:w="1813" w:type="dxa"/>
            <w:shd w:val="clear" w:color="auto" w:fill="auto"/>
            <w:vAlign w:val="center"/>
          </w:tcPr>
          <w:p w14:paraId="1CAF8ABC">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南望山楼宇门禁系统</w:t>
            </w:r>
          </w:p>
        </w:tc>
        <w:tc>
          <w:tcPr>
            <w:tcW w:w="4914" w:type="dxa"/>
            <w:shd w:val="clear" w:color="auto" w:fill="auto"/>
            <w:vAlign w:val="center"/>
          </w:tcPr>
          <w:p w14:paraId="156A0B4B">
            <w:pPr>
              <w:widowControl/>
              <w:jc w:val="center"/>
              <w:rPr>
                <w:rFonts w:hint="default"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根据国家等级保护相关标准《GBT22239-2019 网络安全等级保护基本要求》对本二级信息系统完成等级保护定级及从安全技术和安全管理两个方面共十个层面对信息系统进行详细等级保护测评。</w:t>
            </w:r>
          </w:p>
        </w:tc>
        <w:tc>
          <w:tcPr>
            <w:tcW w:w="1665" w:type="dxa"/>
            <w:shd w:val="clear" w:color="auto" w:fill="auto"/>
            <w:vAlign w:val="center"/>
          </w:tcPr>
          <w:p w14:paraId="203FEA2E">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lang w:val="en-US" w:eastAsia="zh-CN"/>
              </w:rPr>
              <w:t>1</w:t>
            </w:r>
            <w:r>
              <w:rPr>
                <w:rFonts w:hint="eastAsia" w:ascii="仿宋_GB2312" w:hAnsi="宋体" w:eastAsia="仿宋_GB2312"/>
                <w:color w:val="auto"/>
                <w:sz w:val="24"/>
                <w:szCs w:val="24"/>
                <w:highlight w:val="none"/>
              </w:rPr>
              <w:t>次（差距分析</w:t>
            </w:r>
            <w:r>
              <w:rPr>
                <w:rFonts w:hint="eastAsia" w:ascii="仿宋_GB2312" w:hAnsi="宋体" w:eastAsia="仿宋_GB2312"/>
                <w:color w:val="auto"/>
                <w:sz w:val="24"/>
                <w:szCs w:val="24"/>
                <w:highlight w:val="none"/>
                <w:lang w:val="en-US" w:eastAsia="zh-CN"/>
              </w:rPr>
              <w:t>子系统调整</w:t>
            </w:r>
            <w:r>
              <w:rPr>
                <w:rFonts w:hint="eastAsia" w:ascii="仿宋_GB2312" w:hAnsi="宋体" w:eastAsia="仿宋_GB2312"/>
                <w:color w:val="auto"/>
                <w:sz w:val="24"/>
                <w:szCs w:val="24"/>
                <w:highlight w:val="none"/>
              </w:rPr>
              <w:t>+等级测评）</w:t>
            </w:r>
          </w:p>
        </w:tc>
      </w:tr>
      <w:tr w14:paraId="0482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dxa"/>
            <w:vAlign w:val="center"/>
          </w:tcPr>
          <w:p w14:paraId="73AFBE37">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w:t>
            </w:r>
          </w:p>
        </w:tc>
        <w:tc>
          <w:tcPr>
            <w:tcW w:w="1813" w:type="dxa"/>
            <w:shd w:val="clear" w:color="auto" w:fill="auto"/>
            <w:vAlign w:val="center"/>
          </w:tcPr>
          <w:p w14:paraId="38214336">
            <w:pPr>
              <w:widowControl/>
              <w:jc w:val="center"/>
              <w:rPr>
                <w:rFonts w:hint="default"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lang w:val="en-US" w:eastAsia="zh-CN"/>
              </w:rPr>
              <w:t>一级系统定级</w:t>
            </w:r>
          </w:p>
        </w:tc>
        <w:tc>
          <w:tcPr>
            <w:tcW w:w="4914" w:type="dxa"/>
            <w:shd w:val="clear" w:color="auto" w:fill="auto"/>
            <w:vAlign w:val="center"/>
          </w:tcPr>
          <w:p w14:paraId="6F1C3293">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根据国家等级保护相关标准《GBT22239-2019 网络安全等级保护基本要求》完成</w:t>
            </w:r>
            <w:r>
              <w:rPr>
                <w:rFonts w:hint="eastAsia" w:ascii="仿宋_GB2312" w:hAnsi="宋体" w:eastAsia="仿宋_GB2312"/>
                <w:color w:val="auto"/>
                <w:sz w:val="24"/>
                <w:szCs w:val="24"/>
                <w:highlight w:val="none"/>
                <w:lang w:val="en-US" w:eastAsia="zh-CN"/>
              </w:rPr>
              <w:t>现有46个未定级系统</w:t>
            </w:r>
            <w:r>
              <w:rPr>
                <w:rFonts w:hint="eastAsia" w:ascii="仿宋_GB2312" w:hAnsi="宋体" w:eastAsia="仿宋_GB2312"/>
                <w:color w:val="auto"/>
                <w:sz w:val="24"/>
                <w:szCs w:val="24"/>
                <w:highlight w:val="none"/>
              </w:rPr>
              <w:t>一级信息系统的等级保护定级工作，</w:t>
            </w:r>
            <w:r>
              <w:rPr>
                <w:rFonts w:hint="eastAsia" w:ascii="仿宋_GB2312" w:hAnsi="宋体" w:eastAsia="仿宋_GB2312"/>
                <w:color w:val="auto"/>
                <w:sz w:val="24"/>
                <w:szCs w:val="24"/>
                <w:highlight w:val="none"/>
                <w:lang w:val="en-US" w:eastAsia="zh-CN"/>
              </w:rPr>
              <w:t>按要求</w:t>
            </w:r>
            <w:r>
              <w:rPr>
                <w:rFonts w:hint="eastAsia" w:ascii="仿宋_GB2312" w:hAnsi="宋体" w:eastAsia="仿宋_GB2312"/>
                <w:color w:val="auto"/>
                <w:sz w:val="24"/>
                <w:szCs w:val="24"/>
                <w:highlight w:val="none"/>
              </w:rPr>
              <w:t>出具定级报告。</w:t>
            </w:r>
          </w:p>
        </w:tc>
        <w:tc>
          <w:tcPr>
            <w:tcW w:w="1665" w:type="dxa"/>
            <w:shd w:val="clear" w:color="auto" w:fill="auto"/>
            <w:vAlign w:val="center"/>
          </w:tcPr>
          <w:p w14:paraId="27CD27F1">
            <w:pPr>
              <w:widowControl/>
              <w:jc w:val="center"/>
              <w:rPr>
                <w:rFonts w:hint="default"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s="Times New Roman"/>
                <w:color w:val="auto"/>
                <w:kern w:val="2"/>
                <w:sz w:val="24"/>
                <w:szCs w:val="24"/>
                <w:highlight w:val="none"/>
                <w:lang w:val="en-US" w:eastAsia="zh-CN" w:bidi="ar-SA"/>
              </w:rPr>
              <w:t>一级系统等保定级工作</w:t>
            </w:r>
          </w:p>
        </w:tc>
      </w:tr>
      <w:tr w14:paraId="1C09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9" w:type="dxa"/>
            <w:vAlign w:val="center"/>
          </w:tcPr>
          <w:p w14:paraId="0BBF526C">
            <w:pPr>
              <w:widowControl/>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w:t>
            </w:r>
          </w:p>
        </w:tc>
        <w:tc>
          <w:tcPr>
            <w:tcW w:w="1813" w:type="dxa"/>
            <w:shd w:val="clear" w:color="auto" w:fill="auto"/>
            <w:vAlign w:val="center"/>
          </w:tcPr>
          <w:p w14:paraId="45C9B540">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其他网络安全工作</w:t>
            </w:r>
          </w:p>
        </w:tc>
        <w:tc>
          <w:tcPr>
            <w:tcW w:w="4914" w:type="dxa"/>
            <w:shd w:val="clear" w:color="auto" w:fill="auto"/>
            <w:vAlign w:val="center"/>
          </w:tcPr>
          <w:p w14:paraId="663B450B">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根据学校工作实际需要，按照校方安排，完成</w:t>
            </w:r>
            <w:r>
              <w:rPr>
                <w:rFonts w:hint="eastAsia" w:ascii="仿宋_GB2312" w:hAnsi="宋体" w:eastAsia="仿宋_GB2312"/>
                <w:color w:val="auto"/>
                <w:sz w:val="24"/>
                <w:szCs w:val="24"/>
                <w:highlight w:val="none"/>
                <w:lang w:val="en-US" w:eastAsia="zh-CN"/>
              </w:rPr>
              <w:t>与此次等保相关的</w:t>
            </w:r>
            <w:r>
              <w:rPr>
                <w:rFonts w:hint="eastAsia" w:ascii="仿宋_GB2312" w:hAnsi="宋体" w:eastAsia="仿宋_GB2312"/>
                <w:color w:val="auto"/>
                <w:sz w:val="24"/>
                <w:szCs w:val="24"/>
                <w:highlight w:val="none"/>
              </w:rPr>
              <w:t>其他网络安全工作。</w:t>
            </w:r>
          </w:p>
        </w:tc>
        <w:tc>
          <w:tcPr>
            <w:tcW w:w="1665" w:type="dxa"/>
            <w:shd w:val="clear" w:color="auto" w:fill="auto"/>
            <w:vAlign w:val="center"/>
          </w:tcPr>
          <w:p w14:paraId="0AD4AD50">
            <w:pPr>
              <w:widowControl/>
              <w:jc w:val="center"/>
              <w:rPr>
                <w:rFonts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olor w:val="auto"/>
                <w:sz w:val="24"/>
                <w:szCs w:val="24"/>
                <w:highlight w:val="none"/>
              </w:rPr>
              <w:t>按需求</w:t>
            </w:r>
          </w:p>
        </w:tc>
      </w:tr>
    </w:tbl>
    <w:p w14:paraId="5BB373B6">
      <w:pPr>
        <w:numPr>
          <w:ilvl w:val="0"/>
          <w:numId w:val="0"/>
        </w:numPr>
        <w:tabs>
          <w:tab w:val="left" w:pos="426"/>
        </w:tabs>
        <w:autoSpaceDE w:val="0"/>
        <w:autoSpaceDN w:val="0"/>
        <w:adjustRightInd w:val="0"/>
        <w:snapToGrid w:val="0"/>
        <w:spacing w:line="360" w:lineRule="auto"/>
        <w:ind w:left="420" w:leftChars="0"/>
        <w:rPr>
          <w:rFonts w:ascii="宋体" w:hAnsi="宋体" w:cs="宋体"/>
          <w:snapToGrid w:val="0"/>
          <w:color w:val="auto"/>
          <w:kern w:val="0"/>
          <w:sz w:val="24"/>
          <w:szCs w:val="24"/>
          <w:highlight w:val="none"/>
          <w:lang w:val="zh-CN"/>
        </w:rPr>
      </w:pPr>
    </w:p>
    <w:p w14:paraId="72B7E13F">
      <w:pPr>
        <w:numPr>
          <w:ilvl w:val="0"/>
          <w:numId w:val="1"/>
        </w:numPr>
        <w:tabs>
          <w:tab w:val="left" w:pos="426"/>
        </w:tabs>
        <w:autoSpaceDE w:val="0"/>
        <w:autoSpaceDN w:val="0"/>
        <w:adjustRightInd w:val="0"/>
        <w:snapToGrid w:val="0"/>
        <w:spacing w:line="360" w:lineRule="auto"/>
        <w:ind w:left="0" w:leftChars="0" w:firstLine="420" w:firstLineChars="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技术要求</w:t>
      </w:r>
    </w:p>
    <w:p w14:paraId="134919C9">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1、影响要求：</w:t>
      </w:r>
      <w:r>
        <w:rPr>
          <w:rFonts w:ascii="宋体" w:hAnsi="宋体" w:eastAsia="宋体" w:cs="宋体"/>
          <w:sz w:val="24"/>
          <w:szCs w:val="24"/>
        </w:rPr>
        <w:t>在测评、定级实施中应保证采购方信息系统的正常运行，对系统的正常运行不产生明显影响。在进行有风险的操作前必须明确进行风险提示，并指导采购单位做好应急措施。</w:t>
      </w:r>
    </w:p>
    <w:p w14:paraId="766EFD12">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2、保密管理要求：</w:t>
      </w:r>
      <w:r>
        <w:rPr>
          <w:rFonts w:ascii="宋体" w:hAnsi="宋体" w:eastAsia="宋体" w:cs="宋体"/>
          <w:sz w:val="24"/>
          <w:szCs w:val="24"/>
        </w:rPr>
        <w:t>测评、定级实施前应做好保密教育，与采购单位签署保密协议，测评、定级中不得复制、删除系统信息和数据，测评、定级完成后未经采购单位书面许可不得在系统中驻留任何程序。</w:t>
      </w:r>
    </w:p>
    <w:p w14:paraId="1AEF9F91">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3、客观公正性要求：</w:t>
      </w:r>
      <w:r>
        <w:rPr>
          <w:rFonts w:ascii="宋体" w:hAnsi="宋体" w:eastAsia="宋体" w:cs="宋体"/>
          <w:sz w:val="24"/>
          <w:szCs w:val="24"/>
        </w:rPr>
        <w:t>安全整改咨询中不得变相要求采购单位购买指定产品和设备，所提出的整改建议必须有明确的标准依据；定级工作严格按照国家相关标准执行，保证定级结果客观、准确。</w:t>
      </w:r>
    </w:p>
    <w:p w14:paraId="65DFDC6A">
      <w:pPr>
        <w:tabs>
          <w:tab w:val="left" w:pos="426"/>
        </w:tabs>
        <w:autoSpaceDE w:val="0"/>
        <w:autoSpaceDN w:val="0"/>
        <w:adjustRightInd w:val="0"/>
        <w:snapToGrid w:val="0"/>
        <w:spacing w:line="360" w:lineRule="auto"/>
        <w:ind w:firstLine="480" w:firstLineChars="200"/>
        <w:rPr>
          <w:rFonts w:ascii="宋体" w:hAnsi="宋体" w:eastAsia="宋体" w:cs="宋体"/>
          <w:sz w:val="24"/>
          <w:szCs w:val="24"/>
        </w:rPr>
      </w:pPr>
      <w:r>
        <w:rPr>
          <w:rFonts w:hint="eastAsia" w:ascii="宋体" w:hAnsi="宋体" w:cs="宋体"/>
          <w:snapToGrid w:val="0"/>
          <w:color w:val="auto"/>
          <w:kern w:val="0"/>
          <w:sz w:val="24"/>
          <w:szCs w:val="24"/>
          <w:highlight w:val="none"/>
          <w:lang w:val="zh-CN"/>
        </w:rPr>
        <w:t>4、专业工具要求：</w:t>
      </w:r>
      <w:r>
        <w:rPr>
          <w:rFonts w:ascii="宋体" w:hAnsi="宋体" w:eastAsia="宋体" w:cs="宋体"/>
          <w:sz w:val="24"/>
          <w:szCs w:val="24"/>
        </w:rPr>
        <w:t>项目实施所需测试工具由供应商负责提供。用于安全服务的工具主要包括网络、主机、应用系统检测工具、弱口令检测工具等。在使用前，应对工具进行检查，以保持软件或代码是最新版本。</w:t>
      </w:r>
    </w:p>
    <w:p w14:paraId="42BFF338">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5、方案要求：</w:t>
      </w:r>
      <w:r>
        <w:rPr>
          <w:rFonts w:ascii="宋体" w:hAnsi="宋体" w:eastAsia="宋体" w:cs="宋体"/>
          <w:sz w:val="24"/>
          <w:szCs w:val="24"/>
        </w:rPr>
        <w:t>供应商应详细描述安全服务的整体实施方案，包括但不限于项目概述、实施方案、测试过程中需使用测试设备清单、时间安排、阶段性文档提交等；针对定级系统需单独提供定级工作实施方案。</w:t>
      </w:r>
    </w:p>
    <w:p w14:paraId="58E28495">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6、人员要求：</w:t>
      </w:r>
      <w:r>
        <w:rPr>
          <w:rFonts w:ascii="宋体" w:hAnsi="宋体" w:eastAsia="宋体" w:cs="宋体"/>
          <w:sz w:val="24"/>
          <w:szCs w:val="24"/>
        </w:rPr>
        <w:t xml:space="preserve">参与项目的测评、定级人员不少于 </w:t>
      </w:r>
      <w:r>
        <w:rPr>
          <w:rFonts w:hint="eastAsia" w:ascii="宋体" w:hAnsi="宋体" w:cs="宋体"/>
          <w:sz w:val="24"/>
          <w:szCs w:val="24"/>
          <w:lang w:val="en-US" w:eastAsia="zh-CN"/>
        </w:rPr>
        <w:t>3</w:t>
      </w:r>
      <w:r>
        <w:rPr>
          <w:rFonts w:ascii="宋体" w:hAnsi="宋体" w:eastAsia="宋体" w:cs="宋体"/>
          <w:sz w:val="24"/>
          <w:szCs w:val="24"/>
        </w:rPr>
        <w:t>人，其中技术负责人须具备中级（含）以上等级保护测评师或</w:t>
      </w:r>
      <w:r>
        <w:rPr>
          <w:rFonts w:hint="eastAsia" w:ascii="宋体" w:hAnsi="宋体" w:cs="宋体"/>
          <w:sz w:val="24"/>
          <w:szCs w:val="24"/>
          <w:lang w:val="en-US" w:eastAsia="zh-CN"/>
        </w:rPr>
        <w:t>信息安全管理工程师</w:t>
      </w:r>
      <w:r>
        <w:rPr>
          <w:rFonts w:ascii="宋体" w:hAnsi="宋体" w:eastAsia="宋体" w:cs="宋体"/>
          <w:sz w:val="24"/>
          <w:szCs w:val="24"/>
        </w:rPr>
        <w:t>资质，具备丰富的技术和项目管理能力，且团队人员需具备等级保护定级相关工作经验。</w:t>
      </w:r>
    </w:p>
    <w:p w14:paraId="32E082A7">
      <w:pPr>
        <w:pStyle w:val="2"/>
        <w:rPr>
          <w:rFonts w:ascii="宋体" w:hAnsi="宋体" w:cs="宋体"/>
          <w:snapToGrid w:val="0"/>
          <w:color w:val="auto"/>
          <w:kern w:val="0"/>
          <w:highlight w:val="none"/>
          <w:lang w:val="zh-CN"/>
        </w:rPr>
      </w:pPr>
    </w:p>
    <w:p w14:paraId="6A010BE5">
      <w:pPr>
        <w:spacing w:line="360" w:lineRule="auto"/>
        <w:ind w:firstLine="482" w:firstLineChars="200"/>
        <w:outlineLvl w:val="1"/>
        <w:rPr>
          <w:rFonts w:ascii="宋体" w:hAnsi="宋体" w:cs="宋体"/>
          <w:b/>
          <w:bCs/>
          <w:color w:val="auto"/>
          <w:sz w:val="24"/>
          <w:szCs w:val="24"/>
          <w:highlight w:val="none"/>
        </w:rPr>
      </w:pPr>
      <w:r>
        <w:rPr>
          <w:rFonts w:hint="eastAsia" w:ascii="宋体" w:hAnsi="宋体" w:cs="宋体"/>
          <w:b/>
          <w:bCs/>
          <w:color w:val="auto"/>
          <w:sz w:val="24"/>
          <w:szCs w:val="24"/>
          <w:highlight w:val="none"/>
        </w:rPr>
        <w:t>四</w:t>
      </w:r>
      <w:r>
        <w:rPr>
          <w:rFonts w:hint="eastAsia" w:ascii="宋体" w:hAnsi="宋体" w:cs="宋体"/>
          <w:b/>
          <w:bCs/>
          <w:color w:val="auto"/>
          <w:sz w:val="24"/>
          <w:szCs w:val="24"/>
          <w:highlight w:val="none"/>
          <w:lang w:val="zh-CN"/>
        </w:rPr>
        <w:t>、</w:t>
      </w:r>
      <w:r>
        <w:rPr>
          <w:rFonts w:hint="eastAsia" w:ascii="宋体" w:hAnsi="宋体" w:cs="宋体"/>
          <w:b/>
          <w:bCs/>
          <w:color w:val="auto"/>
          <w:sz w:val="24"/>
          <w:szCs w:val="24"/>
          <w:highlight w:val="none"/>
        </w:rPr>
        <w:t>商务要求</w:t>
      </w:r>
    </w:p>
    <w:p w14:paraId="32ED389A">
      <w:pPr>
        <w:tabs>
          <w:tab w:val="left" w:pos="426"/>
        </w:tabs>
        <w:autoSpaceDE w:val="0"/>
        <w:autoSpaceDN w:val="0"/>
        <w:adjustRightInd w:val="0"/>
        <w:snapToGrid w:val="0"/>
        <w:spacing w:line="360" w:lineRule="auto"/>
        <w:ind w:firstLine="480" w:firstLineChars="200"/>
        <w:rPr>
          <w:rFonts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zh-CN"/>
        </w:rPr>
        <w:t>1、合同履行期限：</w:t>
      </w:r>
      <w:r>
        <w:rPr>
          <w:rFonts w:hint="eastAsia" w:ascii="宋体" w:hAnsi="宋体" w:cs="宋体"/>
          <w:snapToGrid w:val="0"/>
          <w:color w:val="auto"/>
          <w:kern w:val="0"/>
          <w:sz w:val="24"/>
          <w:szCs w:val="24"/>
          <w:highlight w:val="none"/>
          <w:lang w:val="en-US" w:eastAsia="zh-CN"/>
        </w:rPr>
        <w:t>2026年4月-2026年9月</w:t>
      </w:r>
      <w:r>
        <w:rPr>
          <w:rFonts w:hint="eastAsia" w:ascii="宋体" w:hAnsi="宋体" w:cs="宋体"/>
          <w:snapToGrid w:val="0"/>
          <w:color w:val="auto"/>
          <w:kern w:val="0"/>
          <w:sz w:val="24"/>
          <w:szCs w:val="24"/>
          <w:highlight w:val="none"/>
          <w:lang w:val="zh-CN"/>
        </w:rPr>
        <w:t>。</w:t>
      </w:r>
    </w:p>
    <w:p w14:paraId="51A133E0">
      <w:pPr>
        <w:tabs>
          <w:tab w:val="left" w:pos="426"/>
        </w:tabs>
        <w:autoSpaceDE w:val="0"/>
        <w:autoSpaceDN w:val="0"/>
        <w:adjustRightInd w:val="0"/>
        <w:snapToGrid w:val="0"/>
        <w:spacing w:line="360" w:lineRule="auto"/>
        <w:ind w:firstLine="480" w:firstLineChars="200"/>
        <w:rPr>
          <w:rFonts w:hint="default" w:ascii="宋体" w:hAnsi="宋体" w:eastAsia="宋体" w:cs="宋体"/>
          <w:snapToGrid w:val="0"/>
          <w:color w:val="auto"/>
          <w:kern w:val="0"/>
          <w:sz w:val="24"/>
          <w:szCs w:val="24"/>
          <w:highlight w:val="none"/>
          <w:lang w:val="en-US" w:eastAsia="zh-CN"/>
        </w:rPr>
      </w:pPr>
      <w:r>
        <w:rPr>
          <w:rFonts w:hint="eastAsia" w:ascii="宋体" w:hAnsi="宋体" w:cs="宋体"/>
          <w:snapToGrid w:val="0"/>
          <w:color w:val="auto"/>
          <w:kern w:val="0"/>
          <w:sz w:val="24"/>
          <w:szCs w:val="24"/>
          <w:highlight w:val="none"/>
          <w:lang w:val="zh-CN"/>
        </w:rPr>
        <w:t>2、付款方式：</w:t>
      </w:r>
      <w:r>
        <w:rPr>
          <w:rFonts w:hint="eastAsia" w:ascii="宋体" w:hAnsi="宋体" w:cs="宋体"/>
          <w:snapToGrid w:val="0"/>
          <w:color w:val="auto"/>
          <w:kern w:val="0"/>
          <w:sz w:val="24"/>
          <w:szCs w:val="24"/>
          <w:highlight w:val="none"/>
          <w:lang w:val="en-US" w:eastAsia="zh-CN"/>
        </w:rPr>
        <w:t>签订合同后支付总金额50%，项目全部完成后凭评测报告和定级报告付余款50%</w:t>
      </w:r>
    </w:p>
    <w:p w14:paraId="3050009A">
      <w:pPr>
        <w:tabs>
          <w:tab w:val="left" w:pos="426"/>
        </w:tabs>
        <w:autoSpaceDE w:val="0"/>
        <w:autoSpaceDN w:val="0"/>
        <w:adjustRightInd w:val="0"/>
        <w:snapToGrid w:val="0"/>
        <w:spacing w:line="360" w:lineRule="auto"/>
        <w:ind w:firstLine="480" w:firstLineChars="200"/>
        <w:rPr>
          <w:rFonts w:hint="default" w:ascii="宋体" w:hAnsi="宋体" w:eastAsia="宋体" w:cs="宋体"/>
          <w:snapToGrid w:val="0"/>
          <w:color w:val="auto"/>
          <w:kern w:val="0"/>
          <w:sz w:val="24"/>
          <w:szCs w:val="24"/>
          <w:highlight w:val="none"/>
          <w:lang w:val="en-US" w:eastAsia="zh-CN"/>
        </w:rPr>
      </w:pPr>
      <w:r>
        <w:rPr>
          <w:rFonts w:hint="eastAsia" w:ascii="宋体" w:hAnsi="宋体" w:cs="宋体"/>
          <w:snapToGrid w:val="0"/>
          <w:color w:val="auto"/>
          <w:kern w:val="0"/>
          <w:sz w:val="24"/>
          <w:szCs w:val="24"/>
          <w:highlight w:val="none"/>
          <w:lang w:val="zh-CN"/>
        </w:rPr>
        <w:t>3、</w:t>
      </w:r>
      <w:r>
        <w:rPr>
          <w:rFonts w:hint="eastAsia" w:ascii="宋体" w:hAnsi="宋体" w:cs="宋体"/>
          <w:snapToGrid w:val="0"/>
          <w:color w:val="auto"/>
          <w:kern w:val="0"/>
          <w:sz w:val="24"/>
          <w:szCs w:val="24"/>
          <w:highlight w:val="none"/>
        </w:rPr>
        <w:t>其它</w:t>
      </w:r>
      <w:r>
        <w:rPr>
          <w:rFonts w:hint="eastAsia" w:ascii="宋体" w:hAnsi="宋体" w:cs="宋体"/>
          <w:snapToGrid w:val="0"/>
          <w:color w:val="auto"/>
          <w:kern w:val="0"/>
          <w:sz w:val="24"/>
          <w:szCs w:val="24"/>
          <w:highlight w:val="none"/>
          <w:lang w:val="zh-CN"/>
        </w:rPr>
        <w:t>要求：</w:t>
      </w:r>
      <w:r>
        <w:rPr>
          <w:rFonts w:hint="eastAsia" w:ascii="宋体" w:hAnsi="宋体" w:cs="宋体"/>
          <w:snapToGrid w:val="0"/>
          <w:color w:val="auto"/>
          <w:kern w:val="0"/>
          <w:sz w:val="24"/>
          <w:szCs w:val="24"/>
          <w:highlight w:val="none"/>
          <w:lang w:val="en-US" w:eastAsia="zh-CN"/>
        </w:rPr>
        <w:t>合同完成后提交全部系统测评报告</w:t>
      </w:r>
      <w:r>
        <w:rPr>
          <w:rFonts w:ascii="宋体" w:hAnsi="宋体" w:eastAsia="宋体" w:cs="宋体"/>
          <w:sz w:val="24"/>
          <w:szCs w:val="24"/>
        </w:rPr>
        <w:t>、定级报告</w:t>
      </w:r>
      <w:r>
        <w:rPr>
          <w:rFonts w:hint="eastAsia" w:ascii="宋体" w:hAnsi="宋体" w:cs="宋体"/>
          <w:snapToGrid w:val="0"/>
          <w:color w:val="auto"/>
          <w:kern w:val="0"/>
          <w:sz w:val="24"/>
          <w:szCs w:val="24"/>
          <w:highlight w:val="none"/>
          <w:lang w:val="en-US" w:eastAsia="zh-CN"/>
        </w:rPr>
        <w:t>存档。</w:t>
      </w:r>
    </w:p>
    <w:p w14:paraId="342677E8">
      <w:pPr>
        <w:rPr>
          <w:color w:val="auto"/>
          <w:highlight w:val="none"/>
        </w:rPr>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8B905"/>
    <w:multiLevelType w:val="singleLevel"/>
    <w:tmpl w:val="A808B90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763CF1"/>
    <w:rsid w:val="08763CF1"/>
    <w:rsid w:val="0C4D5E73"/>
    <w:rsid w:val="181A2534"/>
    <w:rsid w:val="1B5E76F6"/>
    <w:rsid w:val="1E170C8E"/>
    <w:rsid w:val="32CC0FF0"/>
    <w:rsid w:val="3C196BC3"/>
    <w:rsid w:val="416E32CB"/>
    <w:rsid w:val="41FB52C6"/>
    <w:rsid w:val="46AB02DE"/>
    <w:rsid w:val="493565DF"/>
    <w:rsid w:val="58D345D7"/>
    <w:rsid w:val="7508414B"/>
    <w:rsid w:val="7537678C"/>
    <w:rsid w:val="790D4E83"/>
    <w:rsid w:val="7DD94EA1"/>
    <w:rsid w:val="7EBE7ABE"/>
    <w:rsid w:val="7EEF0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rPr>
      <w:sz w:val="24"/>
      <w:szCs w:val="24"/>
    </w:rPr>
  </w:style>
  <w:style w:type="paragraph" w:styleId="3">
    <w:name w:val="Date"/>
    <w:basedOn w:val="1"/>
    <w:next w:val="1"/>
    <w:qFormat/>
    <w:uiPriority w:val="99"/>
    <w:pPr>
      <w:ind w:left="100" w:leftChars="2500"/>
    </w:pPr>
    <w:rPr>
      <w:color w:val="0000FF"/>
      <w:sz w:val="24"/>
      <w:szCs w:val="24"/>
    </w:rPr>
  </w:style>
  <w:style w:type="paragraph" w:styleId="4">
    <w:name w:val="annotation text"/>
    <w:basedOn w:val="1"/>
    <w:semiHidden/>
    <w:qFormat/>
    <w:uiPriority w:val="99"/>
    <w:pPr>
      <w:jc w:val="left"/>
    </w:pPr>
    <w:rPr>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2213</Words>
  <Characters>2490</Characters>
  <Lines>0</Lines>
  <Paragraphs>0</Paragraphs>
  <TotalTime>1</TotalTime>
  <ScaleCrop>false</ScaleCrop>
  <LinksUpToDate>false</LinksUpToDate>
  <CharactersWithSpaces>2507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2025-05-20T10:18:00Z</dcterms:created>
  <dc:creator>闫飞</dc:creator>
  <cp:lastModifiedBy>闫飞</cp:lastModifiedBy>
  <dcterms:modified xsi:type="dcterms:W3CDTF">2026-04-16T06:05:52Z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EA3BC13D17C44CF690E6CC4ED78B88A4_13</vt:lpwstr>
  </property>
  <property fmtid="{D5CDD505-2E9C-101B-9397-08002B2CF9AE}" pid="4" name="KSOTemplateDocerSaveRecord">
    <vt:lpwstr>eyJoZGlkIjoiYzQ3NjY0MDA2MDA1MTVkZGI0NGNjY2Y1NjZkYmVhMDEiLCJ1c2VySWQiOiIxNDcxNjk2MTU0In0=</vt:lpwstr>
  </property>
</Properties>
</file>