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3B85E9">
      <w:pPr>
        <w:widowControl/>
        <w:adjustRightInd w:val="0"/>
        <w:snapToGrid w:val="0"/>
        <w:spacing w:line="600" w:lineRule="exact"/>
        <w:jc w:val="left"/>
        <w:outlineLvl w:val="1"/>
        <w:rPr>
          <w:rFonts w:ascii="仿宋_GB2312" w:hAnsi="方正小标宋简体" w:eastAsia="仿宋_GB2312" w:cs="宋体"/>
          <w:b/>
          <w:bCs/>
          <w:kern w:val="36"/>
          <w:sz w:val="32"/>
          <w:szCs w:val="32"/>
        </w:rPr>
      </w:pPr>
      <w:r>
        <w:rPr>
          <w:rFonts w:hint="eastAsia" w:ascii="仿宋_GB2312" w:hAnsi="方正小标宋简体" w:eastAsia="仿宋_GB2312" w:cs="宋体"/>
          <w:b/>
          <w:bCs/>
          <w:kern w:val="36"/>
          <w:sz w:val="32"/>
          <w:szCs w:val="32"/>
        </w:rPr>
        <w:t>附件1：</w:t>
      </w:r>
    </w:p>
    <w:p w14:paraId="688D2571">
      <w:pPr>
        <w:pStyle w:val="3"/>
        <w:spacing w:before="0" w:after="0" w:line="360" w:lineRule="auto"/>
        <w:rPr>
          <w:rFonts w:hint="eastAsia" w:ascii="宋体" w:hAnsi="宋体"/>
          <w:szCs w:val="28"/>
        </w:rPr>
      </w:pPr>
      <w:r>
        <w:rPr>
          <w:rFonts w:hint="eastAsia" w:ascii="宋体" w:hAnsi="宋体"/>
          <w:szCs w:val="28"/>
        </w:rPr>
        <w:drawing>
          <wp:inline distT="0" distB="0" distL="114300" distR="114300">
            <wp:extent cx="2712085" cy="636270"/>
            <wp:effectExtent l="0" t="0" r="635" b="3810"/>
            <wp:docPr id="6" name="图片 1" descr="1668069378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1668069378632"/>
                    <pic:cNvPicPr>
                      <a:picLocks noChangeAspect="1"/>
                    </pic:cNvPicPr>
                  </pic:nvPicPr>
                  <pic:blipFill>
                    <a:blip r:embed="rId4"/>
                    <a:stretch>
                      <a:fillRect/>
                    </a:stretch>
                  </pic:blipFill>
                  <pic:spPr>
                    <a:xfrm>
                      <a:off x="0" y="0"/>
                      <a:ext cx="2712085" cy="636270"/>
                    </a:xfrm>
                    <a:prstGeom prst="rect">
                      <a:avLst/>
                    </a:prstGeom>
                    <a:noFill/>
                    <a:ln>
                      <a:noFill/>
                    </a:ln>
                  </pic:spPr>
                </pic:pic>
              </a:graphicData>
            </a:graphic>
          </wp:inline>
        </w:drawing>
      </w:r>
    </w:p>
    <w:p w14:paraId="09E24C2D">
      <w:pPr>
        <w:pStyle w:val="3"/>
        <w:spacing w:before="0" w:after="0" w:line="360" w:lineRule="auto"/>
        <w:jc w:val="center"/>
        <w:rPr>
          <w:rFonts w:hint="eastAsia" w:ascii="宋体" w:hAnsi="宋体"/>
          <w:szCs w:val="28"/>
        </w:rPr>
      </w:pPr>
    </w:p>
    <w:p w14:paraId="499111F2">
      <w:pPr>
        <w:pStyle w:val="3"/>
        <w:spacing w:before="0" w:after="0" w:line="360" w:lineRule="auto"/>
        <w:jc w:val="center"/>
        <w:rPr>
          <w:rFonts w:hint="eastAsia" w:ascii="宋体" w:hAnsi="宋体"/>
          <w:szCs w:val="28"/>
        </w:rPr>
      </w:pPr>
    </w:p>
    <w:p w14:paraId="5D6A4236"/>
    <w:p w14:paraId="507AEE87">
      <w:pPr>
        <w:rPr>
          <w:rFonts w:hint="eastAsia" w:ascii="宋体" w:hAnsi="宋体"/>
          <w:szCs w:val="28"/>
        </w:rPr>
      </w:pPr>
    </w:p>
    <w:p w14:paraId="171D93E0">
      <w:pPr>
        <w:jc w:val="center"/>
        <w:rPr>
          <w:rFonts w:hint="eastAsia" w:ascii="方正小标宋简体" w:hAnsi="方正小标宋简体" w:eastAsia="方正小标宋简体"/>
          <w:sz w:val="48"/>
          <w:szCs w:val="48"/>
        </w:rPr>
      </w:pPr>
      <w:r>
        <w:rPr>
          <w:rFonts w:hint="eastAsia" w:ascii="方正小标宋简体" w:hAnsi="方正小标宋简体" w:eastAsia="方正小标宋简体"/>
          <w:sz w:val="48"/>
          <w:szCs w:val="48"/>
        </w:rPr>
        <w:t>采 购 需 求 书</w:t>
      </w:r>
    </w:p>
    <w:p w14:paraId="64BEC241"/>
    <w:p w14:paraId="052F1534">
      <w:pPr>
        <w:ind w:firstLine="1044" w:firstLineChars="400"/>
        <w:rPr>
          <w:rFonts w:hint="eastAsia" w:ascii="仿宋" w:hAnsi="仿宋" w:eastAsia="仿宋" w:cs="仿宋"/>
          <w:b/>
          <w:bCs/>
          <w:color w:val="000000"/>
          <w:kern w:val="0"/>
          <w:sz w:val="26"/>
          <w:szCs w:val="26"/>
          <w:shd w:val="clear" w:color="auto" w:fill="FFFFFF"/>
        </w:rPr>
      </w:pPr>
    </w:p>
    <w:p w14:paraId="7A4D1A58">
      <w:pPr>
        <w:ind w:firstLine="1044" w:firstLineChars="400"/>
        <w:rPr>
          <w:rFonts w:hint="eastAsia" w:ascii="仿宋" w:hAnsi="仿宋" w:eastAsia="仿宋" w:cs="仿宋"/>
          <w:b/>
          <w:bCs/>
          <w:color w:val="000000"/>
          <w:kern w:val="0"/>
          <w:sz w:val="26"/>
          <w:szCs w:val="26"/>
          <w:shd w:val="clear" w:color="auto" w:fill="FFFFFF"/>
        </w:rPr>
      </w:pPr>
    </w:p>
    <w:p w14:paraId="7AF8937B">
      <w:pPr>
        <w:ind w:firstLine="1044" w:firstLineChars="400"/>
        <w:rPr>
          <w:rFonts w:hint="eastAsia" w:ascii="仿宋" w:hAnsi="仿宋" w:eastAsia="仿宋" w:cs="仿宋"/>
          <w:b/>
          <w:bCs/>
          <w:color w:val="000000"/>
          <w:kern w:val="0"/>
          <w:sz w:val="26"/>
          <w:szCs w:val="26"/>
          <w:shd w:val="clear" w:color="auto" w:fill="FFFFFF"/>
        </w:rPr>
      </w:pPr>
    </w:p>
    <w:p w14:paraId="491386CE">
      <w:pPr>
        <w:spacing w:line="720" w:lineRule="auto"/>
        <w:ind w:firstLine="2108" w:firstLineChars="659"/>
        <w:rPr>
          <w:rFonts w:hint="default" w:cs="Cambria" w:asciiTheme="minorEastAsia" w:hAnsiTheme="minorEastAsia" w:eastAsiaTheme="minorEastAsia"/>
          <w:color w:val="000000"/>
          <w:kern w:val="0"/>
          <w:sz w:val="24"/>
          <w:szCs w:val="24"/>
          <w:u w:val="single"/>
          <w:shd w:val="clear" w:color="auto" w:fill="FFFFFF"/>
          <w:lang w:val="en-US" w:eastAsia="zh-CN"/>
        </w:rPr>
      </w:pPr>
      <w:r>
        <w:rPr>
          <w:rFonts w:hint="eastAsia" w:ascii="方正小标宋简体" w:hAnsi="方正小标宋简体" w:eastAsia="方正小标宋简体" w:cs="仿宋"/>
          <w:bCs/>
          <w:color w:val="000000"/>
          <w:kern w:val="0"/>
          <w:sz w:val="32"/>
          <w:szCs w:val="32"/>
          <w:shd w:val="clear" w:color="auto" w:fill="FFFFFF"/>
        </w:rPr>
        <w:t>项目名称：</w:t>
      </w:r>
      <w:r>
        <w:rPr>
          <w:rFonts w:ascii="Cambria" w:hAnsi="Cambria" w:eastAsia="方正小标宋简体" w:cs="Cambria"/>
          <w:color w:val="000000"/>
          <w:kern w:val="0"/>
          <w:sz w:val="32"/>
          <w:szCs w:val="32"/>
          <w:u w:val="single"/>
          <w:shd w:val="clear" w:color="auto" w:fill="FFFFFF"/>
        </w:rPr>
        <w:t>  </w:t>
      </w:r>
      <w:r>
        <w:rPr>
          <w:rFonts w:hint="eastAsia" w:cs="Cambria" w:asciiTheme="minorEastAsia" w:hAnsiTheme="minorEastAsia"/>
          <w:color w:val="000000"/>
          <w:kern w:val="0"/>
          <w:sz w:val="24"/>
          <w:szCs w:val="24"/>
          <w:u w:val="single"/>
          <w:shd w:val="clear" w:color="auto" w:fill="FFFFFF"/>
          <w:lang w:val="en-US" w:eastAsia="zh-CN"/>
        </w:rPr>
        <w:t>中国地质大学（武汉）</w:t>
      </w:r>
      <w:r>
        <w:rPr>
          <w:rFonts w:cs="Cambria" w:asciiTheme="minorEastAsia" w:hAnsiTheme="minorEastAsia"/>
          <w:color w:val="000000"/>
          <w:kern w:val="0"/>
          <w:sz w:val="24"/>
          <w:szCs w:val="24"/>
          <w:u w:val="single"/>
          <w:shd w:val="clear" w:color="auto" w:fill="FFFFFF"/>
        </w:rPr>
        <w:t>共聚焦</w:t>
      </w:r>
      <w:r>
        <w:rPr>
          <w:rFonts w:hint="eastAsia" w:cs="Cambria" w:asciiTheme="minorEastAsia" w:hAnsiTheme="minorEastAsia"/>
          <w:color w:val="000000"/>
          <w:kern w:val="0"/>
          <w:sz w:val="24"/>
          <w:szCs w:val="24"/>
          <w:u w:val="single"/>
          <w:shd w:val="clear" w:color="auto" w:fill="FFFFFF"/>
          <w:lang w:val="en-US" w:eastAsia="zh-CN"/>
        </w:rPr>
        <w:t xml:space="preserve">   </w:t>
      </w:r>
    </w:p>
    <w:p w14:paraId="2D3EDD15">
      <w:pPr>
        <w:spacing w:line="720" w:lineRule="auto"/>
        <w:ind w:firstLine="2160" w:firstLineChars="900"/>
        <w:rPr>
          <w:rFonts w:hint="default" w:cs="Calibri" w:asciiTheme="minorEastAsia" w:hAnsiTheme="minorEastAsia" w:eastAsiaTheme="minorEastAsia"/>
          <w:color w:val="000000"/>
          <w:kern w:val="0"/>
          <w:sz w:val="24"/>
          <w:szCs w:val="24"/>
          <w:u w:val="single"/>
          <w:shd w:val="clear" w:color="auto" w:fill="FFFFFF"/>
          <w:lang w:val="en-US" w:eastAsia="zh-CN"/>
        </w:rPr>
      </w:pPr>
      <w:r>
        <w:rPr>
          <w:rFonts w:cs="Cambria" w:asciiTheme="minorEastAsia" w:hAnsiTheme="minorEastAsia"/>
          <w:color w:val="000000"/>
          <w:kern w:val="0"/>
          <w:sz w:val="24"/>
          <w:szCs w:val="24"/>
          <w:u w:val="single"/>
          <w:shd w:val="clear" w:color="auto" w:fill="FFFFFF"/>
        </w:rPr>
        <w:t>显微激光拉曼光谱仪</w:t>
      </w:r>
      <w:r>
        <w:rPr>
          <w:rFonts w:hint="eastAsia" w:cs="Cambria" w:asciiTheme="minorEastAsia" w:hAnsiTheme="minorEastAsia"/>
          <w:color w:val="000000"/>
          <w:kern w:val="0"/>
          <w:sz w:val="24"/>
          <w:szCs w:val="24"/>
          <w:u w:val="single"/>
          <w:shd w:val="clear" w:color="auto" w:fill="FFFFFF"/>
        </w:rPr>
        <w:t xml:space="preserve">设备购置 </w:t>
      </w:r>
      <w:r>
        <w:rPr>
          <w:rFonts w:hint="eastAsia" w:cs="Cambria" w:asciiTheme="minorEastAsia" w:hAnsiTheme="minorEastAsia"/>
          <w:color w:val="000000"/>
          <w:kern w:val="0"/>
          <w:sz w:val="24"/>
          <w:szCs w:val="24"/>
          <w:u w:val="single"/>
          <w:shd w:val="clear" w:color="auto" w:fill="FFFFFF"/>
          <w:lang w:val="en-US" w:eastAsia="zh-CN"/>
        </w:rPr>
        <w:t xml:space="preserve">  </w:t>
      </w:r>
      <w:bookmarkStart w:id="0" w:name="_GoBack"/>
      <w:bookmarkEnd w:id="0"/>
      <w:r>
        <w:rPr>
          <w:rFonts w:hint="eastAsia" w:cs="Cambria" w:asciiTheme="minorEastAsia" w:hAnsiTheme="minorEastAsia"/>
          <w:color w:val="000000"/>
          <w:kern w:val="0"/>
          <w:sz w:val="24"/>
          <w:szCs w:val="24"/>
          <w:u w:val="single"/>
          <w:shd w:val="clear" w:color="auto" w:fill="FFFFFF"/>
          <w:lang w:val="en-US" w:eastAsia="zh-CN"/>
        </w:rPr>
        <w:t xml:space="preserve">              </w:t>
      </w:r>
    </w:p>
    <w:p w14:paraId="78EEF188">
      <w:pPr>
        <w:spacing w:line="720" w:lineRule="auto"/>
        <w:ind w:firstLine="2108" w:firstLineChars="659"/>
        <w:rPr>
          <w:rFonts w:hint="eastAsia" w:cs="Cambria" w:asciiTheme="minorEastAsia" w:hAnsiTheme="minorEastAsia"/>
          <w:color w:val="000000"/>
          <w:kern w:val="0"/>
          <w:sz w:val="24"/>
          <w:szCs w:val="24"/>
          <w:u w:val="single"/>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用户单位：</w:t>
      </w:r>
      <w:r>
        <w:rPr>
          <w:rFonts w:ascii="Cambria" w:hAnsi="Cambria" w:eastAsia="方正小标宋简体" w:cs="Cambria"/>
          <w:color w:val="000000"/>
          <w:kern w:val="0"/>
          <w:sz w:val="32"/>
          <w:szCs w:val="32"/>
          <w:u w:val="single"/>
          <w:shd w:val="clear" w:color="auto" w:fill="FFFFFF"/>
        </w:rPr>
        <w:t>   </w:t>
      </w:r>
      <w:r>
        <w:rPr>
          <w:rFonts w:hint="eastAsia" w:cs="Cambria" w:asciiTheme="minorEastAsia" w:hAnsiTheme="minorEastAsia"/>
          <w:color w:val="000000"/>
          <w:kern w:val="0"/>
          <w:sz w:val="24"/>
          <w:szCs w:val="24"/>
          <w:u w:val="single"/>
          <w:shd w:val="clear" w:color="auto" w:fill="FFFFFF"/>
        </w:rPr>
        <w:t xml:space="preserve">地球与行星科学学院、海洋学院 </w:t>
      </w:r>
    </w:p>
    <w:p w14:paraId="1DDAA87B">
      <w:pPr>
        <w:spacing w:line="720" w:lineRule="auto"/>
        <w:ind w:firstLine="2108" w:firstLineChars="659"/>
        <w:rPr>
          <w:rFonts w:hint="eastAsia" w:ascii="方正小标宋简体" w:hAnsi="方正小标宋简体" w:eastAsia="方正小标宋简体" w:cs="Calibri"/>
          <w:color w:val="000000"/>
          <w:kern w:val="0"/>
          <w:sz w:val="24"/>
          <w:szCs w:val="24"/>
          <w:u w:val="single"/>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编制时间：</w:t>
      </w:r>
      <w:r>
        <w:rPr>
          <w:rFonts w:ascii="Cambria" w:hAnsi="Cambria" w:eastAsia="方正小标宋简体" w:cs="Cambria"/>
          <w:color w:val="000000"/>
          <w:kern w:val="0"/>
          <w:sz w:val="24"/>
          <w:szCs w:val="24"/>
          <w:u w:val="single"/>
          <w:shd w:val="clear" w:color="auto" w:fill="FFFFFF"/>
        </w:rPr>
        <w:t>     </w:t>
      </w:r>
      <w:r>
        <w:rPr>
          <w:rFonts w:hint="eastAsia" w:ascii="Cambria" w:hAnsi="Cambria" w:eastAsia="方正小标宋简体" w:cs="Cambria"/>
          <w:color w:val="000000"/>
          <w:kern w:val="0"/>
          <w:sz w:val="24"/>
          <w:szCs w:val="24"/>
          <w:u w:val="single"/>
          <w:shd w:val="clear" w:color="auto" w:fill="FFFFFF"/>
        </w:rPr>
        <w:t xml:space="preserve">          </w:t>
      </w:r>
      <w:r>
        <w:rPr>
          <w:rFonts w:ascii="Times New Roman" w:hAnsi="Times New Roman" w:eastAsia="方正小标宋简体" w:cs="Times New Roman"/>
          <w:color w:val="000000"/>
          <w:kern w:val="0"/>
          <w:sz w:val="24"/>
          <w:szCs w:val="24"/>
          <w:u w:val="single"/>
          <w:shd w:val="clear" w:color="auto" w:fill="FFFFFF"/>
        </w:rPr>
        <w:t>2026.0</w:t>
      </w:r>
      <w:r>
        <w:rPr>
          <w:rFonts w:hint="eastAsia" w:ascii="Times New Roman" w:hAnsi="Times New Roman" w:eastAsia="方正小标宋简体" w:cs="Times New Roman"/>
          <w:color w:val="000000"/>
          <w:kern w:val="0"/>
          <w:sz w:val="24"/>
          <w:szCs w:val="24"/>
          <w:u w:val="single"/>
          <w:shd w:val="clear" w:color="auto" w:fill="FFFFFF"/>
        </w:rPr>
        <w:t>8</w:t>
      </w:r>
      <w:r>
        <w:rPr>
          <w:rFonts w:ascii="Times New Roman" w:hAnsi="Times New Roman" w:eastAsia="方正小标宋简体" w:cs="Times New Roman"/>
          <w:color w:val="000000"/>
          <w:kern w:val="0"/>
          <w:sz w:val="24"/>
          <w:szCs w:val="24"/>
          <w:u w:val="single"/>
          <w:shd w:val="clear" w:color="auto" w:fill="FFFFFF"/>
        </w:rPr>
        <w:t>.</w:t>
      </w:r>
      <w:r>
        <w:rPr>
          <w:rFonts w:hint="eastAsia" w:ascii="Times New Roman" w:hAnsi="Times New Roman" w:eastAsia="方正小标宋简体" w:cs="Times New Roman"/>
          <w:color w:val="000000"/>
          <w:kern w:val="0"/>
          <w:sz w:val="24"/>
          <w:szCs w:val="24"/>
          <w:u w:val="single"/>
          <w:shd w:val="clear" w:color="auto" w:fill="FFFFFF"/>
        </w:rPr>
        <w:t>17</w:t>
      </w:r>
      <w:r>
        <w:rPr>
          <w:rFonts w:ascii="Cambria" w:hAnsi="Cambria" w:eastAsia="方正小标宋简体" w:cs="Cambria"/>
          <w:color w:val="000000"/>
          <w:kern w:val="0"/>
          <w:sz w:val="24"/>
          <w:szCs w:val="24"/>
          <w:u w:val="single"/>
          <w:shd w:val="clear" w:color="auto" w:fill="FFFFFF"/>
        </w:rPr>
        <w:t>   </w:t>
      </w:r>
      <w:r>
        <w:rPr>
          <w:rFonts w:hint="eastAsia" w:ascii="Cambria" w:hAnsi="Cambria" w:eastAsia="方正小标宋简体" w:cs="Cambria"/>
          <w:color w:val="000000"/>
          <w:kern w:val="0"/>
          <w:sz w:val="24"/>
          <w:szCs w:val="24"/>
          <w:u w:val="single"/>
          <w:shd w:val="clear" w:color="auto" w:fill="FFFFFF"/>
        </w:rPr>
        <w:t xml:space="preserve">  </w:t>
      </w:r>
      <w:r>
        <w:rPr>
          <w:rFonts w:ascii="Cambria" w:hAnsi="Cambria" w:eastAsia="方正小标宋简体" w:cs="Cambria"/>
          <w:color w:val="000000"/>
          <w:kern w:val="0"/>
          <w:sz w:val="24"/>
          <w:szCs w:val="24"/>
          <w:u w:val="single"/>
          <w:shd w:val="clear" w:color="auto" w:fill="FFFFFF"/>
        </w:rPr>
        <w:t>           </w:t>
      </w:r>
      <w:r>
        <w:rPr>
          <w:rFonts w:hint="eastAsia" w:ascii="Cambria" w:hAnsi="Cambria" w:eastAsia="方正小标宋简体" w:cs="Cambria"/>
          <w:color w:val="000000"/>
          <w:kern w:val="0"/>
          <w:sz w:val="24"/>
          <w:szCs w:val="24"/>
          <w:u w:val="single"/>
          <w:shd w:val="clear" w:color="auto" w:fill="FFFFFF"/>
        </w:rPr>
        <w:t xml:space="preserve"> </w:t>
      </w:r>
    </w:p>
    <w:p w14:paraId="687E3E63">
      <w:pPr>
        <w:rPr>
          <w:rFonts w:hint="eastAsia" w:ascii="宋体" w:hAnsi="宋体"/>
          <w:color w:val="FF0000"/>
          <w:sz w:val="28"/>
          <w:szCs w:val="28"/>
        </w:rPr>
      </w:pPr>
    </w:p>
    <w:p w14:paraId="4E2C55A6">
      <w:pPr>
        <w:rPr>
          <w:rFonts w:hint="eastAsia" w:ascii="宋体" w:hAnsi="宋体"/>
          <w:color w:val="FF0000"/>
          <w:sz w:val="28"/>
          <w:szCs w:val="28"/>
        </w:rPr>
      </w:pPr>
    </w:p>
    <w:p w14:paraId="15DE9A8C">
      <w:pPr>
        <w:rPr>
          <w:rFonts w:hint="eastAsia" w:ascii="宋体" w:hAnsi="宋体"/>
          <w:color w:val="FF0000"/>
          <w:sz w:val="28"/>
          <w:szCs w:val="28"/>
        </w:rPr>
      </w:pPr>
    </w:p>
    <w:p w14:paraId="17DBAD27">
      <w:pPr>
        <w:rPr>
          <w:rFonts w:hint="eastAsia" w:ascii="宋体" w:hAnsi="宋体"/>
          <w:color w:val="FF0000"/>
          <w:sz w:val="28"/>
          <w:szCs w:val="28"/>
        </w:rPr>
      </w:pPr>
    </w:p>
    <w:p w14:paraId="618E5ECC">
      <w:pPr>
        <w:jc w:val="center"/>
        <w:rPr>
          <w:rFonts w:hint="eastAsia" w:ascii="方正小标宋简体" w:hAnsi="方正小标宋简体" w:eastAsia="方正小标宋简体" w:cs="仿宋"/>
          <w:color w:val="000000"/>
          <w:kern w:val="0"/>
          <w:sz w:val="32"/>
          <w:szCs w:val="32"/>
          <w:shd w:val="clear" w:color="auto" w:fill="FFFFFF"/>
        </w:rPr>
      </w:pPr>
    </w:p>
    <w:p w14:paraId="2DD7A9B4">
      <w:pPr>
        <w:widowControl/>
        <w:jc w:val="left"/>
        <w:rPr>
          <w:rFonts w:hint="eastAsia" w:ascii="方正小标宋简体" w:hAnsi="方正小标宋简体" w:eastAsia="方正小标宋简体" w:cs="仿宋"/>
          <w:color w:val="000000"/>
          <w:kern w:val="0"/>
          <w:sz w:val="32"/>
          <w:szCs w:val="32"/>
          <w:shd w:val="clear" w:color="auto" w:fill="FFFFFF"/>
        </w:rPr>
      </w:pPr>
      <w:r>
        <w:rPr>
          <w:rFonts w:ascii="方正小标宋简体" w:hAnsi="方正小标宋简体" w:eastAsia="方正小标宋简体" w:cs="仿宋"/>
          <w:color w:val="000000"/>
          <w:kern w:val="0"/>
          <w:sz w:val="32"/>
          <w:szCs w:val="32"/>
          <w:shd w:val="clear" w:color="auto" w:fill="FFFFFF"/>
        </w:rPr>
        <w:br w:type="page"/>
      </w:r>
    </w:p>
    <w:p w14:paraId="45961FF4">
      <w:pPr>
        <w:jc w:val="center"/>
        <w:rPr>
          <w:rFonts w:hint="eastAsia" w:ascii="方正小标宋简体" w:hAnsi="方正小标宋简体" w:eastAsia="方正小标宋简体" w:cs="仿宋"/>
          <w:color w:val="000000"/>
          <w:kern w:val="0"/>
          <w:sz w:val="32"/>
          <w:szCs w:val="32"/>
          <w:shd w:val="clear" w:color="auto" w:fill="FFFFFF"/>
        </w:rPr>
      </w:pPr>
      <w:r>
        <w:rPr>
          <w:rFonts w:hint="eastAsia" w:ascii="方正小标宋简体" w:hAnsi="方正小标宋简体" w:eastAsia="方正小标宋简体" w:cs="仿宋"/>
          <w:color w:val="000000"/>
          <w:kern w:val="0"/>
          <w:sz w:val="32"/>
          <w:szCs w:val="32"/>
          <w:shd w:val="clear" w:color="auto" w:fill="FFFFFF"/>
        </w:rPr>
        <w:t>编制说明</w:t>
      </w:r>
    </w:p>
    <w:p w14:paraId="2B54AB02">
      <w:pPr>
        <w:widowControl/>
        <w:spacing w:line="560" w:lineRule="atLeast"/>
        <w:ind w:firstLine="640"/>
        <w:jc w:val="left"/>
        <w:rPr>
          <w:rFonts w:hint="eastAsia" w:ascii="宋体" w:hAnsi="宋体" w:cs="仿宋"/>
          <w:color w:val="000000"/>
          <w:kern w:val="0"/>
          <w:sz w:val="28"/>
          <w:szCs w:val="28"/>
          <w:shd w:val="clear" w:color="auto" w:fill="FFFFFF"/>
        </w:rPr>
      </w:pPr>
    </w:p>
    <w:p w14:paraId="6A313D9F">
      <w:pPr>
        <w:widowControl/>
        <w:spacing w:line="560" w:lineRule="atLeast"/>
        <w:ind w:firstLine="640"/>
        <w:jc w:val="left"/>
        <w:rPr>
          <w:rFonts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一、用户单位依据咨询、论证、问卷等方式调查的具体情况自行编制采购需求书。</w:t>
      </w:r>
    </w:p>
    <w:p w14:paraId="7E15EB0D">
      <w:pPr>
        <w:widowControl/>
        <w:spacing w:line="560" w:lineRule="atLeast"/>
        <w:ind w:firstLine="640"/>
        <w:jc w:val="left"/>
        <w:rPr>
          <w:rFonts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二、编制的采购需求书应当符合《财政部关于印发政府采购需求管理办法的通知》（财库〔2021〕22号）要求及政府采购的相关规定。除单一来源采购外，标的物名称、指标要求等不能指向单一供应商。</w:t>
      </w:r>
    </w:p>
    <w:p w14:paraId="29E76050">
      <w:pPr>
        <w:widowControl/>
        <w:spacing w:line="560" w:lineRule="atLeast"/>
        <w:ind w:firstLine="640"/>
        <w:jc w:val="left"/>
        <w:rPr>
          <w:rFonts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三、斜体字部分属于提醒内容，编制时应删除。</w:t>
      </w:r>
    </w:p>
    <w:p w14:paraId="2C66AA04">
      <w:pPr>
        <w:widowControl/>
        <w:spacing w:line="560" w:lineRule="atLeast"/>
        <w:ind w:firstLine="640"/>
        <w:jc w:val="left"/>
        <w:rPr>
          <w:rFonts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四、对不适用的内容应删除，并调整相应序号。</w:t>
      </w:r>
    </w:p>
    <w:p w14:paraId="799523D5"/>
    <w:p w14:paraId="698C8E0C">
      <w:pPr>
        <w:spacing w:line="360" w:lineRule="auto"/>
      </w:pPr>
    </w:p>
    <w:p w14:paraId="5032634F">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3818BEB1">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285862D8">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61D4CA70">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3B671FF3">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7E419161">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347329DB">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41197486">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08981AD7">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4E4A5BA2">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15AA322B">
      <w:pPr>
        <w:widowControl/>
        <w:shd w:val="clear" w:color="auto" w:fill="FFFFFF"/>
        <w:spacing w:line="360" w:lineRule="auto"/>
        <w:jc w:val="left"/>
        <w:rPr>
          <w:rFonts w:hint="eastAsia" w:ascii="宋体" w:hAnsi="宋体" w:cs="Arial"/>
          <w:b/>
          <w:color w:val="333333"/>
          <w:kern w:val="0"/>
          <w:sz w:val="28"/>
          <w:szCs w:val="28"/>
        </w:rPr>
      </w:pPr>
    </w:p>
    <w:p w14:paraId="43AE5D08">
      <w:pPr>
        <w:pStyle w:val="10"/>
        <w:widowControl/>
        <w:numPr>
          <w:ilvl w:val="0"/>
          <w:numId w:val="1"/>
        </w:numPr>
        <w:ind w:firstLineChars="0"/>
        <w:jc w:val="left"/>
        <w:rPr>
          <w:rFonts w:ascii="仿宋_GB2312" w:hAnsi="宋体" w:eastAsia="仿宋_GB2312" w:cs="仿宋"/>
          <w:b/>
          <w:color w:val="000000"/>
          <w:kern w:val="0"/>
          <w:sz w:val="32"/>
          <w:szCs w:val="28"/>
          <w:shd w:val="clear" w:color="auto" w:fill="FFFFFF"/>
        </w:rPr>
      </w:pPr>
      <w:r>
        <w:rPr>
          <w:rFonts w:ascii="宋体" w:hAnsi="宋体" w:cs="Arial"/>
          <w:b/>
          <w:color w:val="333333"/>
          <w:kern w:val="0"/>
          <w:sz w:val="24"/>
          <w:szCs w:val="24"/>
        </w:rPr>
        <w:br w:type="page"/>
      </w:r>
      <w:r>
        <w:rPr>
          <w:rFonts w:hint="eastAsia" w:ascii="仿宋_GB2312" w:hAnsi="宋体" w:eastAsia="仿宋_GB2312" w:cs="仿宋"/>
          <w:b/>
          <w:color w:val="000000"/>
          <w:kern w:val="0"/>
          <w:sz w:val="32"/>
          <w:szCs w:val="28"/>
          <w:shd w:val="clear" w:color="auto" w:fill="FFFFFF"/>
        </w:rPr>
        <w:t>项目概况</w:t>
      </w:r>
    </w:p>
    <w:p w14:paraId="1333DDFE">
      <w:pPr>
        <w:widowControl/>
        <w:spacing w:line="360" w:lineRule="auto"/>
        <w:ind w:left="731" w:firstLine="480" w:firstLineChars="200"/>
        <w:jc w:val="left"/>
        <w:rPr>
          <w:rFonts w:ascii="仿宋_GB2312" w:hAnsi="宋体" w:eastAsia="仿宋_GB2312" w:cs="仿宋"/>
          <w:bCs/>
          <w:color w:val="000000"/>
          <w:kern w:val="0"/>
          <w:sz w:val="24"/>
          <w:szCs w:val="24"/>
          <w:shd w:val="clear" w:color="auto" w:fill="FFFFFF"/>
        </w:rPr>
      </w:pPr>
      <w:r>
        <w:rPr>
          <w:rFonts w:hint="eastAsia" w:ascii="仿宋_GB2312" w:hAnsi="宋体" w:eastAsia="仿宋_GB2312" w:cs="仿宋"/>
          <w:bCs/>
          <w:color w:val="000000"/>
          <w:kern w:val="0"/>
          <w:sz w:val="24"/>
          <w:szCs w:val="24"/>
          <w:shd w:val="clear" w:color="auto" w:fill="FFFFFF"/>
        </w:rPr>
        <w:t>（一）、项目背景</w:t>
      </w:r>
    </w:p>
    <w:p w14:paraId="4517E2D0">
      <w:pPr>
        <w:widowControl/>
        <w:spacing w:line="360" w:lineRule="auto"/>
        <w:ind w:left="731" w:firstLine="480" w:firstLineChars="200"/>
        <w:jc w:val="left"/>
        <w:rPr>
          <w:rFonts w:ascii="仿宋_GB2312" w:hAnsi="宋体" w:eastAsia="仿宋_GB2312" w:cs="仿宋"/>
          <w:bCs/>
          <w:color w:val="000000"/>
          <w:kern w:val="0"/>
          <w:sz w:val="24"/>
          <w:szCs w:val="24"/>
          <w:shd w:val="clear" w:color="auto" w:fill="FFFFFF"/>
        </w:rPr>
      </w:pPr>
      <w:r>
        <w:rPr>
          <w:rFonts w:hint="eastAsia" w:ascii="仿宋_GB2312" w:hAnsi="宋体" w:eastAsia="仿宋_GB2312" w:cs="仿宋"/>
          <w:bCs/>
          <w:color w:val="000000"/>
          <w:kern w:val="0"/>
          <w:sz w:val="24"/>
          <w:szCs w:val="24"/>
          <w:shd w:val="clear" w:color="auto" w:fill="FFFFFF"/>
        </w:rPr>
        <w:t>共聚焦显微激光拉曼光谱仪，是地质学、海洋科学等学科开展微区原位分析的核心支撑工具。</w:t>
      </w:r>
    </w:p>
    <w:p w14:paraId="0122333A">
      <w:pPr>
        <w:widowControl/>
        <w:spacing w:line="360" w:lineRule="auto"/>
        <w:ind w:left="731" w:firstLine="480" w:firstLineChars="200"/>
        <w:rPr>
          <w:rFonts w:ascii="Times New Roman" w:hAnsi="Times New Roman" w:eastAsia="仿宋_GB2312" w:cs="Times New Roman"/>
          <w:bCs/>
          <w:color w:val="000000"/>
          <w:kern w:val="0"/>
          <w:sz w:val="24"/>
          <w:szCs w:val="24"/>
          <w:shd w:val="clear" w:color="auto" w:fill="FFFFFF"/>
        </w:rPr>
      </w:pPr>
      <w:r>
        <w:rPr>
          <w:rFonts w:ascii="Times New Roman" w:hAnsi="Times New Roman" w:eastAsia="仿宋_GB2312" w:cs="Times New Roman"/>
          <w:bCs/>
          <w:color w:val="000000"/>
          <w:kern w:val="0"/>
          <w:sz w:val="24"/>
          <w:szCs w:val="24"/>
          <w:shd w:val="clear" w:color="auto" w:fill="FFFFFF"/>
        </w:rPr>
        <w:t>目前，学院现有的显微拉曼光谱仪设备老旧，至今已服役15年，远超科研仪器的常规使用寿命，面临极其严重的设备老化与性能衰退问题：</w:t>
      </w:r>
    </w:p>
    <w:p w14:paraId="4CB3A8E4">
      <w:pPr>
        <w:widowControl/>
        <w:spacing w:line="360" w:lineRule="auto"/>
        <w:ind w:left="731" w:firstLine="482" w:firstLineChars="200"/>
        <w:jc w:val="left"/>
        <w:rPr>
          <w:rFonts w:ascii="Times New Roman" w:hAnsi="Times New Roman" w:eastAsia="仿宋_GB2312" w:cs="Times New Roman"/>
          <w:bCs/>
          <w:color w:val="000000"/>
          <w:kern w:val="0"/>
          <w:sz w:val="24"/>
          <w:szCs w:val="24"/>
          <w:shd w:val="clear" w:color="auto" w:fill="FFFFFF"/>
        </w:rPr>
      </w:pPr>
      <w:r>
        <w:rPr>
          <w:rFonts w:ascii="Times New Roman" w:hAnsi="Times New Roman" w:eastAsia="仿宋_GB2312" w:cs="Times New Roman"/>
          <w:b/>
          <w:color w:val="000000"/>
          <w:kern w:val="0"/>
          <w:sz w:val="24"/>
          <w:szCs w:val="24"/>
          <w:shd w:val="clear" w:color="auto" w:fill="FFFFFF"/>
        </w:rPr>
        <w:t>核心部件严重老化</w:t>
      </w:r>
      <w:r>
        <w:rPr>
          <w:rFonts w:ascii="Times New Roman" w:hAnsi="Times New Roman" w:eastAsia="仿宋_GB2312" w:cs="Times New Roman"/>
          <w:bCs/>
          <w:color w:val="000000"/>
          <w:kern w:val="0"/>
          <w:sz w:val="24"/>
          <w:szCs w:val="24"/>
          <w:shd w:val="clear" w:color="auto" w:fill="FFFFFF"/>
        </w:rPr>
        <w:t>。 激光器功率已衰减至出厂状态的 30%，暗噪音显著升高，导致整机检测的信噪比极低，实际检测信号强度仅为原来的 10%，经常出现样品测不出信号的情况。</w:t>
      </w:r>
    </w:p>
    <w:p w14:paraId="2808536B">
      <w:pPr>
        <w:widowControl/>
        <w:spacing w:line="360" w:lineRule="auto"/>
        <w:ind w:left="731" w:firstLine="482" w:firstLineChars="200"/>
        <w:jc w:val="left"/>
        <w:rPr>
          <w:rFonts w:ascii="仿宋_GB2312" w:hAnsi="宋体" w:eastAsia="仿宋_GB2312" w:cs="仿宋"/>
          <w:bCs/>
          <w:color w:val="000000"/>
          <w:kern w:val="0"/>
          <w:sz w:val="24"/>
          <w:szCs w:val="24"/>
          <w:shd w:val="clear" w:color="auto" w:fill="FFFFFF"/>
        </w:rPr>
      </w:pPr>
      <w:r>
        <w:rPr>
          <w:rFonts w:ascii="Times New Roman" w:hAnsi="Times New Roman" w:eastAsia="仿宋_GB2312" w:cs="Times New Roman"/>
          <w:b/>
          <w:color w:val="000000"/>
          <w:kern w:val="0"/>
          <w:sz w:val="24"/>
          <w:szCs w:val="24"/>
          <w:shd w:val="clear" w:color="auto" w:fill="FFFFFF"/>
        </w:rPr>
        <w:t>成像功能完全丧失</w:t>
      </w:r>
      <w:r>
        <w:rPr>
          <w:rFonts w:ascii="Times New Roman" w:hAnsi="Times New Roman" w:eastAsia="仿宋_GB2312" w:cs="Times New Roman"/>
          <w:bCs/>
          <w:color w:val="000000"/>
          <w:kern w:val="0"/>
          <w:sz w:val="24"/>
          <w:szCs w:val="24"/>
          <w:shd w:val="clear" w:color="auto" w:fill="FFFFFF"/>
        </w:rPr>
        <w:t>。 自动样品台受到长</w:t>
      </w:r>
      <w:r>
        <w:rPr>
          <w:rFonts w:hint="eastAsia" w:ascii="仿宋_GB2312" w:hAnsi="宋体" w:eastAsia="仿宋_GB2312" w:cs="仿宋"/>
          <w:bCs/>
          <w:color w:val="000000"/>
          <w:kern w:val="0"/>
          <w:sz w:val="24"/>
          <w:szCs w:val="24"/>
          <w:shd w:val="clear" w:color="auto" w:fill="FFFFFF"/>
        </w:rPr>
        <w:t>期的化学与物理腐蚀污染，无法进行高精度的样品移动与扫描，导致现代拉曼光谱技术中至关重要的"光谱成像"功能完全瘫痪。</w:t>
      </w:r>
    </w:p>
    <w:p w14:paraId="3E616408">
      <w:pPr>
        <w:widowControl/>
        <w:spacing w:line="360" w:lineRule="auto"/>
        <w:ind w:left="731" w:firstLine="482" w:firstLineChars="200"/>
        <w:jc w:val="left"/>
        <w:rPr>
          <w:rFonts w:ascii="仿宋_GB2312" w:hAnsi="宋体" w:eastAsia="仿宋_GB2312" w:cs="仿宋"/>
          <w:bCs/>
          <w:color w:val="000000"/>
          <w:kern w:val="0"/>
          <w:sz w:val="24"/>
          <w:szCs w:val="24"/>
          <w:shd w:val="clear" w:color="auto" w:fill="FFFFFF"/>
        </w:rPr>
      </w:pPr>
      <w:r>
        <w:rPr>
          <w:rFonts w:hint="eastAsia" w:ascii="仿宋_GB2312" w:hAnsi="宋体" w:eastAsia="仿宋_GB2312" w:cs="仿宋"/>
          <w:b/>
          <w:color w:val="000000"/>
          <w:kern w:val="0"/>
          <w:sz w:val="24"/>
          <w:szCs w:val="24"/>
          <w:shd w:val="clear" w:color="auto" w:fill="FFFFFF"/>
        </w:rPr>
        <w:t>技术代差明显</w:t>
      </w:r>
      <w:r>
        <w:rPr>
          <w:rFonts w:hint="eastAsia" w:ascii="仿宋_GB2312" w:hAnsi="宋体" w:eastAsia="仿宋_GB2312" w:cs="仿宋"/>
          <w:bCs/>
          <w:color w:val="000000"/>
          <w:kern w:val="0"/>
          <w:sz w:val="24"/>
          <w:szCs w:val="24"/>
          <w:shd w:val="clear" w:color="auto" w:fill="FFFFFF"/>
        </w:rPr>
        <w:t>。 该设备手动操作部分较多，缺乏自动化控制，不仅极易因学生误操作导致设备损坏，且完全缺乏定量分析功能和原位测试不可或缺的第二显微镜，技术指标已全面落后。</w:t>
      </w:r>
    </w:p>
    <w:p w14:paraId="025D10CE">
      <w:pPr>
        <w:widowControl/>
        <w:spacing w:line="360" w:lineRule="auto"/>
        <w:ind w:left="731" w:firstLine="480" w:firstLineChars="200"/>
        <w:jc w:val="left"/>
        <w:rPr>
          <w:rFonts w:ascii="仿宋_GB2312" w:hAnsi="宋体" w:eastAsia="仿宋_GB2312" w:cs="仿宋"/>
          <w:bCs/>
          <w:color w:val="000000"/>
          <w:kern w:val="0"/>
          <w:sz w:val="24"/>
          <w:szCs w:val="24"/>
          <w:shd w:val="clear" w:color="auto" w:fill="FFFFFF"/>
        </w:rPr>
      </w:pPr>
      <w:r>
        <w:rPr>
          <w:rFonts w:hint="eastAsia" w:ascii="仿宋_GB2312" w:hAnsi="宋体" w:eastAsia="仿宋_GB2312" w:cs="仿宋"/>
          <w:bCs/>
          <w:color w:val="000000"/>
          <w:kern w:val="0"/>
          <w:sz w:val="24"/>
          <w:szCs w:val="24"/>
          <w:shd w:val="clear" w:color="auto" w:fill="FFFFFF"/>
        </w:rPr>
        <w:t>综上所述，现有设备已无法满足当前的日常教学和高水平科研需求，亟需通过设备更新解决这一瓶颈问题。</w:t>
      </w:r>
    </w:p>
    <w:p w14:paraId="475A599F">
      <w:pPr>
        <w:widowControl/>
        <w:spacing w:line="360" w:lineRule="auto"/>
        <w:ind w:left="731" w:firstLine="480" w:firstLineChars="200"/>
        <w:jc w:val="left"/>
        <w:rPr>
          <w:rFonts w:ascii="仿宋_GB2312" w:hAnsi="宋体" w:eastAsia="仿宋_GB2312" w:cs="仿宋"/>
          <w:bCs/>
          <w:color w:val="000000"/>
          <w:kern w:val="0"/>
          <w:sz w:val="24"/>
          <w:szCs w:val="24"/>
          <w:shd w:val="clear" w:color="auto" w:fill="FFFFFF"/>
        </w:rPr>
      </w:pPr>
      <w:r>
        <w:rPr>
          <w:rFonts w:hint="eastAsia" w:ascii="仿宋_GB2312" w:hAnsi="宋体" w:eastAsia="仿宋_GB2312" w:cs="仿宋"/>
          <w:bCs/>
          <w:color w:val="000000"/>
          <w:kern w:val="0"/>
          <w:sz w:val="24"/>
          <w:szCs w:val="24"/>
          <w:shd w:val="clear" w:color="auto" w:fill="FFFFFF"/>
        </w:rPr>
        <w:t>（二）、立项目的</w:t>
      </w:r>
    </w:p>
    <w:p w14:paraId="0828E960">
      <w:pPr>
        <w:widowControl/>
        <w:spacing w:line="360" w:lineRule="auto"/>
        <w:ind w:left="731" w:firstLine="480" w:firstLineChars="200"/>
        <w:jc w:val="left"/>
        <w:rPr>
          <w:rFonts w:ascii="仿宋_GB2312" w:hAnsi="宋体" w:eastAsia="仿宋_GB2312" w:cs="仿宋"/>
          <w:bCs/>
          <w:color w:val="000000"/>
          <w:kern w:val="0"/>
          <w:sz w:val="24"/>
          <w:szCs w:val="24"/>
          <w:shd w:val="clear" w:color="auto" w:fill="FFFFFF"/>
        </w:rPr>
      </w:pPr>
      <w:r>
        <w:rPr>
          <w:rFonts w:hint="eastAsia" w:ascii="仿宋_GB2312" w:hAnsi="宋体" w:eastAsia="仿宋_GB2312" w:cs="仿宋"/>
          <w:bCs/>
          <w:color w:val="000000"/>
          <w:kern w:val="0"/>
          <w:sz w:val="24"/>
          <w:szCs w:val="24"/>
          <w:shd w:val="clear" w:color="auto" w:fill="FFFFFF"/>
        </w:rPr>
        <w:t>本项目旨在通过引进一台具备高分辨率、高灵敏度、快速成像以及优异抗荧光能力的现代化全自动显微拉曼光谱仪，实现以下目标：</w:t>
      </w:r>
    </w:p>
    <w:p w14:paraId="248DC7F1">
      <w:pPr>
        <w:widowControl/>
        <w:spacing w:line="360" w:lineRule="auto"/>
        <w:ind w:left="731" w:firstLine="482" w:firstLineChars="200"/>
        <w:jc w:val="left"/>
        <w:rPr>
          <w:rFonts w:ascii="仿宋_GB2312" w:hAnsi="宋体" w:eastAsia="仿宋_GB2312" w:cs="仿宋"/>
          <w:b/>
          <w:color w:val="000000"/>
          <w:kern w:val="0"/>
          <w:sz w:val="24"/>
          <w:szCs w:val="24"/>
          <w:shd w:val="clear" w:color="auto" w:fill="FFFFFF"/>
        </w:rPr>
      </w:pPr>
      <w:r>
        <w:rPr>
          <w:rFonts w:hint="eastAsia" w:ascii="仿宋_GB2312" w:hAnsi="宋体" w:eastAsia="仿宋_GB2312" w:cs="仿宋"/>
          <w:b/>
          <w:color w:val="000000"/>
          <w:kern w:val="0"/>
          <w:sz w:val="24"/>
          <w:szCs w:val="24"/>
          <w:shd w:val="clear" w:color="auto" w:fill="FFFFFF"/>
        </w:rPr>
        <w:t>1. 保障拔尖创新人才与日常本科教学需求</w:t>
      </w:r>
    </w:p>
    <w:p w14:paraId="14C9962C">
      <w:pPr>
        <w:widowControl/>
        <w:spacing w:line="360" w:lineRule="auto"/>
        <w:ind w:left="731" w:firstLine="482" w:firstLineChars="200"/>
        <w:jc w:val="left"/>
        <w:rPr>
          <w:rFonts w:ascii="仿宋_GB2312" w:hAnsi="宋体" w:eastAsia="仿宋_GB2312" w:cs="仿宋"/>
          <w:bCs/>
          <w:color w:val="000000"/>
          <w:kern w:val="0"/>
          <w:sz w:val="24"/>
          <w:szCs w:val="24"/>
          <w:shd w:val="clear" w:color="auto" w:fill="FFFFFF"/>
        </w:rPr>
      </w:pPr>
      <w:r>
        <w:rPr>
          <w:rFonts w:hint="eastAsia" w:ascii="仿宋_GB2312" w:hAnsi="宋体" w:eastAsia="仿宋_GB2312" w:cs="仿宋"/>
          <w:b/>
          <w:color w:val="000000"/>
          <w:kern w:val="0"/>
          <w:sz w:val="24"/>
          <w:szCs w:val="24"/>
          <w:shd w:val="clear" w:color="auto" w:fill="FFFFFF"/>
        </w:rPr>
        <w:t>地质类拔尖人才培养</w:t>
      </w:r>
      <w:r>
        <w:rPr>
          <w:rFonts w:hint="eastAsia" w:ascii="仿宋_GB2312" w:hAnsi="宋体" w:eastAsia="仿宋_GB2312" w:cs="仿宋"/>
          <w:bCs/>
          <w:color w:val="000000"/>
          <w:kern w:val="0"/>
          <w:sz w:val="24"/>
          <w:szCs w:val="24"/>
          <w:shd w:val="clear" w:color="auto" w:fill="FFFFFF"/>
        </w:rPr>
        <w:t>。 保障我校地质学类基础学科拔尖学生培养基地的教学，重点服务《矿物岩石学》《勘查地球化学》《地学现代测试技术》等骨干课程，支持周口店、秭归等野外实习样品的微区原位分析。</w:t>
      </w:r>
    </w:p>
    <w:p w14:paraId="603BAF09">
      <w:pPr>
        <w:widowControl/>
        <w:spacing w:line="360" w:lineRule="auto"/>
        <w:ind w:left="731" w:firstLine="482" w:firstLineChars="200"/>
        <w:jc w:val="left"/>
        <w:rPr>
          <w:rFonts w:ascii="仿宋_GB2312" w:hAnsi="宋体" w:eastAsia="仿宋_GB2312" w:cs="仿宋"/>
          <w:bCs/>
          <w:color w:val="000000"/>
          <w:kern w:val="0"/>
          <w:sz w:val="24"/>
          <w:szCs w:val="24"/>
          <w:shd w:val="clear" w:color="auto" w:fill="FFFFFF"/>
        </w:rPr>
      </w:pPr>
      <w:r>
        <w:rPr>
          <w:rFonts w:hint="eastAsia" w:ascii="仿宋_GB2312" w:hAnsi="宋体" w:eastAsia="仿宋_GB2312" w:cs="仿宋"/>
          <w:b/>
          <w:color w:val="000000"/>
          <w:kern w:val="0"/>
          <w:sz w:val="24"/>
          <w:szCs w:val="24"/>
          <w:shd w:val="clear" w:color="auto" w:fill="FFFFFF"/>
        </w:rPr>
        <w:t>海洋与油气核心课程支撑</w:t>
      </w:r>
      <w:r>
        <w:rPr>
          <w:rFonts w:hint="eastAsia" w:ascii="仿宋_GB2312" w:hAnsi="宋体" w:eastAsia="仿宋_GB2312" w:cs="仿宋"/>
          <w:bCs/>
          <w:color w:val="000000"/>
          <w:kern w:val="0"/>
          <w:sz w:val="24"/>
          <w:szCs w:val="24"/>
          <w:shd w:val="clear" w:color="auto" w:fill="FFFFFF"/>
        </w:rPr>
        <w:t>。 支撑《海洋矿产资源》《海洋地球化学》《石油地质学》《油气地球化学》等课程中的岩石储集物性测定实验。涵盖储层矿物组成结构观测、多世代流体包裹体测定、沉积层天然气水合物分布观测、高压原位生烃光谱演化等先进实验教学，提供快速化学成像方案。</w:t>
      </w:r>
    </w:p>
    <w:p w14:paraId="6CB6D17F">
      <w:pPr>
        <w:widowControl/>
        <w:spacing w:line="360" w:lineRule="auto"/>
        <w:ind w:left="731" w:firstLine="482" w:firstLineChars="200"/>
        <w:jc w:val="left"/>
        <w:rPr>
          <w:rFonts w:ascii="仿宋_GB2312" w:hAnsi="宋体" w:eastAsia="仿宋_GB2312" w:cs="仿宋"/>
          <w:b/>
          <w:color w:val="000000"/>
          <w:kern w:val="0"/>
          <w:sz w:val="24"/>
          <w:szCs w:val="24"/>
          <w:shd w:val="clear" w:color="auto" w:fill="FFFFFF"/>
        </w:rPr>
      </w:pPr>
      <w:r>
        <w:rPr>
          <w:rFonts w:hint="eastAsia" w:ascii="仿宋_GB2312" w:hAnsi="宋体" w:eastAsia="仿宋_GB2312" w:cs="仿宋"/>
          <w:b/>
          <w:color w:val="000000"/>
          <w:kern w:val="0"/>
          <w:sz w:val="24"/>
          <w:szCs w:val="24"/>
          <w:shd w:val="clear" w:color="auto" w:fill="FFFFFF"/>
        </w:rPr>
        <w:t>2. 支撑国家重大科研项目与高端人才培养</w:t>
      </w:r>
    </w:p>
    <w:p w14:paraId="764BA463">
      <w:pPr>
        <w:widowControl/>
        <w:spacing w:line="360" w:lineRule="auto"/>
        <w:ind w:left="731" w:firstLine="480" w:firstLineChars="200"/>
        <w:jc w:val="left"/>
        <w:rPr>
          <w:rFonts w:ascii="仿宋_GB2312" w:hAnsi="宋体" w:eastAsia="仿宋_GB2312" w:cs="仿宋"/>
          <w:bCs/>
          <w:color w:val="000000"/>
          <w:kern w:val="0"/>
          <w:sz w:val="24"/>
          <w:szCs w:val="24"/>
          <w:shd w:val="clear" w:color="auto" w:fill="FFFFFF"/>
        </w:rPr>
      </w:pPr>
      <w:r>
        <w:rPr>
          <w:rFonts w:hint="eastAsia" w:ascii="仿宋_GB2312" w:hAnsi="宋体" w:eastAsia="仿宋_GB2312" w:cs="仿宋"/>
          <w:bCs/>
          <w:color w:val="000000"/>
          <w:kern w:val="0"/>
          <w:sz w:val="24"/>
          <w:szCs w:val="24"/>
          <w:shd w:val="clear" w:color="auto" w:fill="FFFFFF"/>
        </w:rPr>
        <w:t>满足“含碳流体与资源环境效应”等重点团队在流体包裹体同位素示踪、水合物成藏动力学等前沿方向的研究需求。为团队承接和高质量完成国家自然科学基金、国家重点研发计划等国家级项目提供必备的硬件基础，同时有力支撑本科生和研究生的毕业论文研究工作。</w:t>
      </w:r>
    </w:p>
    <w:p w14:paraId="4EEE58B5">
      <w:pPr>
        <w:widowControl/>
        <w:spacing w:line="360" w:lineRule="auto"/>
        <w:ind w:left="731" w:firstLine="482" w:firstLineChars="200"/>
        <w:jc w:val="left"/>
        <w:rPr>
          <w:rFonts w:ascii="仿宋_GB2312" w:hAnsi="宋体" w:eastAsia="仿宋_GB2312" w:cs="仿宋"/>
          <w:b/>
          <w:color w:val="000000"/>
          <w:kern w:val="0"/>
          <w:sz w:val="24"/>
          <w:szCs w:val="24"/>
          <w:shd w:val="clear" w:color="auto" w:fill="FFFFFF"/>
        </w:rPr>
      </w:pPr>
      <w:r>
        <w:rPr>
          <w:rFonts w:hint="eastAsia" w:ascii="仿宋_GB2312" w:hAnsi="宋体" w:eastAsia="仿宋_GB2312" w:cs="仿宋"/>
          <w:b/>
          <w:color w:val="000000"/>
          <w:kern w:val="0"/>
          <w:sz w:val="24"/>
          <w:szCs w:val="24"/>
          <w:shd w:val="clear" w:color="auto" w:fill="FFFFFF"/>
        </w:rPr>
        <w:t>3. 引领前沿学科方向，突破关键科学问题</w:t>
      </w:r>
    </w:p>
    <w:p w14:paraId="026C06DB">
      <w:pPr>
        <w:widowControl/>
        <w:spacing w:line="360" w:lineRule="auto"/>
        <w:ind w:left="731" w:firstLine="480" w:firstLineChars="200"/>
        <w:jc w:val="left"/>
        <w:rPr>
          <w:rFonts w:ascii="仿宋_GB2312" w:hAnsi="宋体" w:eastAsia="仿宋_GB2312" w:cs="仿宋"/>
          <w:bCs/>
          <w:color w:val="000000"/>
          <w:kern w:val="0"/>
          <w:sz w:val="24"/>
          <w:szCs w:val="24"/>
          <w:shd w:val="clear" w:color="auto" w:fill="FFFFFF"/>
        </w:rPr>
      </w:pPr>
      <w:r>
        <w:rPr>
          <w:rFonts w:hint="eastAsia" w:ascii="仿宋_GB2312" w:hAnsi="宋体" w:eastAsia="仿宋_GB2312" w:cs="仿宋"/>
          <w:bCs/>
          <w:color w:val="000000"/>
          <w:kern w:val="0"/>
          <w:sz w:val="24"/>
          <w:szCs w:val="24"/>
          <w:shd w:val="clear" w:color="auto" w:fill="FFFFFF"/>
        </w:rPr>
        <w:t>利用新设备的高灵敏度与强抗荧光特性，在单包裹体尺度开展精细研究。例如：精确测定碳酸盐矿物中</w:t>
      </w:r>
      <w:r>
        <w:rPr>
          <w:rFonts w:ascii="Times New Roman" w:hAnsi="Times New Roman" w:eastAsia="仿宋_GB2312" w:cs="Times New Roman"/>
          <w:bCs/>
          <w:color w:val="000000"/>
          <w:kern w:val="0"/>
          <w:sz w:val="24"/>
          <w:szCs w:val="24"/>
          <w:shd w:val="clear" w:color="auto" w:fill="FFFFFF"/>
        </w:rPr>
        <w:t xml:space="preserve"> ¹³C/¹²C </w:t>
      </w:r>
      <w:r>
        <w:rPr>
          <w:rFonts w:hint="eastAsia" w:ascii="仿宋_GB2312" w:hAnsi="宋体" w:eastAsia="仿宋_GB2312" w:cs="仿宋"/>
          <w:bCs/>
          <w:color w:val="000000"/>
          <w:kern w:val="0"/>
          <w:sz w:val="24"/>
          <w:szCs w:val="24"/>
          <w:shd w:val="clear" w:color="auto" w:fill="FFFFFF"/>
        </w:rPr>
        <w:t>比值、直接观测水合物形成与分解的微观动力学过程等，抢占固体地球科学与海洋地球化学的研究制高点。</w:t>
      </w:r>
    </w:p>
    <w:p w14:paraId="054FBAFB">
      <w:pPr>
        <w:widowControl/>
        <w:spacing w:line="360" w:lineRule="auto"/>
        <w:ind w:left="731" w:firstLine="482" w:firstLineChars="200"/>
        <w:jc w:val="left"/>
        <w:rPr>
          <w:rFonts w:ascii="仿宋_GB2312" w:hAnsi="宋体" w:eastAsia="仿宋_GB2312" w:cs="仿宋"/>
          <w:b/>
          <w:color w:val="000000"/>
          <w:kern w:val="0"/>
          <w:sz w:val="24"/>
          <w:szCs w:val="24"/>
          <w:shd w:val="clear" w:color="auto" w:fill="FFFFFF"/>
        </w:rPr>
      </w:pPr>
      <w:r>
        <w:rPr>
          <w:rFonts w:hint="eastAsia" w:ascii="仿宋_GB2312" w:hAnsi="宋体" w:eastAsia="仿宋_GB2312" w:cs="仿宋"/>
          <w:b/>
          <w:color w:val="000000"/>
          <w:kern w:val="0"/>
          <w:sz w:val="24"/>
          <w:szCs w:val="24"/>
          <w:shd w:val="clear" w:color="auto" w:fill="FFFFFF"/>
        </w:rPr>
        <w:t>4. 补齐技术短板，构建完整表征链条</w:t>
      </w:r>
    </w:p>
    <w:p w14:paraId="4274B358">
      <w:pPr>
        <w:widowControl/>
        <w:spacing w:line="360" w:lineRule="auto"/>
        <w:ind w:left="731" w:firstLine="480" w:firstLineChars="200"/>
        <w:jc w:val="left"/>
        <w:rPr>
          <w:rFonts w:ascii="仿宋_GB2312" w:hAnsi="宋体" w:eastAsia="仿宋_GB2312" w:cs="仿宋"/>
          <w:bCs/>
          <w:color w:val="000000"/>
          <w:kern w:val="0"/>
          <w:sz w:val="24"/>
          <w:szCs w:val="24"/>
          <w:shd w:val="clear" w:color="auto" w:fill="FFFFFF"/>
        </w:rPr>
      </w:pPr>
      <w:r>
        <w:rPr>
          <w:rFonts w:hint="eastAsia" w:ascii="仿宋_GB2312" w:hAnsi="宋体" w:eastAsia="仿宋_GB2312" w:cs="仿宋"/>
          <w:bCs/>
          <w:color w:val="000000"/>
          <w:kern w:val="0"/>
          <w:sz w:val="24"/>
          <w:szCs w:val="24"/>
          <w:shd w:val="clear" w:color="auto" w:fill="FFFFFF"/>
        </w:rPr>
        <w:t>填补我校在“微观、原位、高灵敏度地球化学过程观测”方面的设备缺口，与学校现有的宏观地质、地球物理装备形成互补，构建起“宏观探测—微观剖析—分子结构解析”的完整技术链条，极大提升我校在海洋、资源、环境等交叉学科的综合研究实力。</w:t>
      </w:r>
    </w:p>
    <w:p w14:paraId="1211148F">
      <w:pPr>
        <w:widowControl/>
        <w:spacing w:line="360" w:lineRule="auto"/>
        <w:ind w:left="731" w:firstLine="480" w:firstLineChars="200"/>
        <w:jc w:val="left"/>
        <w:rPr>
          <w:rFonts w:ascii="仿宋_GB2312" w:hAnsi="宋体" w:eastAsia="仿宋_GB2312" w:cs="仿宋"/>
          <w:bCs/>
          <w:color w:val="000000"/>
          <w:kern w:val="0"/>
          <w:sz w:val="24"/>
          <w:szCs w:val="24"/>
          <w:shd w:val="clear" w:color="auto" w:fill="FFFFFF"/>
        </w:rPr>
      </w:pPr>
      <w:r>
        <w:rPr>
          <w:rFonts w:hint="eastAsia" w:ascii="仿宋_GB2312" w:hAnsi="宋体" w:eastAsia="仿宋_GB2312" w:cs="仿宋"/>
          <w:bCs/>
          <w:color w:val="000000"/>
          <w:kern w:val="0"/>
          <w:sz w:val="24"/>
          <w:szCs w:val="24"/>
          <w:shd w:val="clear" w:color="auto" w:fill="FFFFFF"/>
        </w:rPr>
        <w:t>（三）、现有环境和条件</w:t>
      </w:r>
    </w:p>
    <w:p w14:paraId="344E6068">
      <w:pPr>
        <w:widowControl/>
        <w:spacing w:line="360" w:lineRule="auto"/>
        <w:ind w:left="731" w:firstLine="480" w:firstLineChars="200"/>
        <w:jc w:val="left"/>
        <w:rPr>
          <w:rFonts w:ascii="仿宋_GB2312" w:hAnsi="宋体" w:eastAsia="仿宋_GB2312" w:cs="仿宋"/>
          <w:bCs/>
          <w:color w:val="000000"/>
          <w:kern w:val="0"/>
          <w:sz w:val="24"/>
          <w:szCs w:val="24"/>
          <w:shd w:val="clear" w:color="auto" w:fill="FFFFFF"/>
        </w:rPr>
      </w:pPr>
      <w:r>
        <w:rPr>
          <w:rFonts w:hint="eastAsia" w:ascii="仿宋_GB2312" w:hAnsi="宋体" w:eastAsia="仿宋_GB2312" w:cs="仿宋"/>
          <w:bCs/>
          <w:color w:val="000000"/>
          <w:kern w:val="0"/>
          <w:sz w:val="24"/>
          <w:szCs w:val="24"/>
          <w:shd w:val="clear" w:color="auto" w:fill="FFFFFF"/>
        </w:rPr>
        <w:t>1. 场地与配套设施</w:t>
      </w:r>
    </w:p>
    <w:p w14:paraId="3928F1C8">
      <w:pPr>
        <w:widowControl/>
        <w:spacing w:line="360" w:lineRule="auto"/>
        <w:ind w:left="731" w:firstLine="482" w:firstLineChars="200"/>
        <w:jc w:val="left"/>
        <w:rPr>
          <w:rFonts w:ascii="仿宋_GB2312" w:hAnsi="宋体" w:eastAsia="仿宋_GB2312" w:cs="仿宋"/>
          <w:bCs/>
          <w:color w:val="000000"/>
          <w:kern w:val="0"/>
          <w:sz w:val="24"/>
          <w:szCs w:val="24"/>
          <w:shd w:val="clear" w:color="auto" w:fill="FFFFFF"/>
        </w:rPr>
      </w:pPr>
      <w:r>
        <w:rPr>
          <w:rFonts w:hint="eastAsia" w:ascii="仿宋_GB2312" w:hAnsi="宋体" w:eastAsia="仿宋_GB2312" w:cs="仿宋"/>
          <w:b/>
          <w:color w:val="000000"/>
          <w:kern w:val="0"/>
          <w:sz w:val="24"/>
          <w:szCs w:val="24"/>
          <w:shd w:val="clear" w:color="auto" w:fill="FFFFFF"/>
        </w:rPr>
        <w:t>实验室空间</w:t>
      </w:r>
      <w:r>
        <w:rPr>
          <w:rFonts w:hint="eastAsia" w:ascii="仿宋_GB2312" w:hAnsi="宋体" w:eastAsia="仿宋_GB2312" w:cs="仿宋"/>
          <w:bCs/>
          <w:color w:val="000000"/>
          <w:kern w:val="0"/>
          <w:sz w:val="24"/>
          <w:szCs w:val="24"/>
          <w:shd w:val="clear" w:color="auto" w:fill="FFFFFF"/>
        </w:rPr>
        <w:t>。 地球与行星科学学院已规划存放设备的专用房间，该房间符合精密光学仪器的安装要求，可实现恒温、恒湿及减振环境控制，满足显微拉曼光谱仪对工作环境的严格要求。海洋学院同样具备良好的精密仪器运行条件，现有实验室已配备完善的防震、防尘、恒温恒湿设施。</w:t>
      </w:r>
    </w:p>
    <w:p w14:paraId="3F2B99F7">
      <w:pPr>
        <w:widowControl/>
        <w:spacing w:line="360" w:lineRule="auto"/>
        <w:ind w:left="731" w:firstLine="482" w:firstLineChars="200"/>
        <w:jc w:val="left"/>
        <w:rPr>
          <w:rFonts w:ascii="仿宋_GB2312" w:hAnsi="宋体" w:eastAsia="仿宋_GB2312" w:cs="仿宋"/>
          <w:bCs/>
          <w:color w:val="000000"/>
          <w:kern w:val="0"/>
          <w:sz w:val="24"/>
          <w:szCs w:val="24"/>
          <w:shd w:val="clear" w:color="auto" w:fill="FFFFFF"/>
        </w:rPr>
      </w:pPr>
      <w:r>
        <w:rPr>
          <w:rFonts w:hint="eastAsia" w:ascii="仿宋_GB2312" w:hAnsi="宋体" w:eastAsia="仿宋_GB2312" w:cs="仿宋"/>
          <w:b/>
          <w:color w:val="000000"/>
          <w:kern w:val="0"/>
          <w:sz w:val="24"/>
          <w:szCs w:val="24"/>
          <w:shd w:val="clear" w:color="auto" w:fill="FFFFFF"/>
        </w:rPr>
        <w:t>公用工程配套</w:t>
      </w:r>
      <w:r>
        <w:rPr>
          <w:rFonts w:hint="eastAsia" w:ascii="仿宋_GB2312" w:hAnsi="宋体" w:eastAsia="仿宋_GB2312" w:cs="仿宋"/>
          <w:bCs/>
          <w:color w:val="000000"/>
          <w:kern w:val="0"/>
          <w:sz w:val="24"/>
          <w:szCs w:val="24"/>
          <w:shd w:val="clear" w:color="auto" w:fill="FFFFFF"/>
        </w:rPr>
        <w:t>。 实验室已配备稳定的单相/三相电源、超净空气系统、废气排风通道以及满足光谱仪运行要求的接地系统。</w:t>
      </w:r>
    </w:p>
    <w:p w14:paraId="06BE6430">
      <w:pPr>
        <w:widowControl/>
        <w:spacing w:line="360" w:lineRule="auto"/>
        <w:ind w:left="731" w:firstLine="480" w:firstLineChars="200"/>
        <w:jc w:val="left"/>
        <w:rPr>
          <w:rFonts w:ascii="仿宋_GB2312" w:hAnsi="宋体" w:eastAsia="仿宋_GB2312" w:cs="仿宋"/>
          <w:bCs/>
          <w:color w:val="000000"/>
          <w:kern w:val="0"/>
          <w:sz w:val="24"/>
          <w:szCs w:val="24"/>
          <w:shd w:val="clear" w:color="auto" w:fill="FFFFFF"/>
        </w:rPr>
      </w:pPr>
      <w:r>
        <w:rPr>
          <w:rFonts w:hint="eastAsia" w:ascii="仿宋_GB2312" w:hAnsi="宋体" w:eastAsia="仿宋_GB2312" w:cs="仿宋"/>
          <w:bCs/>
          <w:color w:val="000000"/>
          <w:kern w:val="0"/>
          <w:sz w:val="24"/>
          <w:szCs w:val="24"/>
          <w:shd w:val="clear" w:color="auto" w:fill="FFFFFF"/>
        </w:rPr>
        <w:t>2. 技术与管理队伍</w:t>
      </w:r>
    </w:p>
    <w:p w14:paraId="5C10E07F">
      <w:pPr>
        <w:widowControl/>
        <w:spacing w:line="360" w:lineRule="auto"/>
        <w:ind w:left="731" w:firstLine="482" w:firstLineChars="200"/>
        <w:jc w:val="left"/>
        <w:rPr>
          <w:rFonts w:ascii="仿宋_GB2312" w:hAnsi="宋体" w:eastAsia="仿宋_GB2312" w:cs="仿宋"/>
          <w:bCs/>
          <w:color w:val="000000"/>
          <w:kern w:val="0"/>
          <w:sz w:val="24"/>
          <w:szCs w:val="24"/>
          <w:shd w:val="clear" w:color="auto" w:fill="FFFFFF"/>
        </w:rPr>
      </w:pPr>
      <w:r>
        <w:rPr>
          <w:rFonts w:hint="eastAsia" w:ascii="仿宋_GB2312" w:hAnsi="宋体" w:eastAsia="仿宋_GB2312" w:cs="仿宋"/>
          <w:b/>
          <w:color w:val="000000"/>
          <w:kern w:val="0"/>
          <w:sz w:val="24"/>
          <w:szCs w:val="24"/>
          <w:shd w:val="clear" w:color="auto" w:fill="FFFFFF"/>
        </w:rPr>
        <w:t>技术支撑</w:t>
      </w:r>
      <w:r>
        <w:rPr>
          <w:rFonts w:hint="eastAsia" w:ascii="仿宋_GB2312" w:hAnsi="宋体" w:eastAsia="仿宋_GB2312" w:cs="仿宋"/>
          <w:bCs/>
          <w:color w:val="000000"/>
          <w:kern w:val="0"/>
          <w:sz w:val="24"/>
          <w:szCs w:val="24"/>
          <w:shd w:val="clear" w:color="auto" w:fill="FFFFFF"/>
        </w:rPr>
        <w:t>。 学院现有专业的技术管理队伍，包括多名具有高级职称、长期从事拉曼光谱分析及地质/海洋地球化学研究的专业教师和实验技术人员，能确保新设备的快速安装、高效调试与日常维护。</w:t>
      </w:r>
    </w:p>
    <w:p w14:paraId="14870F0D">
      <w:pPr>
        <w:widowControl/>
        <w:spacing w:line="360" w:lineRule="auto"/>
        <w:ind w:left="731" w:firstLine="482" w:firstLineChars="200"/>
        <w:jc w:val="left"/>
        <w:rPr>
          <w:rFonts w:ascii="仿宋_GB2312" w:hAnsi="宋体" w:eastAsia="仿宋_GB2312" w:cs="仿宋"/>
          <w:bCs/>
          <w:color w:val="000000"/>
          <w:kern w:val="0"/>
          <w:sz w:val="24"/>
          <w:szCs w:val="24"/>
          <w:shd w:val="clear" w:color="auto" w:fill="FFFFFF"/>
        </w:rPr>
      </w:pPr>
      <w:r>
        <w:rPr>
          <w:rFonts w:hint="eastAsia" w:ascii="仿宋_GB2312" w:hAnsi="宋体" w:eastAsia="仿宋_GB2312" w:cs="仿宋"/>
          <w:b/>
          <w:color w:val="000000"/>
          <w:kern w:val="0"/>
          <w:sz w:val="24"/>
          <w:szCs w:val="24"/>
          <w:shd w:val="clear" w:color="auto" w:fill="FFFFFF"/>
        </w:rPr>
        <w:t>运行机制</w:t>
      </w:r>
      <w:r>
        <w:rPr>
          <w:rFonts w:hint="eastAsia" w:ascii="仿宋_GB2312" w:hAnsi="宋体" w:eastAsia="仿宋_GB2312" w:cs="仿宋"/>
          <w:bCs/>
          <w:color w:val="000000"/>
          <w:kern w:val="0"/>
          <w:sz w:val="24"/>
          <w:szCs w:val="24"/>
          <w:shd w:val="clear" w:color="auto" w:fill="FFFFFF"/>
        </w:rPr>
        <w:t>。 实行“专人管理、开放共享、教学优先、科研并重”的运行模式，依托现有校级共享平台成熟的预约和计费系统，可实现设备的高效运转与服务延伸。</w:t>
      </w:r>
    </w:p>
    <w:p w14:paraId="1C591022">
      <w:pPr>
        <w:widowControl/>
        <w:spacing w:line="360" w:lineRule="auto"/>
        <w:ind w:left="731" w:firstLine="480" w:firstLineChars="200"/>
        <w:jc w:val="left"/>
        <w:rPr>
          <w:rFonts w:ascii="仿宋_GB2312" w:hAnsi="宋体" w:eastAsia="仿宋_GB2312" w:cs="仿宋"/>
          <w:bCs/>
          <w:color w:val="000000"/>
          <w:kern w:val="0"/>
          <w:sz w:val="24"/>
          <w:szCs w:val="24"/>
          <w:shd w:val="clear" w:color="auto" w:fill="FFFFFF"/>
        </w:rPr>
      </w:pPr>
      <w:r>
        <w:rPr>
          <w:rFonts w:hint="eastAsia" w:ascii="仿宋_GB2312" w:hAnsi="宋体" w:eastAsia="仿宋_GB2312" w:cs="仿宋"/>
          <w:bCs/>
          <w:color w:val="000000"/>
          <w:kern w:val="0"/>
          <w:sz w:val="24"/>
          <w:szCs w:val="24"/>
          <w:shd w:val="clear" w:color="auto" w:fill="FFFFFF"/>
        </w:rPr>
        <w:t>（四）、需要与其他项目配合情况</w:t>
      </w:r>
    </w:p>
    <w:p w14:paraId="0C28F026">
      <w:pPr>
        <w:widowControl/>
        <w:spacing w:line="360" w:lineRule="auto"/>
        <w:ind w:left="731" w:firstLine="480" w:firstLineChars="200"/>
        <w:jc w:val="left"/>
        <w:rPr>
          <w:rFonts w:ascii="仿宋_GB2312" w:hAnsi="宋体" w:eastAsia="仿宋_GB2312" w:cs="仿宋"/>
          <w:bCs/>
          <w:color w:val="000000"/>
          <w:kern w:val="0"/>
          <w:sz w:val="24"/>
          <w:szCs w:val="24"/>
          <w:shd w:val="clear" w:color="auto" w:fill="FFFFFF"/>
        </w:rPr>
      </w:pPr>
      <w:r>
        <w:rPr>
          <w:rFonts w:hint="eastAsia" w:ascii="仿宋_GB2312" w:hAnsi="宋体" w:eastAsia="仿宋_GB2312" w:cs="仿宋"/>
          <w:bCs/>
          <w:color w:val="000000"/>
          <w:kern w:val="0"/>
          <w:sz w:val="24"/>
          <w:szCs w:val="24"/>
          <w:shd w:val="clear" w:color="auto" w:fill="FFFFFF"/>
        </w:rPr>
        <w:t>本设备购置项目在运行使用中需与以下项目或条件协同配合，以确保设备效能最大化：</w:t>
      </w:r>
    </w:p>
    <w:p w14:paraId="040F9AB1">
      <w:pPr>
        <w:widowControl/>
        <w:spacing w:line="360" w:lineRule="auto"/>
        <w:ind w:left="731" w:firstLine="482" w:firstLineChars="200"/>
        <w:jc w:val="left"/>
        <w:rPr>
          <w:rFonts w:ascii="仿宋_GB2312" w:hAnsi="宋体" w:eastAsia="仿宋_GB2312" w:cs="仿宋"/>
          <w:bCs/>
          <w:color w:val="000000"/>
          <w:kern w:val="0"/>
          <w:sz w:val="24"/>
          <w:szCs w:val="24"/>
          <w:shd w:val="clear" w:color="auto" w:fill="FFFFFF"/>
        </w:rPr>
      </w:pPr>
      <w:r>
        <w:rPr>
          <w:rFonts w:hint="eastAsia" w:ascii="仿宋_GB2312" w:hAnsi="宋体" w:eastAsia="仿宋_GB2312" w:cs="仿宋"/>
          <w:b/>
          <w:color w:val="000000"/>
          <w:kern w:val="0"/>
          <w:sz w:val="24"/>
          <w:szCs w:val="24"/>
          <w:shd w:val="clear" w:color="auto" w:fill="FFFFFF"/>
        </w:rPr>
        <w:t>与扫描电镜、电子探针、同位素定年等分析设备的配套衔接。</w:t>
      </w:r>
      <w:r>
        <w:rPr>
          <w:rFonts w:hint="eastAsia" w:ascii="仿宋_GB2312" w:hAnsi="宋体" w:eastAsia="仿宋_GB2312" w:cs="仿宋"/>
          <w:bCs/>
          <w:color w:val="000000"/>
          <w:kern w:val="0"/>
          <w:sz w:val="24"/>
          <w:szCs w:val="24"/>
          <w:shd w:val="clear" w:color="auto" w:fill="FFFFFF"/>
        </w:rPr>
        <w:t xml:space="preserve"> 根据教学与科研中“宏观形貌—微观成分—分子结构”多尺度研究体系的需求，显微拉曼光谱分析结果需与扫描电镜的形貌和元素分布数据、同位素定年的年代学数据进行综合解析。应制定跨设备联合测试的标准化流程，明确送样次序、数据格式统一和结果互认机制，形成完整的地球化学分析技术链。</w:t>
      </w:r>
    </w:p>
    <w:p w14:paraId="63B01B89">
      <w:pPr>
        <w:widowControl/>
        <w:spacing w:line="360" w:lineRule="auto"/>
        <w:ind w:left="731" w:firstLine="482" w:firstLineChars="200"/>
        <w:jc w:val="left"/>
        <w:rPr>
          <w:rFonts w:ascii="仿宋_GB2312" w:hAnsi="宋体" w:eastAsia="仿宋_GB2312" w:cs="仿宋"/>
          <w:bCs/>
          <w:color w:val="000000"/>
          <w:kern w:val="0"/>
          <w:sz w:val="24"/>
          <w:szCs w:val="24"/>
          <w:shd w:val="clear" w:color="auto" w:fill="FFFFFF"/>
        </w:rPr>
      </w:pPr>
      <w:r>
        <w:rPr>
          <w:rFonts w:hint="eastAsia" w:ascii="仿宋_GB2312" w:hAnsi="宋体" w:eastAsia="仿宋_GB2312" w:cs="仿宋"/>
          <w:b/>
          <w:color w:val="000000"/>
          <w:kern w:val="0"/>
          <w:sz w:val="24"/>
          <w:szCs w:val="24"/>
          <w:shd w:val="clear" w:color="auto" w:fill="FFFFFF"/>
        </w:rPr>
        <w:t>与国家自然科学基金、国家重点研发计划等科研项目的协同。</w:t>
      </w:r>
      <w:r>
        <w:rPr>
          <w:rFonts w:hint="eastAsia" w:ascii="仿宋_GB2312" w:hAnsi="宋体" w:eastAsia="仿宋_GB2312" w:cs="仿宋"/>
          <w:bCs/>
          <w:color w:val="000000"/>
          <w:kern w:val="0"/>
          <w:sz w:val="24"/>
          <w:szCs w:val="24"/>
          <w:shd w:val="clear" w:color="auto" w:fill="FFFFFF"/>
        </w:rPr>
        <w:t xml:space="preserve"> 含碳流体与资源环境效应团队在流体包裹体同位素示踪、水合物成藏动力学方向承担和申报的各级科研项目，既是本设备购置后最主要的科研用户来源，也是设备运行经费和耗材费用的重要补充渠道。设备立项后应同步明确科研项目与设备运行费用的联动保障机制。</w:t>
      </w:r>
    </w:p>
    <w:p w14:paraId="5B2907F6">
      <w:pPr>
        <w:widowControl/>
        <w:spacing w:line="360" w:lineRule="auto"/>
        <w:ind w:left="731" w:firstLine="482" w:firstLineChars="200"/>
        <w:jc w:val="left"/>
        <w:rPr>
          <w:rFonts w:ascii="仿宋_GB2312" w:hAnsi="宋体" w:eastAsia="仿宋_GB2312" w:cs="仿宋"/>
          <w:bCs/>
          <w:color w:val="000000"/>
          <w:kern w:val="0"/>
          <w:sz w:val="24"/>
          <w:szCs w:val="24"/>
          <w:shd w:val="clear" w:color="auto" w:fill="FFFFFF"/>
        </w:rPr>
      </w:pPr>
      <w:r>
        <w:rPr>
          <w:rFonts w:hint="eastAsia" w:ascii="仿宋_GB2312" w:hAnsi="宋体" w:eastAsia="仿宋_GB2312" w:cs="仿宋"/>
          <w:b/>
          <w:color w:val="000000"/>
          <w:kern w:val="0"/>
          <w:sz w:val="24"/>
          <w:szCs w:val="24"/>
          <w:shd w:val="clear" w:color="auto" w:fill="FFFFFF"/>
        </w:rPr>
        <w:t xml:space="preserve">与校级大型仪器共享平台的对接。 </w:t>
      </w:r>
      <w:r>
        <w:rPr>
          <w:rFonts w:hint="eastAsia" w:ascii="仿宋_GB2312" w:hAnsi="宋体" w:eastAsia="仿宋_GB2312" w:cs="仿宋"/>
          <w:bCs/>
          <w:color w:val="000000"/>
          <w:kern w:val="0"/>
          <w:sz w:val="24"/>
          <w:szCs w:val="24"/>
          <w:shd w:val="clear" w:color="auto" w:fill="FFFFFF"/>
        </w:rPr>
        <w:t>新设备投入使用后需接入校级大型仪器共享管理平台，实现统一预约、收费、使用统计和数据管理。需提前与学校实验室管理部门沟通，确定共享管理模式、收费标准制定方案及技术人员编制安排，确保设备在满足本学院需求的同时实现高效的开放共享。</w:t>
      </w:r>
    </w:p>
    <w:p w14:paraId="7422B7C0">
      <w:pPr>
        <w:widowControl/>
        <w:spacing w:line="360" w:lineRule="auto"/>
        <w:ind w:left="731" w:firstLine="482" w:firstLineChars="200"/>
        <w:jc w:val="left"/>
        <w:rPr>
          <w:rFonts w:ascii="仿宋_GB2312" w:hAnsi="宋体" w:eastAsia="仿宋_GB2312" w:cs="仿宋"/>
          <w:bCs/>
          <w:color w:val="000000"/>
          <w:kern w:val="0"/>
          <w:sz w:val="24"/>
          <w:szCs w:val="24"/>
          <w:shd w:val="clear" w:color="auto" w:fill="FFFFFF"/>
        </w:rPr>
      </w:pPr>
      <w:r>
        <w:rPr>
          <w:rFonts w:hint="eastAsia" w:ascii="仿宋_GB2312" w:hAnsi="宋体" w:eastAsia="仿宋_GB2312" w:cs="仿宋"/>
          <w:b/>
          <w:color w:val="000000"/>
          <w:kern w:val="0"/>
          <w:sz w:val="24"/>
          <w:szCs w:val="24"/>
          <w:shd w:val="clear" w:color="auto" w:fill="FFFFFF"/>
        </w:rPr>
        <w:t xml:space="preserve">与拔尖学生培养计划和一流本科课程建设的衔接。 </w:t>
      </w:r>
      <w:r>
        <w:rPr>
          <w:rFonts w:hint="eastAsia" w:ascii="仿宋_GB2312" w:hAnsi="宋体" w:eastAsia="仿宋_GB2312" w:cs="仿宋"/>
          <w:bCs/>
          <w:color w:val="000000"/>
          <w:kern w:val="0"/>
          <w:sz w:val="24"/>
          <w:szCs w:val="24"/>
          <w:shd w:val="clear" w:color="auto" w:fill="FFFFFF"/>
        </w:rPr>
        <w:t>本设备支撑的地质学类实验项目，应纳入学校拔尖学生培养基地和国家级一流本科课程建设的统一规划，确保实验教学大纲更新、学时分配和教学质量评估等环节与设备购置同步推进，避免出现“设备到位、课程未跟上”的脱节问题。</w:t>
      </w:r>
    </w:p>
    <w:p w14:paraId="4206B2F7">
      <w:pPr>
        <w:widowControl/>
        <w:spacing w:line="360" w:lineRule="auto"/>
        <w:ind w:left="731" w:firstLine="482" w:firstLineChars="200"/>
        <w:jc w:val="left"/>
        <w:rPr>
          <w:rFonts w:ascii="仿宋_GB2312" w:hAnsi="宋体" w:eastAsia="仿宋_GB2312" w:cs="仿宋"/>
          <w:bCs/>
          <w:color w:val="000000"/>
          <w:kern w:val="0"/>
          <w:sz w:val="24"/>
          <w:szCs w:val="24"/>
          <w:shd w:val="clear" w:color="auto" w:fill="FFFFFF"/>
        </w:rPr>
      </w:pPr>
      <w:r>
        <w:rPr>
          <w:rFonts w:hint="eastAsia" w:ascii="仿宋_GB2312" w:hAnsi="宋体" w:eastAsia="仿宋_GB2312" w:cs="仿宋"/>
          <w:b/>
          <w:color w:val="000000"/>
          <w:kern w:val="0"/>
          <w:sz w:val="24"/>
          <w:szCs w:val="24"/>
          <w:shd w:val="clear" w:color="auto" w:fill="FFFFFF"/>
        </w:rPr>
        <w:t>与老旧设备处置工作的时序配合。</w:t>
      </w:r>
      <w:r>
        <w:rPr>
          <w:rFonts w:hint="eastAsia" w:ascii="仿宋_GB2312" w:hAnsi="宋体" w:eastAsia="仿宋_GB2312" w:cs="仿宋"/>
          <w:bCs/>
          <w:color w:val="000000"/>
          <w:kern w:val="0"/>
          <w:sz w:val="24"/>
          <w:szCs w:val="24"/>
          <w:shd w:val="clear" w:color="auto" w:fill="FFFFFF"/>
        </w:rPr>
        <w:t xml:space="preserve"> 新设备采购到货后，需在安装调试前完成现有设备的报废处置和机房腾挪工作。应提前启动国有资产报废鉴定和处置程序，确保新老设备切换无缝衔接，不影响教学科研的正常运行秩序。</w:t>
      </w:r>
    </w:p>
    <w:p w14:paraId="3F7BC8C0">
      <w:pPr>
        <w:widowControl/>
        <w:ind w:firstLine="643" w:firstLineChars="200"/>
        <w:jc w:val="left"/>
        <w:rPr>
          <w:rFonts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二、主要标的</w:t>
      </w:r>
    </w:p>
    <w:p w14:paraId="176CB7C9">
      <w:pPr>
        <w:spacing w:after="156" w:afterLines="50" w:line="360" w:lineRule="auto"/>
        <w:ind w:firstLine="480" w:firstLineChars="200"/>
        <w:rPr>
          <w:rFonts w:ascii="仿宋_GB2312" w:hAnsi="宋体" w:eastAsia="仿宋_GB2312"/>
          <w:sz w:val="24"/>
          <w:szCs w:val="24"/>
        </w:rPr>
      </w:pPr>
      <w:r>
        <w:rPr>
          <w:rFonts w:hint="eastAsia" w:ascii="仿宋_GB2312" w:hAnsi="宋体" w:eastAsia="仿宋_GB2312"/>
          <w:sz w:val="24"/>
          <w:szCs w:val="24"/>
        </w:rPr>
        <w:t>货物：</w:t>
      </w:r>
      <w:r>
        <w:rPr>
          <w:rFonts w:hint="eastAsia" w:ascii="仿宋_GB2312" w:hAnsi="宋体" w:eastAsia="仿宋_GB2312"/>
          <w:b/>
          <w:sz w:val="24"/>
          <w:szCs w:val="24"/>
        </w:rPr>
        <w:t xml:space="preserve">是否属于科研活动相关采购 </w:t>
      </w:r>
      <w:r>
        <w:rPr>
          <w:rFonts w:hint="eastAsia" w:ascii="仿宋_GB2312" w:hAnsi="宋体" w:eastAsia="仿宋_GB2312"/>
          <w:b/>
          <w:sz w:val="24"/>
          <w:szCs w:val="24"/>
        </w:rPr>
        <w:sym w:font="Wingdings 2" w:char="00A3"/>
      </w:r>
      <w:r>
        <w:rPr>
          <w:rFonts w:hint="eastAsia" w:ascii="仿宋_GB2312" w:hAnsi="宋体" w:eastAsia="仿宋_GB2312"/>
          <w:b/>
          <w:sz w:val="24"/>
          <w:szCs w:val="24"/>
        </w:rPr>
        <w:t xml:space="preserve">是 </w:t>
      </w:r>
      <w:r>
        <w:rPr>
          <w:rFonts w:hint="eastAsia" w:ascii="仿宋_GB2312" w:hAnsi="宋体" w:eastAsia="仿宋_GB2312"/>
          <w:b/>
          <w:sz w:val="24"/>
          <w:szCs w:val="24"/>
        </w:rPr>
        <w:sym w:font="Wingdings 2" w:char="0052"/>
      </w:r>
      <w:r>
        <w:rPr>
          <w:rFonts w:hint="eastAsia" w:ascii="仿宋_GB2312" w:hAnsi="宋体" w:eastAsia="仿宋_GB2312"/>
          <w:b/>
          <w:sz w:val="24"/>
          <w:szCs w:val="24"/>
        </w:rPr>
        <w:t>否</w:t>
      </w:r>
    </w:p>
    <w:tbl>
      <w:tblPr>
        <w:tblStyle w:val="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9"/>
        <w:gridCol w:w="815"/>
        <w:gridCol w:w="1362"/>
        <w:gridCol w:w="907"/>
        <w:gridCol w:w="790"/>
        <w:gridCol w:w="1777"/>
        <w:gridCol w:w="844"/>
        <w:gridCol w:w="1203"/>
      </w:tblGrid>
      <w:tr w14:paraId="3E361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87" w:type="pct"/>
            <w:vAlign w:val="center"/>
          </w:tcPr>
          <w:p w14:paraId="40D345A1">
            <w:pPr>
              <w:spacing w:line="360" w:lineRule="auto"/>
              <w:jc w:val="center"/>
              <w:rPr>
                <w:rFonts w:ascii="仿宋_GB2312" w:hAnsi="宋体" w:eastAsia="仿宋_GB2312"/>
                <w:b/>
                <w:sz w:val="24"/>
                <w:szCs w:val="24"/>
              </w:rPr>
            </w:pPr>
            <w:r>
              <w:rPr>
                <w:rFonts w:hint="eastAsia" w:ascii="仿宋_GB2312" w:hAnsi="宋体" w:eastAsia="仿宋_GB2312"/>
                <w:b/>
                <w:sz w:val="24"/>
                <w:szCs w:val="24"/>
              </w:rPr>
              <w:t>序号</w:t>
            </w:r>
          </w:p>
        </w:tc>
        <w:tc>
          <w:tcPr>
            <w:tcW w:w="485" w:type="pct"/>
            <w:vAlign w:val="center"/>
          </w:tcPr>
          <w:p w14:paraId="04230064">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货物</w:t>
            </w:r>
          </w:p>
          <w:p w14:paraId="4DD2BA12">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名称</w:t>
            </w:r>
          </w:p>
        </w:tc>
        <w:tc>
          <w:tcPr>
            <w:tcW w:w="806" w:type="pct"/>
            <w:vAlign w:val="center"/>
          </w:tcPr>
          <w:p w14:paraId="283911CB">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是否接受进口产品</w:t>
            </w:r>
          </w:p>
        </w:tc>
        <w:tc>
          <w:tcPr>
            <w:tcW w:w="539" w:type="pct"/>
            <w:vAlign w:val="center"/>
          </w:tcPr>
          <w:p w14:paraId="306C56A3">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单位</w:t>
            </w:r>
          </w:p>
        </w:tc>
        <w:tc>
          <w:tcPr>
            <w:tcW w:w="470" w:type="pct"/>
            <w:vAlign w:val="center"/>
          </w:tcPr>
          <w:p w14:paraId="47448667">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数量</w:t>
            </w:r>
          </w:p>
        </w:tc>
        <w:tc>
          <w:tcPr>
            <w:tcW w:w="999" w:type="pct"/>
            <w:vAlign w:val="center"/>
          </w:tcPr>
          <w:p w14:paraId="2AE4F96E">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主要规格/性能</w:t>
            </w:r>
          </w:p>
        </w:tc>
        <w:tc>
          <w:tcPr>
            <w:tcW w:w="501" w:type="pct"/>
            <w:vAlign w:val="center"/>
          </w:tcPr>
          <w:p w14:paraId="2D41CCE6">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交货期</w:t>
            </w:r>
          </w:p>
        </w:tc>
        <w:tc>
          <w:tcPr>
            <w:tcW w:w="712" w:type="pct"/>
            <w:vAlign w:val="center"/>
          </w:tcPr>
          <w:p w14:paraId="505E6886">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是否为</w:t>
            </w:r>
          </w:p>
          <w:p w14:paraId="50DCB5C5">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核心产品</w:t>
            </w:r>
          </w:p>
        </w:tc>
      </w:tr>
      <w:tr w14:paraId="7260E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87" w:type="pct"/>
            <w:vAlign w:val="center"/>
          </w:tcPr>
          <w:p w14:paraId="3D5AE965">
            <w:pPr>
              <w:spacing w:line="360" w:lineRule="auto"/>
              <w:jc w:val="center"/>
              <w:rPr>
                <w:rFonts w:ascii="仿宋_GB2312" w:hAnsi="宋体" w:eastAsia="仿宋_GB2312"/>
                <w:sz w:val="24"/>
                <w:szCs w:val="24"/>
              </w:rPr>
            </w:pPr>
            <w:r>
              <w:rPr>
                <w:rFonts w:hint="eastAsia" w:ascii="仿宋_GB2312" w:hAnsi="宋体" w:eastAsia="仿宋_GB2312"/>
                <w:sz w:val="24"/>
                <w:szCs w:val="24"/>
              </w:rPr>
              <w:t>1</w:t>
            </w:r>
          </w:p>
        </w:tc>
        <w:tc>
          <w:tcPr>
            <w:tcW w:w="485" w:type="pct"/>
            <w:vAlign w:val="center"/>
          </w:tcPr>
          <w:p w14:paraId="63B8922B">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共聚焦显微激光拉曼光谱仪</w:t>
            </w:r>
          </w:p>
        </w:tc>
        <w:tc>
          <w:tcPr>
            <w:tcW w:w="806" w:type="pct"/>
            <w:vAlign w:val="center"/>
          </w:tcPr>
          <w:p w14:paraId="3ACC6A97">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否</w:t>
            </w:r>
          </w:p>
        </w:tc>
        <w:tc>
          <w:tcPr>
            <w:tcW w:w="539" w:type="pct"/>
            <w:vAlign w:val="center"/>
          </w:tcPr>
          <w:p w14:paraId="4F21FD12">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台</w:t>
            </w:r>
          </w:p>
        </w:tc>
        <w:tc>
          <w:tcPr>
            <w:tcW w:w="470" w:type="pct"/>
            <w:vAlign w:val="center"/>
          </w:tcPr>
          <w:p w14:paraId="65F669B0">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1</w:t>
            </w:r>
          </w:p>
        </w:tc>
        <w:tc>
          <w:tcPr>
            <w:tcW w:w="999" w:type="pct"/>
          </w:tcPr>
          <w:p w14:paraId="39417016">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(1)自动切换532nm(50mW)和785nm(100mW)激光器。（2）灵敏度：硅三阶峰的信噪比好于40:1，并能观察到四阶峰。（3）光谱分辨率全谱段小于1cm</w:t>
            </w:r>
            <w:r>
              <w:rPr>
                <w:rFonts w:hint="eastAsia" w:ascii="仿宋_GB2312" w:hAnsi="宋体" w:eastAsia="仿宋_GB2312"/>
                <w:sz w:val="24"/>
                <w:szCs w:val="24"/>
                <w:vertAlign w:val="superscript"/>
              </w:rPr>
              <w:t>-1</w:t>
            </w:r>
            <w:r>
              <w:rPr>
                <w:rFonts w:hint="eastAsia" w:ascii="仿宋_GB2312" w:hAnsi="宋体" w:eastAsia="仿宋_GB2312"/>
                <w:sz w:val="24"/>
                <w:szCs w:val="24"/>
              </w:rPr>
              <w:t>。（4）光谱重现性：优于0.02 cm</w:t>
            </w:r>
            <w:r>
              <w:rPr>
                <w:rFonts w:hint="eastAsia" w:ascii="仿宋_GB2312" w:hAnsi="宋体" w:eastAsia="仿宋_GB2312"/>
                <w:sz w:val="24"/>
                <w:szCs w:val="24"/>
                <w:vertAlign w:val="superscript"/>
              </w:rPr>
              <w:t>-1</w:t>
            </w:r>
            <w:r>
              <w:rPr>
                <w:rFonts w:hint="eastAsia" w:ascii="仿宋_GB2312" w:hAnsi="宋体" w:eastAsia="仿宋_GB2312"/>
                <w:sz w:val="24"/>
                <w:szCs w:val="24"/>
              </w:rPr>
              <w:t>。（5）空间分辨率：横向分辨率优于0.3微米，光轴方向纵向分辨率优于1微米，共焦深度连续可调。（6）高自动化功能：具备全自动切换功能，包括对激光波长、光栅、滤光片的切换；具备全自动校准功能，包括激光光路自动校准，信号光路自动校准，谱峰位置自动校准等。</w:t>
            </w:r>
          </w:p>
        </w:tc>
        <w:tc>
          <w:tcPr>
            <w:tcW w:w="501" w:type="pct"/>
          </w:tcPr>
          <w:p w14:paraId="1E75CC18">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合同签订后90天内交货并完成安装调试</w:t>
            </w:r>
          </w:p>
        </w:tc>
        <w:tc>
          <w:tcPr>
            <w:tcW w:w="712" w:type="pct"/>
            <w:vAlign w:val="center"/>
          </w:tcPr>
          <w:p w14:paraId="28236EDD">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是</w:t>
            </w:r>
          </w:p>
        </w:tc>
      </w:tr>
      <w:tr w14:paraId="41B9C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87" w:type="pct"/>
            <w:vAlign w:val="center"/>
          </w:tcPr>
          <w:p w14:paraId="0B571667">
            <w:pPr>
              <w:spacing w:line="360" w:lineRule="auto"/>
              <w:jc w:val="center"/>
              <w:rPr>
                <w:rFonts w:ascii="仿宋_GB2312" w:hAnsi="宋体" w:eastAsia="仿宋_GB2312"/>
                <w:sz w:val="24"/>
                <w:szCs w:val="24"/>
              </w:rPr>
            </w:pPr>
            <w:r>
              <w:rPr>
                <w:rFonts w:hint="eastAsia" w:ascii="仿宋_GB2312" w:hAnsi="宋体" w:eastAsia="仿宋_GB2312"/>
                <w:sz w:val="24"/>
                <w:szCs w:val="24"/>
              </w:rPr>
              <w:t>2</w:t>
            </w:r>
          </w:p>
        </w:tc>
        <w:tc>
          <w:tcPr>
            <w:tcW w:w="485" w:type="pct"/>
            <w:vAlign w:val="center"/>
          </w:tcPr>
          <w:p w14:paraId="270336C6">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高速高分辨率共聚焦显微激光拉曼光谱仪</w:t>
            </w:r>
          </w:p>
        </w:tc>
        <w:tc>
          <w:tcPr>
            <w:tcW w:w="806" w:type="pct"/>
            <w:vAlign w:val="center"/>
          </w:tcPr>
          <w:p w14:paraId="41591D1A">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否</w:t>
            </w:r>
          </w:p>
        </w:tc>
        <w:tc>
          <w:tcPr>
            <w:tcW w:w="539" w:type="pct"/>
            <w:vAlign w:val="center"/>
          </w:tcPr>
          <w:p w14:paraId="12BE39C0">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台</w:t>
            </w:r>
          </w:p>
        </w:tc>
        <w:tc>
          <w:tcPr>
            <w:tcW w:w="470" w:type="pct"/>
            <w:vAlign w:val="center"/>
          </w:tcPr>
          <w:p w14:paraId="26BA4348">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1</w:t>
            </w:r>
          </w:p>
        </w:tc>
        <w:tc>
          <w:tcPr>
            <w:tcW w:w="999" w:type="pct"/>
          </w:tcPr>
          <w:p w14:paraId="33D2AE26">
            <w:pPr>
              <w:widowControl/>
              <w:spacing w:line="360" w:lineRule="auto"/>
              <w:rPr>
                <w:rFonts w:ascii="仿宋_GB2312" w:hAnsi="宋体" w:eastAsia="仿宋_GB2312"/>
                <w:sz w:val="24"/>
                <w:szCs w:val="24"/>
              </w:rPr>
            </w:pPr>
            <w:r>
              <w:rPr>
                <w:rFonts w:hint="eastAsia" w:ascii="仿宋_GB2312" w:hAnsi="宋体" w:eastAsia="仿宋_GB2312"/>
                <w:sz w:val="24"/>
                <w:szCs w:val="24"/>
              </w:rPr>
              <w:t xml:space="preserve">①光谱覆盖范围：50 </w:t>
            </w:r>
            <w:r>
              <w:rPr>
                <w:rFonts w:ascii="仿宋_GB2312" w:hAnsi="宋体" w:eastAsia="仿宋_GB2312"/>
                <w:sz w:val="24"/>
                <w:szCs w:val="24"/>
              </w:rPr>
              <w:t>–</w:t>
            </w:r>
            <w:r>
              <w:rPr>
                <w:rFonts w:hint="eastAsia" w:ascii="仿宋_GB2312" w:hAnsi="宋体" w:eastAsia="仿宋_GB2312"/>
                <w:sz w:val="24"/>
                <w:szCs w:val="24"/>
              </w:rPr>
              <w:t xml:space="preserve"> 4000</w:t>
            </w:r>
            <w:r>
              <w:rPr>
                <w:rFonts w:ascii="仿宋_GB2312" w:hAnsi="宋体" w:eastAsia="仿宋_GB2312"/>
                <w:sz w:val="24"/>
                <w:szCs w:val="24"/>
              </w:rPr>
              <w:t xml:space="preserve"> </w:t>
            </w:r>
            <w:r>
              <w:rPr>
                <w:rFonts w:hint="eastAsia" w:ascii="仿宋_GB2312" w:hAnsi="宋体" w:eastAsia="仿宋_GB2312"/>
                <w:sz w:val="24"/>
                <w:szCs w:val="24"/>
              </w:rPr>
              <w:t>cm</w:t>
            </w:r>
            <w:r>
              <w:rPr>
                <w:rFonts w:hint="eastAsia" w:ascii="仿宋_GB2312" w:hAnsi="宋体" w:eastAsia="仿宋_GB2312"/>
                <w:sz w:val="24"/>
                <w:szCs w:val="24"/>
                <w:vertAlign w:val="superscript"/>
              </w:rPr>
              <w:t>-1</w:t>
            </w:r>
            <w:r>
              <w:rPr>
                <w:rFonts w:hint="eastAsia" w:ascii="仿宋_GB2312" w:hAnsi="宋体" w:eastAsia="仿宋_GB2312"/>
                <w:sz w:val="24"/>
                <w:szCs w:val="24"/>
              </w:rPr>
              <w:t>。</w:t>
            </w:r>
          </w:p>
          <w:p w14:paraId="346FB3DC">
            <w:pPr>
              <w:widowControl/>
              <w:spacing w:line="360" w:lineRule="auto"/>
              <w:rPr>
                <w:rFonts w:ascii="仿宋_GB2312" w:hAnsi="宋体" w:eastAsia="仿宋_GB2312"/>
                <w:sz w:val="24"/>
                <w:szCs w:val="24"/>
              </w:rPr>
            </w:pPr>
            <w:r>
              <w:rPr>
                <w:rFonts w:hint="eastAsia" w:ascii="仿宋_GB2312" w:hAnsi="宋体" w:eastAsia="仿宋_GB2312"/>
                <w:sz w:val="24"/>
                <w:szCs w:val="24"/>
              </w:rPr>
              <w:t>②光谱仪焦长 &gt;300</w:t>
            </w:r>
            <w:r>
              <w:rPr>
                <w:rFonts w:ascii="仿宋_GB2312" w:hAnsi="宋体" w:eastAsia="仿宋_GB2312"/>
                <w:sz w:val="24"/>
                <w:szCs w:val="24"/>
              </w:rPr>
              <w:t xml:space="preserve"> </w:t>
            </w:r>
            <w:r>
              <w:rPr>
                <w:rFonts w:hint="eastAsia" w:ascii="仿宋_GB2312" w:hAnsi="宋体" w:eastAsia="仿宋_GB2312"/>
                <w:sz w:val="24"/>
                <w:szCs w:val="24"/>
              </w:rPr>
              <w:t>mm，高分辨率兼顾高灵敏度，光谱分辨率：≤0.7 cm</w:t>
            </w:r>
            <w:r>
              <w:rPr>
                <w:rFonts w:hint="eastAsia" w:ascii="仿宋_GB2312" w:hAnsi="宋体" w:eastAsia="仿宋_GB2312"/>
                <w:sz w:val="24"/>
                <w:szCs w:val="24"/>
                <w:vertAlign w:val="superscript"/>
              </w:rPr>
              <w:t>-1</w:t>
            </w:r>
            <w:r>
              <w:rPr>
                <w:rFonts w:hint="eastAsia" w:ascii="仿宋_GB2312" w:hAnsi="宋体" w:eastAsia="仿宋_GB2312"/>
                <w:sz w:val="24"/>
                <w:szCs w:val="24"/>
              </w:rPr>
              <w:t>，单晶硅三阶峰的信噪比优于40:1，可观察到四阶峰，仪器波数稳定性≤0.02</w:t>
            </w:r>
            <w:r>
              <w:rPr>
                <w:rFonts w:ascii="仿宋_GB2312" w:hAnsi="宋体" w:eastAsia="仿宋_GB2312"/>
                <w:sz w:val="24"/>
                <w:szCs w:val="24"/>
              </w:rPr>
              <w:t xml:space="preserve"> </w:t>
            </w:r>
            <w:r>
              <w:rPr>
                <w:rFonts w:hint="eastAsia" w:ascii="仿宋_GB2312" w:hAnsi="宋体" w:eastAsia="仿宋_GB2312"/>
                <w:sz w:val="24"/>
                <w:szCs w:val="24"/>
              </w:rPr>
              <w:t>cm</w:t>
            </w:r>
            <w:r>
              <w:rPr>
                <w:rFonts w:hint="eastAsia" w:ascii="仿宋_GB2312" w:hAnsi="宋体" w:eastAsia="仿宋_GB2312"/>
                <w:sz w:val="24"/>
                <w:szCs w:val="24"/>
                <w:vertAlign w:val="superscript"/>
              </w:rPr>
              <w:t>-1</w:t>
            </w:r>
            <w:r>
              <w:rPr>
                <w:rFonts w:hint="eastAsia" w:ascii="仿宋_GB2312" w:hAnsi="宋体" w:eastAsia="仿宋_GB2312"/>
                <w:sz w:val="24"/>
                <w:szCs w:val="24"/>
              </w:rPr>
              <w:t>（100次测量单晶硅520</w:t>
            </w:r>
            <w:r>
              <w:rPr>
                <w:rFonts w:ascii="仿宋_GB2312" w:hAnsi="宋体" w:eastAsia="仿宋_GB2312"/>
                <w:sz w:val="24"/>
                <w:szCs w:val="24"/>
              </w:rPr>
              <w:t xml:space="preserve"> </w:t>
            </w:r>
            <w:r>
              <w:rPr>
                <w:rFonts w:hint="eastAsia" w:ascii="仿宋_GB2312" w:hAnsi="宋体" w:eastAsia="仿宋_GB2312"/>
                <w:sz w:val="24"/>
                <w:szCs w:val="24"/>
              </w:rPr>
              <w:t>cm</w:t>
            </w:r>
            <w:r>
              <w:rPr>
                <w:rFonts w:hint="eastAsia" w:ascii="仿宋_GB2312" w:hAnsi="宋体" w:eastAsia="仿宋_GB2312"/>
                <w:sz w:val="24"/>
                <w:szCs w:val="24"/>
                <w:vertAlign w:val="superscript"/>
              </w:rPr>
              <w:t>-1</w:t>
            </w:r>
            <w:r>
              <w:rPr>
                <w:rFonts w:hint="eastAsia" w:ascii="仿宋_GB2312" w:hAnsi="宋体" w:eastAsia="仿宋_GB2312"/>
                <w:sz w:val="24"/>
                <w:szCs w:val="24"/>
              </w:rPr>
              <w:t>拉曼峰）。</w:t>
            </w:r>
          </w:p>
          <w:p w14:paraId="3C53C069">
            <w:pPr>
              <w:widowControl/>
              <w:spacing w:line="360" w:lineRule="auto"/>
              <w:rPr>
                <w:rFonts w:ascii="仿宋_GB2312" w:hAnsi="宋体" w:eastAsia="仿宋_GB2312"/>
                <w:sz w:val="24"/>
                <w:szCs w:val="24"/>
              </w:rPr>
            </w:pPr>
            <w:r>
              <w:rPr>
                <w:rFonts w:hint="eastAsia" w:ascii="仿宋_GB2312" w:hAnsi="宋体" w:eastAsia="仿宋_GB2312"/>
                <w:sz w:val="24"/>
                <w:szCs w:val="24"/>
              </w:rPr>
              <w:t>③具有快速成像、自动聚焦成像功能，最大光谱速率≥500,000 条/秒，成像横向空间分辨率≤1000nm，纵向空间分辨率≤2000nm，成像光谱具有高信噪比，噪声低于2000 counts/s。</w:t>
            </w:r>
          </w:p>
          <w:p w14:paraId="74094C8A">
            <w:pPr>
              <w:widowControl/>
              <w:spacing w:line="360" w:lineRule="auto"/>
              <w:rPr>
                <w:rFonts w:ascii="仿宋_GB2312" w:hAnsi="宋体" w:eastAsia="仿宋_GB2312"/>
                <w:sz w:val="24"/>
                <w:szCs w:val="24"/>
              </w:rPr>
            </w:pPr>
            <w:r>
              <w:rPr>
                <w:rFonts w:hint="eastAsia" w:ascii="仿宋_GB2312" w:hAnsi="宋体" w:eastAsia="仿宋_GB2312"/>
                <w:sz w:val="24"/>
                <w:szCs w:val="24"/>
              </w:rPr>
              <w:t>④至少包含两个激光器：（1）用于高分辨率光谱采集的CW激光器，激发波长532 ± 0.5 nm，功率≥200 mW；（2）（可选配置）用于快速拉曼成像的皮秒脉冲激光器，功率≥200 mW，脉冲宽度≤500 ps，重复频率：1 MHz;（3）配备双通道单光子探测器（基于SiPM，具备光子计数模式，可实现单光子级别检测灵敏度）。</w:t>
            </w:r>
          </w:p>
          <w:p w14:paraId="23CA4684">
            <w:pPr>
              <w:widowControl/>
              <w:spacing w:line="360" w:lineRule="auto"/>
              <w:rPr>
                <w:rFonts w:ascii="仿宋_GB2312" w:hAnsi="宋体" w:eastAsia="仿宋_GB2312"/>
                <w:sz w:val="24"/>
                <w:szCs w:val="24"/>
              </w:rPr>
            </w:pPr>
            <w:r>
              <w:rPr>
                <w:rFonts w:hint="eastAsia" w:ascii="仿宋_GB2312" w:hAnsi="宋体" w:eastAsia="仿宋_GB2312"/>
                <w:sz w:val="24"/>
                <w:szCs w:val="24"/>
              </w:rPr>
              <w:t>⑤全电动激光扫描共聚焦拉曼显微镜，配备拉曼门控，可实现时间分辨拉曼采集，有效抑制荧光背景”。配备第二显微镜，两个显微镜可分别开展镜下包裹体等样品的拉曼光谱采集、配备至少3个物镜（10x物镜，NA0.3,工作距离大于17mm;20x物镜，NA0.45，工作距离大于4mm;50Lx物镜，NA0.6,工作距离大于10mm）。</w:t>
            </w:r>
          </w:p>
          <w:p w14:paraId="21FFFD83">
            <w:pPr>
              <w:widowControl/>
              <w:spacing w:line="360" w:lineRule="auto"/>
              <w:rPr>
                <w:rFonts w:ascii="仿宋_GB2312" w:hAnsi="宋体" w:eastAsia="仿宋_GB2312"/>
                <w:sz w:val="24"/>
                <w:szCs w:val="24"/>
              </w:rPr>
            </w:pPr>
            <w:r>
              <w:rPr>
                <w:rFonts w:hint="eastAsia" w:ascii="仿宋_GB2312" w:hAnsi="宋体" w:eastAsia="仿宋_GB2312"/>
                <w:sz w:val="24"/>
                <w:szCs w:val="24"/>
              </w:rPr>
              <w:t>⑥配备X-Y电动载物台，行程≥100 mm × 100 mm，精度≤1 µm，Z轴电动行程＞20 mm，最小步进≤50 nm。</w:t>
            </w:r>
          </w:p>
          <w:p w14:paraId="74AD4FF8">
            <w:pPr>
              <w:widowControl/>
              <w:spacing w:line="360" w:lineRule="auto"/>
              <w:rPr>
                <w:rFonts w:ascii="仿宋_GB2312" w:hAnsi="宋体" w:eastAsia="仿宋_GB2312"/>
                <w:sz w:val="24"/>
                <w:szCs w:val="24"/>
              </w:rPr>
            </w:pPr>
            <w:r>
              <w:rPr>
                <w:rFonts w:hint="eastAsia" w:ascii="仿宋_GB2312" w:hAnsi="宋体" w:eastAsia="仿宋_GB2312"/>
                <w:sz w:val="24"/>
                <w:szCs w:val="24"/>
              </w:rPr>
              <w:t>⑦内置光栅≥三个光栅，包括300，600，1800刻线。</w:t>
            </w:r>
          </w:p>
          <w:p w14:paraId="37E1E4F1">
            <w:pPr>
              <w:widowControl/>
              <w:spacing w:line="360" w:lineRule="auto"/>
              <w:rPr>
                <w:rFonts w:ascii="仿宋_GB2312" w:hAnsi="宋体" w:eastAsia="仿宋_GB2312"/>
                <w:sz w:val="24"/>
                <w:szCs w:val="24"/>
              </w:rPr>
            </w:pPr>
            <w:r>
              <w:rPr>
                <w:rFonts w:hint="eastAsia" w:ascii="仿宋_GB2312" w:hAnsi="宋体" w:eastAsia="仿宋_GB2312"/>
                <w:sz w:val="24"/>
                <w:szCs w:val="24"/>
              </w:rPr>
              <w:t>⑧配备准确控制样品温度的冷热台（温度控制范围：-170~500°C，在-80~50°C范围内的温控精度≤0.1°C，其他范围温控精度≤1°C）。</w:t>
            </w:r>
          </w:p>
          <w:p w14:paraId="52B3F467">
            <w:pPr>
              <w:widowControl/>
              <w:spacing w:line="360" w:lineRule="auto"/>
              <w:jc w:val="center"/>
              <w:rPr>
                <w:rFonts w:ascii="仿宋_GB2312" w:hAnsi="宋体" w:eastAsia="仿宋_GB2312"/>
                <w:sz w:val="24"/>
                <w:szCs w:val="24"/>
              </w:rPr>
            </w:pPr>
            <w:r>
              <w:rPr>
                <w:rFonts w:hint="eastAsia" w:ascii="微软雅黑" w:hAnsi="微软雅黑" w:eastAsia="微软雅黑" w:cs="微软雅黑"/>
                <w:sz w:val="24"/>
                <w:szCs w:val="24"/>
              </w:rPr>
              <w:t>⑨</w:t>
            </w:r>
            <w:r>
              <w:rPr>
                <w:rFonts w:hint="eastAsia" w:ascii="仿宋_GB2312" w:hAnsi="宋体" w:eastAsia="仿宋_GB2312"/>
                <w:sz w:val="24"/>
                <w:szCs w:val="24"/>
              </w:rPr>
              <w:t>配备数据处理系统一套，配置要求性能不低于：CPU≥16 核， ≥24 线程；≥64G 内存，≥2T 硬盘，≥27 英寸 LCD 显示器，Windows10 以上操作系统。集成一体化控制成像分析软件，配置激光拖曳功能，激光光斑跟随鼠标，可实时分析鼠标处光谱，无须移动位移台，一体化电控触控屏。</w:t>
            </w:r>
          </w:p>
        </w:tc>
        <w:tc>
          <w:tcPr>
            <w:tcW w:w="501" w:type="pct"/>
          </w:tcPr>
          <w:p w14:paraId="5CB3E5B0">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合同签订后90天内交货并完成安装调试</w:t>
            </w:r>
          </w:p>
        </w:tc>
        <w:tc>
          <w:tcPr>
            <w:tcW w:w="712" w:type="pct"/>
            <w:vAlign w:val="center"/>
          </w:tcPr>
          <w:p w14:paraId="7C7F7BB5">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是</w:t>
            </w:r>
          </w:p>
        </w:tc>
      </w:tr>
      <w:tr w14:paraId="21BD8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87" w:type="pct"/>
            <w:vAlign w:val="center"/>
          </w:tcPr>
          <w:p w14:paraId="0F56C96A">
            <w:pPr>
              <w:spacing w:line="360" w:lineRule="auto"/>
              <w:jc w:val="center"/>
              <w:rPr>
                <w:rFonts w:ascii="仿宋_GB2312" w:hAnsi="宋体" w:eastAsia="仿宋_GB2312"/>
                <w:sz w:val="24"/>
                <w:szCs w:val="24"/>
              </w:rPr>
            </w:pPr>
          </w:p>
        </w:tc>
        <w:tc>
          <w:tcPr>
            <w:tcW w:w="485" w:type="pct"/>
            <w:vAlign w:val="center"/>
          </w:tcPr>
          <w:p w14:paraId="0F799751">
            <w:pPr>
              <w:widowControl/>
              <w:spacing w:line="360" w:lineRule="auto"/>
              <w:jc w:val="center"/>
              <w:rPr>
                <w:rFonts w:ascii="仿宋_GB2312" w:hAnsi="宋体" w:eastAsia="仿宋_GB2312"/>
                <w:sz w:val="24"/>
                <w:szCs w:val="24"/>
              </w:rPr>
            </w:pPr>
          </w:p>
        </w:tc>
        <w:tc>
          <w:tcPr>
            <w:tcW w:w="806" w:type="pct"/>
            <w:vAlign w:val="center"/>
          </w:tcPr>
          <w:p w14:paraId="46AEAD8E">
            <w:pPr>
              <w:widowControl/>
              <w:spacing w:line="360" w:lineRule="auto"/>
              <w:jc w:val="center"/>
              <w:rPr>
                <w:rFonts w:ascii="仿宋_GB2312" w:hAnsi="宋体" w:eastAsia="仿宋_GB2312"/>
                <w:sz w:val="24"/>
                <w:szCs w:val="24"/>
              </w:rPr>
            </w:pPr>
          </w:p>
        </w:tc>
        <w:tc>
          <w:tcPr>
            <w:tcW w:w="539" w:type="pct"/>
            <w:vAlign w:val="center"/>
          </w:tcPr>
          <w:p w14:paraId="36450417">
            <w:pPr>
              <w:widowControl/>
              <w:spacing w:line="360" w:lineRule="auto"/>
              <w:jc w:val="center"/>
              <w:rPr>
                <w:rFonts w:ascii="仿宋_GB2312" w:hAnsi="宋体" w:eastAsia="仿宋_GB2312"/>
                <w:sz w:val="24"/>
                <w:szCs w:val="24"/>
              </w:rPr>
            </w:pPr>
          </w:p>
        </w:tc>
        <w:tc>
          <w:tcPr>
            <w:tcW w:w="470" w:type="pct"/>
            <w:vAlign w:val="center"/>
          </w:tcPr>
          <w:p w14:paraId="10BAC897">
            <w:pPr>
              <w:widowControl/>
              <w:spacing w:line="360" w:lineRule="auto"/>
              <w:jc w:val="center"/>
              <w:rPr>
                <w:rFonts w:ascii="仿宋_GB2312" w:hAnsi="宋体" w:eastAsia="仿宋_GB2312"/>
                <w:sz w:val="24"/>
                <w:szCs w:val="24"/>
              </w:rPr>
            </w:pPr>
          </w:p>
        </w:tc>
        <w:tc>
          <w:tcPr>
            <w:tcW w:w="999" w:type="pct"/>
          </w:tcPr>
          <w:p w14:paraId="68AE0159">
            <w:pPr>
              <w:widowControl/>
              <w:spacing w:line="360" w:lineRule="auto"/>
              <w:jc w:val="center"/>
              <w:rPr>
                <w:rFonts w:ascii="仿宋_GB2312" w:hAnsi="宋体" w:eastAsia="仿宋_GB2312"/>
                <w:sz w:val="24"/>
                <w:szCs w:val="24"/>
              </w:rPr>
            </w:pPr>
          </w:p>
        </w:tc>
        <w:tc>
          <w:tcPr>
            <w:tcW w:w="501" w:type="pct"/>
          </w:tcPr>
          <w:p w14:paraId="7676B1E2">
            <w:pPr>
              <w:widowControl/>
              <w:spacing w:line="360" w:lineRule="auto"/>
              <w:jc w:val="center"/>
              <w:rPr>
                <w:rFonts w:ascii="仿宋_GB2312" w:hAnsi="宋体" w:eastAsia="仿宋_GB2312"/>
                <w:sz w:val="24"/>
                <w:szCs w:val="24"/>
              </w:rPr>
            </w:pPr>
          </w:p>
        </w:tc>
        <w:tc>
          <w:tcPr>
            <w:tcW w:w="712" w:type="pct"/>
            <w:vAlign w:val="center"/>
          </w:tcPr>
          <w:p w14:paraId="42932349">
            <w:pPr>
              <w:widowControl/>
              <w:spacing w:line="360" w:lineRule="auto"/>
              <w:jc w:val="center"/>
              <w:rPr>
                <w:rFonts w:ascii="仿宋_GB2312" w:hAnsi="宋体" w:eastAsia="仿宋_GB2312"/>
                <w:sz w:val="24"/>
                <w:szCs w:val="24"/>
              </w:rPr>
            </w:pPr>
          </w:p>
        </w:tc>
      </w:tr>
    </w:tbl>
    <w:p w14:paraId="0757CBA3">
      <w:pPr>
        <w:widowControl/>
        <w:ind w:firstLine="643" w:firstLineChars="200"/>
        <w:jc w:val="left"/>
        <w:rPr>
          <w:rFonts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三、技术要求</w:t>
      </w:r>
    </w:p>
    <w:p w14:paraId="04E0B316">
      <w:pPr>
        <w:widowControl/>
        <w:shd w:val="clear" w:color="auto" w:fill="FFFFFF"/>
        <w:spacing w:line="360" w:lineRule="auto"/>
        <w:ind w:firstLine="560" w:firstLineChars="200"/>
        <w:rPr>
          <w:rFonts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（一）共聚焦显微激光拉曼光谱仪（1台）</w:t>
      </w:r>
    </w:p>
    <w:p w14:paraId="21B3C51D">
      <w:pPr>
        <w:widowControl/>
        <w:shd w:val="clear" w:color="auto" w:fill="FFFFFF"/>
        <w:spacing w:line="360" w:lineRule="auto"/>
        <w:ind w:firstLine="482" w:firstLineChars="200"/>
        <w:jc w:val="left"/>
        <w:rPr>
          <w:rFonts w:ascii="仿宋_GB2312" w:hAnsi="宋体" w:eastAsia="仿宋_GB2312"/>
          <w:b/>
          <w:bCs/>
          <w:i/>
          <w:iCs/>
          <w:sz w:val="24"/>
          <w:szCs w:val="24"/>
        </w:rPr>
      </w:pPr>
      <w:r>
        <w:rPr>
          <w:rFonts w:hint="eastAsia" w:ascii="仿宋_GB2312" w:hAnsi="宋体" w:eastAsia="仿宋_GB2312"/>
          <w:b/>
          <w:bCs/>
          <w:sz w:val="24"/>
          <w:szCs w:val="24"/>
        </w:rPr>
        <w:t>1.功能要求：</w:t>
      </w:r>
      <w:r>
        <w:rPr>
          <w:rFonts w:hint="eastAsia" w:ascii="仿宋_GB2312" w:hAnsi="宋体" w:eastAsia="仿宋_GB2312"/>
          <w:b/>
          <w:bCs/>
          <w:i/>
          <w:iCs/>
          <w:sz w:val="24"/>
          <w:szCs w:val="24"/>
        </w:rPr>
        <w:t xml:space="preserve"> </w:t>
      </w:r>
    </w:p>
    <w:p w14:paraId="089DADA6">
      <w:pPr>
        <w:widowControl/>
        <w:shd w:val="clear" w:color="auto" w:fill="FFFFFF"/>
        <w:spacing w:line="360" w:lineRule="auto"/>
        <w:ind w:firstLine="480" w:firstLineChars="200"/>
        <w:rPr>
          <w:rFonts w:ascii="仿宋_GB2312" w:hAnsi="宋体" w:eastAsia="仿宋_GB2312"/>
          <w:sz w:val="24"/>
          <w:szCs w:val="24"/>
        </w:rPr>
      </w:pPr>
      <w:r>
        <w:rPr>
          <w:rFonts w:hint="eastAsia" w:ascii="仿宋_GB2312" w:hAnsi="宋体" w:eastAsia="仿宋_GB2312"/>
          <w:sz w:val="24"/>
          <w:szCs w:val="24"/>
        </w:rPr>
        <w:t>本设备用于支撑地质学、矿物学、岩石学及矿床学领域的教学与科研，重点服务于《矿物岩石学》、《勘查地球化学》、《地学现代测试技术》等本科课程实验，支持周口店、秭归等野外实习基地的样品原位分析，满足本科生、研究生论文研究的测试需求。</w:t>
      </w:r>
    </w:p>
    <w:p w14:paraId="241B710E">
      <w:pPr>
        <w:widowControl/>
        <w:shd w:val="clear" w:color="auto" w:fill="FFFFFF"/>
        <w:spacing w:line="360" w:lineRule="auto"/>
        <w:ind w:firstLine="480" w:firstLineChars="200"/>
        <w:rPr>
          <w:rFonts w:ascii="仿宋_GB2312" w:hAnsi="宋体" w:eastAsia="仿宋_GB2312"/>
          <w:sz w:val="24"/>
          <w:szCs w:val="24"/>
        </w:rPr>
      </w:pPr>
      <w:r>
        <w:rPr>
          <w:rFonts w:hint="eastAsia" w:ascii="仿宋_GB2312" w:hAnsi="宋体" w:eastAsia="仿宋_GB2312"/>
          <w:sz w:val="24"/>
          <w:szCs w:val="24"/>
        </w:rPr>
        <w:t>该设备能实现：矿物、包裹体、古生物壳层等固体地球科学样品的微区原位无损检测，解析晶体分子结构、化学键能及矿物相组成；精准测定微米级矿物包裹体的成分、结构与对称性，支撑超高压变质矿物（如柯石英、金刚石）、热液矿床矿物（如黄铁矿、方铅矿）的成因机制研究；结合扫描电镜、同位素定年等技术，构建“宏观形貌-微观成分-分子结构”的多尺度研究体系，为岩石圈演化、成矿规律等前沿课题提供高精度数据。</w:t>
      </w:r>
    </w:p>
    <w:p w14:paraId="4BCCDEF5">
      <w:pPr>
        <w:widowControl/>
        <w:shd w:val="clear" w:color="auto" w:fill="FFFFFF"/>
        <w:spacing w:line="360" w:lineRule="auto"/>
        <w:ind w:firstLine="480" w:firstLineChars="200"/>
        <w:rPr>
          <w:rFonts w:ascii="仿宋_GB2312" w:hAnsi="宋体" w:eastAsia="仿宋_GB2312"/>
          <w:color w:val="000000" w:themeColor="text1"/>
          <w:sz w:val="24"/>
          <w:szCs w:val="24"/>
          <w14:textFill>
            <w14:solidFill>
              <w14:schemeClr w14:val="tx1"/>
            </w14:solidFill>
          </w14:textFill>
        </w:rPr>
      </w:pPr>
      <w:r>
        <w:rPr>
          <w:rFonts w:hint="eastAsia" w:ascii="仿宋_GB2312" w:hAnsi="宋体" w:eastAsia="仿宋_GB2312"/>
          <w:color w:val="000000" w:themeColor="text1"/>
          <w:sz w:val="24"/>
          <w:szCs w:val="24"/>
          <w14:textFill>
            <w14:solidFill>
              <w14:schemeClr w14:val="tx1"/>
            </w14:solidFill>
          </w14:textFill>
        </w:rPr>
        <w:t>该设备应具备532nm/785nm双波长全自动切换激发能力，光谱分辨率优于1.0cm</w:t>
      </w:r>
      <w:r>
        <w:rPr>
          <w:rFonts w:hint="eastAsia" w:ascii="仿宋_GB2312" w:hAnsi="宋体" w:eastAsia="仿宋_GB2312"/>
          <w:color w:val="000000" w:themeColor="text1"/>
          <w:sz w:val="24"/>
          <w:szCs w:val="24"/>
          <w:vertAlign w:val="superscript"/>
          <w14:textFill>
            <w14:solidFill>
              <w14:schemeClr w14:val="tx1"/>
            </w14:solidFill>
          </w14:textFill>
        </w:rPr>
        <w:t>-1</w:t>
      </w:r>
      <w:r>
        <w:rPr>
          <w:rFonts w:hint="eastAsia" w:ascii="仿宋_GB2312" w:hAnsi="宋体" w:eastAsia="仿宋_GB2312"/>
          <w:color w:val="000000" w:themeColor="text1"/>
          <w:sz w:val="24"/>
          <w:szCs w:val="24"/>
          <w14:textFill>
            <w14:solidFill>
              <w14:schemeClr w14:val="tx1"/>
            </w14:solidFill>
          </w14:textFill>
        </w:rPr>
        <w:t>，横向空间分辨率≤300nm，纵向空间分辨率≤1000nm，可清晰识别硅四阶拉曼峰（信噪比≥40:1@1440 cm</w:t>
      </w:r>
      <w:r>
        <w:rPr>
          <w:rFonts w:hint="eastAsia" w:ascii="仿宋_GB2312" w:hAnsi="宋体" w:eastAsia="仿宋_GB2312"/>
          <w:color w:val="000000" w:themeColor="text1"/>
          <w:sz w:val="24"/>
          <w:szCs w:val="24"/>
          <w:vertAlign w:val="superscript"/>
          <w14:textFill>
            <w14:solidFill>
              <w14:schemeClr w14:val="tx1"/>
            </w14:solidFill>
          </w14:textFill>
        </w:rPr>
        <w:t>-1</w:t>
      </w:r>
      <w:r>
        <w:rPr>
          <w:rFonts w:hint="eastAsia" w:ascii="仿宋_GB2312" w:hAnsi="宋体" w:eastAsia="仿宋_GB2312"/>
          <w:color w:val="000000" w:themeColor="text1"/>
          <w:sz w:val="24"/>
          <w:szCs w:val="24"/>
          <w14:textFill>
            <w14:solidFill>
              <w14:schemeClr w14:val="tx1"/>
            </w14:solidFill>
          </w14:textFill>
        </w:rPr>
        <w:t>），满足地质样品微区精细分析需求。</w:t>
      </w:r>
    </w:p>
    <w:p w14:paraId="0D9231AD">
      <w:pPr>
        <w:widowControl/>
        <w:numPr>
          <w:ilvl w:val="0"/>
          <w:numId w:val="2"/>
        </w:numPr>
        <w:shd w:val="clear" w:color="auto" w:fill="FFFFFF"/>
        <w:spacing w:line="360" w:lineRule="auto"/>
        <w:ind w:firstLine="482" w:firstLineChars="200"/>
        <w:jc w:val="left"/>
        <w:rPr>
          <w:rFonts w:ascii="仿宋_GB2312" w:hAnsi="宋体" w:eastAsia="仿宋_GB2312"/>
          <w:b/>
          <w:bCs/>
          <w:sz w:val="24"/>
          <w:szCs w:val="24"/>
        </w:rPr>
      </w:pPr>
      <w:r>
        <w:rPr>
          <w:rFonts w:hint="eastAsia" w:ascii="仿宋_GB2312" w:hAnsi="宋体" w:eastAsia="仿宋_GB2312"/>
          <w:b/>
          <w:bCs/>
          <w:sz w:val="24"/>
          <w:szCs w:val="24"/>
        </w:rPr>
        <w:t>应遵循的相关国家标准、行业标准、地方标准等标准、规范：</w:t>
      </w:r>
    </w:p>
    <w:p w14:paraId="3C887711">
      <w:pPr>
        <w:widowControl/>
        <w:shd w:val="clear" w:color="auto" w:fill="FFFFFF"/>
        <w:spacing w:line="360" w:lineRule="auto"/>
        <w:ind w:firstLine="480" w:firstLineChars="200"/>
        <w:rPr>
          <w:rFonts w:ascii="仿宋_GB2312" w:hAnsi="宋体" w:eastAsia="仿宋_GB2312"/>
          <w:sz w:val="24"/>
          <w:szCs w:val="24"/>
        </w:rPr>
      </w:pPr>
      <w:r>
        <w:rPr>
          <w:rFonts w:hint="eastAsia" w:ascii="仿宋_GB2312" w:hAnsi="宋体" w:eastAsia="仿宋_GB2312"/>
          <w:sz w:val="24"/>
          <w:szCs w:val="24"/>
        </w:rPr>
        <w:t>主要参考国家标准：GB/T 33252-2016《纳米科技 拉曼光谱仪性能表征方法》，GB/T 6040-2019《红外光谱分析方法通则》（拉曼光谱数据处理部分）等。</w:t>
      </w:r>
    </w:p>
    <w:p w14:paraId="5A4C8A03">
      <w:pPr>
        <w:widowControl/>
        <w:numPr>
          <w:ilvl w:val="0"/>
          <w:numId w:val="2"/>
        </w:numPr>
        <w:shd w:val="clear" w:color="auto" w:fill="FFFFFF"/>
        <w:spacing w:line="360" w:lineRule="auto"/>
        <w:ind w:firstLine="482" w:firstLineChars="200"/>
        <w:rPr>
          <w:rFonts w:ascii="仿宋_GB2312" w:hAnsi="宋体" w:eastAsia="仿宋_GB2312"/>
          <w:b/>
          <w:bCs/>
          <w:sz w:val="24"/>
          <w:szCs w:val="24"/>
        </w:rPr>
      </w:pPr>
      <w:r>
        <w:rPr>
          <w:rFonts w:hint="eastAsia" w:ascii="仿宋_GB2312" w:hAnsi="宋体" w:eastAsia="仿宋_GB2312"/>
          <w:b/>
          <w:bCs/>
          <w:sz w:val="24"/>
          <w:szCs w:val="24"/>
        </w:rPr>
        <w:t>后续运营维护、升级更新、备品备件等要求：</w:t>
      </w:r>
    </w:p>
    <w:p w14:paraId="45576FD4">
      <w:pPr>
        <w:widowControl/>
        <w:shd w:val="clear" w:color="auto" w:fill="FFFFFF"/>
        <w:spacing w:line="360" w:lineRule="auto"/>
        <w:ind w:firstLine="480" w:firstLineChars="200"/>
        <w:rPr>
          <w:rFonts w:ascii="仿宋_GB2312" w:hAnsi="宋体" w:eastAsia="仿宋_GB2312"/>
          <w:sz w:val="24"/>
          <w:szCs w:val="24"/>
        </w:rPr>
      </w:pPr>
      <w:r>
        <w:rPr>
          <w:rFonts w:hint="eastAsia" w:ascii="仿宋_GB2312" w:hAnsi="宋体" w:eastAsia="仿宋_GB2312"/>
          <w:sz w:val="24"/>
          <w:szCs w:val="24"/>
        </w:rPr>
        <w:t>运维服务：供应商需提供≥2年免费整机质保（含激光器、CCD等核心部件），质保期内每半年开展1次现场巡检，故障响应时间≤24小时，修复时间≤72小时；提供原厂操作培训（不少于4人次·天，含理论+实操），确保操作人员独立掌握设备使用及基础维护技能。</w:t>
      </w:r>
    </w:p>
    <w:p w14:paraId="4669F095">
      <w:pPr>
        <w:widowControl/>
        <w:shd w:val="clear" w:color="auto" w:fill="FFFFFF"/>
        <w:spacing w:line="360" w:lineRule="auto"/>
        <w:ind w:firstLine="480" w:firstLineChars="200"/>
        <w:rPr>
          <w:rFonts w:ascii="仿宋_GB2312" w:hAnsi="宋体" w:eastAsia="仿宋_GB2312"/>
          <w:sz w:val="24"/>
          <w:szCs w:val="24"/>
        </w:rPr>
      </w:pPr>
      <w:r>
        <w:rPr>
          <w:rFonts w:hint="eastAsia" w:ascii="仿宋_GB2312" w:hAnsi="宋体" w:eastAsia="仿宋_GB2312"/>
          <w:sz w:val="24"/>
          <w:szCs w:val="24"/>
        </w:rPr>
        <w:t>升级更新：设备软件终身免费升级，硬件支持后续功能扩展（如新增激发波长模块、偏振控制模块等），供应商需在新技术推出后30日内告知用户升级方案。</w:t>
      </w:r>
    </w:p>
    <w:p w14:paraId="693F526D">
      <w:pPr>
        <w:widowControl/>
        <w:shd w:val="clear" w:color="auto" w:fill="FFFFFF"/>
        <w:spacing w:line="360" w:lineRule="auto"/>
        <w:ind w:firstLine="480" w:firstLineChars="200"/>
        <w:rPr>
          <w:rFonts w:ascii="仿宋_GB2312" w:hAnsi="宋体" w:eastAsia="仿宋_GB2312"/>
          <w:sz w:val="24"/>
          <w:szCs w:val="24"/>
        </w:rPr>
      </w:pPr>
      <w:r>
        <w:rPr>
          <w:rFonts w:hint="eastAsia" w:ascii="仿宋_GB2312" w:hAnsi="宋体" w:eastAsia="仿宋_GB2312"/>
          <w:sz w:val="24"/>
          <w:szCs w:val="24"/>
        </w:rPr>
        <w:t>备品备件：质保期外提供全生命周期备件供应保障（承诺供应周期≥10年），常用备件（如激光器窗口片、CCD制冷模块、物镜等）需在用户提出需求后7个工作日内到货；提供备件价格清单，确保价格不高于市场同期水平。</w:t>
      </w:r>
    </w:p>
    <w:p w14:paraId="3D4A18AF">
      <w:pPr>
        <w:spacing w:line="360" w:lineRule="auto"/>
        <w:ind w:firstLine="482" w:firstLineChars="200"/>
        <w:outlineLvl w:val="0"/>
        <w:rPr>
          <w:rFonts w:ascii="仿宋_GB2312" w:hAnsi="宋体" w:eastAsia="仿宋_GB2312"/>
          <w:sz w:val="24"/>
          <w:szCs w:val="24"/>
        </w:rPr>
      </w:pPr>
      <w:r>
        <w:rPr>
          <w:rFonts w:hint="eastAsia" w:ascii="仿宋_GB2312" w:hAnsi="宋体" w:eastAsia="仿宋_GB2312"/>
          <w:b/>
          <w:bCs/>
          <w:sz w:val="24"/>
          <w:szCs w:val="24"/>
        </w:rPr>
        <w:t>4.各项指标要求：</w:t>
      </w:r>
    </w:p>
    <w:tbl>
      <w:tblPr>
        <w:tblStyle w:val="6"/>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134"/>
        <w:gridCol w:w="1388"/>
        <w:gridCol w:w="2864"/>
        <w:gridCol w:w="2126"/>
      </w:tblGrid>
      <w:tr w14:paraId="04FAC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5EA1B96E">
            <w:pPr>
              <w:spacing w:line="360" w:lineRule="auto"/>
              <w:jc w:val="center"/>
              <w:rPr>
                <w:rFonts w:ascii="仿宋_GB2312" w:hAnsi="宋体" w:eastAsia="仿宋_GB2312"/>
                <w:b/>
                <w:sz w:val="24"/>
                <w:szCs w:val="24"/>
              </w:rPr>
            </w:pPr>
            <w:r>
              <w:rPr>
                <w:rFonts w:hint="eastAsia" w:ascii="仿宋_GB2312" w:hAnsi="宋体" w:eastAsia="仿宋_GB2312"/>
                <w:b/>
                <w:sz w:val="24"/>
                <w:szCs w:val="24"/>
              </w:rPr>
              <w:t>序号</w:t>
            </w:r>
          </w:p>
        </w:tc>
        <w:tc>
          <w:tcPr>
            <w:tcW w:w="1134" w:type="dxa"/>
            <w:vAlign w:val="center"/>
          </w:tcPr>
          <w:p w14:paraId="7D539237">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指标项</w:t>
            </w:r>
          </w:p>
        </w:tc>
        <w:tc>
          <w:tcPr>
            <w:tcW w:w="1388" w:type="dxa"/>
            <w:vAlign w:val="center"/>
          </w:tcPr>
          <w:p w14:paraId="0A1D3F58">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重要性</w:t>
            </w:r>
          </w:p>
        </w:tc>
        <w:tc>
          <w:tcPr>
            <w:tcW w:w="2864" w:type="dxa"/>
            <w:vAlign w:val="center"/>
          </w:tcPr>
          <w:p w14:paraId="1F13D415">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指标要求</w:t>
            </w:r>
          </w:p>
        </w:tc>
        <w:tc>
          <w:tcPr>
            <w:tcW w:w="2126" w:type="dxa"/>
            <w:vAlign w:val="center"/>
          </w:tcPr>
          <w:p w14:paraId="56BBFD8C">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证明材料要求</w:t>
            </w:r>
          </w:p>
        </w:tc>
      </w:tr>
      <w:tr w14:paraId="469B0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24D030BB">
            <w:pPr>
              <w:spacing w:line="360" w:lineRule="auto"/>
              <w:jc w:val="center"/>
              <w:rPr>
                <w:rFonts w:ascii="仿宋_GB2312" w:hAnsi="宋体" w:eastAsia="仿宋_GB2312"/>
                <w:b/>
                <w:sz w:val="24"/>
                <w:szCs w:val="24"/>
              </w:rPr>
            </w:pPr>
            <w:r>
              <w:rPr>
                <w:rFonts w:hint="eastAsia" w:ascii="仿宋_GB2312" w:hAnsi="宋体" w:eastAsia="仿宋_GB2312"/>
                <w:b/>
                <w:sz w:val="24"/>
                <w:szCs w:val="24"/>
              </w:rPr>
              <w:t>1</w:t>
            </w:r>
          </w:p>
        </w:tc>
        <w:tc>
          <w:tcPr>
            <w:tcW w:w="1134" w:type="dxa"/>
            <w:vAlign w:val="center"/>
          </w:tcPr>
          <w:p w14:paraId="61EA4CEC">
            <w:pPr>
              <w:widowControl/>
              <w:spacing w:line="360" w:lineRule="auto"/>
              <w:rPr>
                <w:rFonts w:ascii="仿宋_GB2312" w:hAnsi="宋体" w:eastAsia="仿宋_GB2312"/>
                <w:sz w:val="24"/>
                <w:szCs w:val="24"/>
              </w:rPr>
            </w:pPr>
            <w:r>
              <w:rPr>
                <w:rFonts w:hint="eastAsia" w:ascii="仿宋_GB2312" w:hAnsi="宋体" w:eastAsia="仿宋_GB2312"/>
                <w:sz w:val="24"/>
                <w:szCs w:val="24"/>
              </w:rPr>
              <w:t>主机要求</w:t>
            </w:r>
          </w:p>
        </w:tc>
        <w:tc>
          <w:tcPr>
            <w:tcW w:w="1388" w:type="dxa"/>
            <w:vAlign w:val="center"/>
          </w:tcPr>
          <w:p w14:paraId="7495F583">
            <w:pPr>
              <w:widowControl/>
              <w:spacing w:line="360" w:lineRule="auto"/>
              <w:jc w:val="center"/>
              <w:rPr>
                <w:rFonts w:ascii="仿宋_GB2312" w:hAnsi="宋体" w:eastAsia="仿宋_GB2312"/>
                <w:b/>
                <w:sz w:val="24"/>
                <w:szCs w:val="24"/>
              </w:rPr>
            </w:pPr>
            <w:r>
              <w:rPr>
                <w:rFonts w:hint="eastAsia" w:ascii="仿宋_GB2312" w:hAnsi="宋体" w:eastAsia="仿宋_GB2312"/>
                <w:sz w:val="24"/>
                <w:szCs w:val="24"/>
                <w:lang w:val="zh-CN"/>
              </w:rPr>
              <w:t>#</w:t>
            </w:r>
          </w:p>
        </w:tc>
        <w:tc>
          <w:tcPr>
            <w:tcW w:w="2864" w:type="dxa"/>
            <w:vAlign w:val="center"/>
          </w:tcPr>
          <w:p w14:paraId="37F8A57E">
            <w:pPr>
              <w:widowControl/>
              <w:spacing w:line="360" w:lineRule="auto"/>
              <w:rPr>
                <w:rFonts w:ascii="仿宋_GB2312" w:hAnsi="宋体" w:eastAsia="仿宋_GB2312"/>
                <w:sz w:val="24"/>
                <w:szCs w:val="24"/>
              </w:rPr>
            </w:pPr>
            <w:r>
              <w:rPr>
                <w:rFonts w:hint="eastAsia" w:ascii="仿宋_GB2312" w:hAnsi="宋体" w:eastAsia="仿宋_GB2312"/>
                <w:sz w:val="24"/>
                <w:szCs w:val="24"/>
              </w:rPr>
              <w:t>激光器采用分体式设计，散热系统不应影响仪器主机的热稳定性和光谱稳定性。</w:t>
            </w:r>
          </w:p>
        </w:tc>
        <w:tc>
          <w:tcPr>
            <w:tcW w:w="2126" w:type="dxa"/>
            <w:vAlign w:val="center"/>
          </w:tcPr>
          <w:p w14:paraId="58F192D6">
            <w:pPr>
              <w:widowControl/>
              <w:spacing w:line="360" w:lineRule="auto"/>
              <w:jc w:val="center"/>
              <w:rPr>
                <w:rFonts w:ascii="仿宋_GB2312" w:hAnsi="宋体" w:eastAsia="仿宋_GB2312"/>
                <w:b/>
                <w:sz w:val="24"/>
                <w:szCs w:val="24"/>
              </w:rPr>
            </w:pPr>
            <w:r>
              <w:rPr>
                <w:rFonts w:hint="eastAsia" w:ascii="仿宋_GB2312" w:hAnsi="宋体" w:eastAsia="仿宋_GB2312"/>
                <w:sz w:val="24"/>
                <w:szCs w:val="24"/>
              </w:rPr>
              <w:t>是</w:t>
            </w:r>
          </w:p>
        </w:tc>
      </w:tr>
      <w:tr w14:paraId="50776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4389B2C1">
            <w:pPr>
              <w:spacing w:line="360" w:lineRule="auto"/>
              <w:jc w:val="center"/>
              <w:rPr>
                <w:rFonts w:ascii="仿宋_GB2312" w:hAnsi="宋体" w:eastAsia="仿宋_GB2312"/>
                <w:b/>
                <w:sz w:val="24"/>
                <w:szCs w:val="24"/>
              </w:rPr>
            </w:pPr>
            <w:r>
              <w:rPr>
                <w:rFonts w:hint="eastAsia" w:ascii="仿宋_GB2312" w:hAnsi="宋体" w:eastAsia="仿宋_GB2312"/>
                <w:b/>
                <w:sz w:val="24"/>
                <w:szCs w:val="24"/>
              </w:rPr>
              <w:t>2</w:t>
            </w:r>
          </w:p>
        </w:tc>
        <w:tc>
          <w:tcPr>
            <w:tcW w:w="1134" w:type="dxa"/>
            <w:vAlign w:val="center"/>
          </w:tcPr>
          <w:p w14:paraId="149B7CEB">
            <w:pPr>
              <w:widowControl/>
              <w:spacing w:line="360" w:lineRule="auto"/>
              <w:rPr>
                <w:rFonts w:ascii="仿宋_GB2312" w:hAnsi="宋体" w:eastAsia="仿宋_GB2312"/>
                <w:sz w:val="24"/>
                <w:szCs w:val="24"/>
              </w:rPr>
            </w:pPr>
            <w:r>
              <w:rPr>
                <w:rFonts w:hint="eastAsia" w:ascii="仿宋_GB2312" w:hAnsi="宋体" w:eastAsia="仿宋_GB2312"/>
                <w:sz w:val="24"/>
                <w:szCs w:val="24"/>
              </w:rPr>
              <w:t>光路设计</w:t>
            </w:r>
          </w:p>
        </w:tc>
        <w:tc>
          <w:tcPr>
            <w:tcW w:w="1388" w:type="dxa"/>
            <w:vAlign w:val="center"/>
          </w:tcPr>
          <w:p w14:paraId="2C13FEF1">
            <w:pPr>
              <w:widowControl/>
              <w:spacing w:line="360" w:lineRule="auto"/>
              <w:jc w:val="center"/>
              <w:rPr>
                <w:rFonts w:ascii="仿宋_GB2312" w:hAnsi="宋体" w:eastAsia="仿宋_GB2312"/>
                <w:b/>
                <w:sz w:val="24"/>
                <w:szCs w:val="24"/>
              </w:rPr>
            </w:pPr>
          </w:p>
        </w:tc>
        <w:tc>
          <w:tcPr>
            <w:tcW w:w="2864" w:type="dxa"/>
            <w:vAlign w:val="center"/>
          </w:tcPr>
          <w:p w14:paraId="1628268A">
            <w:pPr>
              <w:widowControl/>
              <w:spacing w:line="360" w:lineRule="auto"/>
              <w:rPr>
                <w:rFonts w:ascii="仿宋_GB2312" w:hAnsi="宋体" w:eastAsia="仿宋_GB2312"/>
                <w:sz w:val="24"/>
                <w:szCs w:val="24"/>
              </w:rPr>
            </w:pPr>
            <w:r>
              <w:rPr>
                <w:rFonts w:hint="eastAsia" w:ascii="仿宋_GB2312" w:hAnsi="宋体" w:eastAsia="仿宋_GB2312"/>
                <w:sz w:val="24"/>
                <w:szCs w:val="24"/>
              </w:rPr>
              <w:t>采用单级光谱仪设计，透射式或反射式均可，但须保证全谱段无色差。</w:t>
            </w:r>
          </w:p>
        </w:tc>
        <w:tc>
          <w:tcPr>
            <w:tcW w:w="2126" w:type="dxa"/>
            <w:vAlign w:val="center"/>
          </w:tcPr>
          <w:p w14:paraId="1D5B3E72">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否</w:t>
            </w:r>
          </w:p>
        </w:tc>
      </w:tr>
      <w:tr w14:paraId="3E3BF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106D00B6">
            <w:pPr>
              <w:spacing w:line="360" w:lineRule="auto"/>
              <w:jc w:val="center"/>
              <w:rPr>
                <w:rFonts w:ascii="仿宋_GB2312" w:hAnsi="宋体" w:eastAsia="仿宋_GB2312"/>
                <w:sz w:val="24"/>
                <w:szCs w:val="24"/>
              </w:rPr>
            </w:pPr>
            <w:r>
              <w:rPr>
                <w:rFonts w:hint="eastAsia" w:ascii="仿宋_GB2312" w:hAnsi="宋体" w:eastAsia="仿宋_GB2312"/>
                <w:sz w:val="24"/>
                <w:szCs w:val="24"/>
              </w:rPr>
              <w:t>3</w:t>
            </w:r>
          </w:p>
        </w:tc>
        <w:tc>
          <w:tcPr>
            <w:tcW w:w="1134" w:type="dxa"/>
            <w:vAlign w:val="center"/>
          </w:tcPr>
          <w:p w14:paraId="40C111CC">
            <w:pPr>
              <w:widowControl/>
              <w:spacing w:line="360" w:lineRule="auto"/>
              <w:rPr>
                <w:rFonts w:ascii="仿宋_GB2312" w:hAnsi="宋体" w:eastAsia="仿宋_GB2312"/>
                <w:sz w:val="24"/>
                <w:szCs w:val="24"/>
              </w:rPr>
            </w:pPr>
            <w:r>
              <w:rPr>
                <w:rFonts w:hint="eastAsia" w:ascii="仿宋_GB2312" w:hAnsi="宋体" w:eastAsia="仿宋_GB2312"/>
                <w:sz w:val="24"/>
                <w:szCs w:val="24"/>
              </w:rPr>
              <w:t>共聚焦系统</w:t>
            </w:r>
          </w:p>
        </w:tc>
        <w:tc>
          <w:tcPr>
            <w:tcW w:w="1388" w:type="dxa"/>
            <w:vAlign w:val="center"/>
          </w:tcPr>
          <w:p w14:paraId="49D4841E">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lang w:val="zh-CN"/>
              </w:rPr>
              <w:t>★</w:t>
            </w:r>
          </w:p>
        </w:tc>
        <w:tc>
          <w:tcPr>
            <w:tcW w:w="2864" w:type="dxa"/>
            <w:vAlign w:val="center"/>
          </w:tcPr>
          <w:p w14:paraId="78DD57E6">
            <w:pPr>
              <w:widowControl/>
              <w:spacing w:line="360" w:lineRule="auto"/>
              <w:rPr>
                <w:rFonts w:ascii="仿宋_GB2312" w:hAnsi="宋体" w:eastAsia="仿宋_GB2312"/>
                <w:sz w:val="24"/>
                <w:szCs w:val="24"/>
              </w:rPr>
            </w:pPr>
            <w:r>
              <w:rPr>
                <w:rFonts w:hint="eastAsia" w:ascii="仿宋_GB2312" w:hAnsi="宋体" w:eastAsia="仿宋_GB2312"/>
                <w:sz w:val="24"/>
                <w:szCs w:val="24"/>
              </w:rPr>
              <w:t xml:space="preserve">采用数字化针孔共焦方式，即通过计算机数字化控制狭缝和 CCD 区域，狭缝大小通过软件连续可调，调节范围 10-2000um；要求光路中具备扩束器，保证激光聚焦点实现理论最小值；也可使激光聚焦焦平面光斑尺寸 1-250um连续可调。 </w:t>
            </w:r>
          </w:p>
        </w:tc>
        <w:tc>
          <w:tcPr>
            <w:tcW w:w="2126" w:type="dxa"/>
            <w:vAlign w:val="center"/>
          </w:tcPr>
          <w:p w14:paraId="5E820D10">
            <w:pPr>
              <w:widowControl/>
              <w:spacing w:line="360" w:lineRule="auto"/>
              <w:jc w:val="center"/>
              <w:rPr>
                <w:rFonts w:ascii="仿宋_GB2312" w:hAnsi="宋体" w:eastAsia="仿宋_GB2312"/>
                <w:sz w:val="24"/>
                <w:szCs w:val="24"/>
              </w:rPr>
            </w:pPr>
            <w:r>
              <w:rPr>
                <w:rFonts w:hint="eastAsia" w:ascii="仿宋_GB2312" w:hAnsi="宋体" w:eastAsia="仿宋_GB2312" w:cs="宋体"/>
                <w:snapToGrid w:val="0"/>
                <w:kern w:val="0"/>
                <w:sz w:val="24"/>
                <w:szCs w:val="24"/>
                <w:lang w:val="zh-CN"/>
              </w:rPr>
              <w:t>是</w:t>
            </w:r>
          </w:p>
        </w:tc>
      </w:tr>
      <w:tr w14:paraId="309F7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1DA7F160">
            <w:pPr>
              <w:spacing w:line="360" w:lineRule="auto"/>
              <w:jc w:val="center"/>
              <w:rPr>
                <w:rFonts w:ascii="仿宋_GB2312" w:hAnsi="宋体" w:eastAsia="仿宋_GB2312"/>
                <w:sz w:val="24"/>
                <w:szCs w:val="24"/>
              </w:rPr>
            </w:pPr>
            <w:r>
              <w:rPr>
                <w:rFonts w:hint="eastAsia" w:ascii="仿宋_GB2312" w:hAnsi="宋体" w:eastAsia="仿宋_GB2312"/>
                <w:sz w:val="24"/>
                <w:szCs w:val="24"/>
              </w:rPr>
              <w:t>4</w:t>
            </w:r>
          </w:p>
        </w:tc>
        <w:tc>
          <w:tcPr>
            <w:tcW w:w="1134" w:type="dxa"/>
            <w:vAlign w:val="center"/>
          </w:tcPr>
          <w:p w14:paraId="4EE3C3DE">
            <w:pPr>
              <w:widowControl/>
              <w:spacing w:line="360" w:lineRule="auto"/>
              <w:rPr>
                <w:rFonts w:ascii="仿宋_GB2312" w:hAnsi="宋体" w:eastAsia="仿宋_GB2312"/>
                <w:sz w:val="24"/>
                <w:szCs w:val="24"/>
              </w:rPr>
            </w:pPr>
            <w:r>
              <w:rPr>
                <w:rFonts w:hint="eastAsia" w:ascii="仿宋_GB2312" w:hAnsi="宋体" w:eastAsia="仿宋_GB2312"/>
                <w:sz w:val="24"/>
                <w:szCs w:val="24"/>
              </w:rPr>
              <w:t>分辨率</w:t>
            </w:r>
          </w:p>
        </w:tc>
        <w:tc>
          <w:tcPr>
            <w:tcW w:w="1388" w:type="dxa"/>
            <w:vAlign w:val="center"/>
          </w:tcPr>
          <w:p w14:paraId="12DE0D3E">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lang w:val="zh-CN"/>
              </w:rPr>
              <w:t>★</w:t>
            </w:r>
          </w:p>
        </w:tc>
        <w:tc>
          <w:tcPr>
            <w:tcW w:w="2864" w:type="dxa"/>
            <w:vAlign w:val="center"/>
          </w:tcPr>
          <w:p w14:paraId="3CBFB1BF">
            <w:pPr>
              <w:widowControl/>
              <w:spacing w:line="360" w:lineRule="auto"/>
              <w:rPr>
                <w:rFonts w:ascii="仿宋_GB2312" w:hAnsi="宋体" w:eastAsia="仿宋_GB2312"/>
                <w:sz w:val="24"/>
                <w:szCs w:val="24"/>
              </w:rPr>
            </w:pPr>
            <w:r>
              <w:rPr>
                <w:rFonts w:hint="eastAsia" w:ascii="仿宋_GB2312" w:hAnsi="宋体" w:eastAsia="仿宋_GB2312"/>
                <w:sz w:val="24"/>
                <w:szCs w:val="24"/>
              </w:rPr>
              <w:t>空间分辨率≤0.3um（XY）；≤1um（Z）</w:t>
            </w:r>
          </w:p>
          <w:p w14:paraId="2ACBB45C">
            <w:pPr>
              <w:widowControl/>
              <w:spacing w:line="360" w:lineRule="auto"/>
              <w:rPr>
                <w:rFonts w:ascii="仿宋_GB2312" w:hAnsi="宋体" w:eastAsia="仿宋_GB2312"/>
                <w:sz w:val="24"/>
                <w:szCs w:val="24"/>
              </w:rPr>
            </w:pPr>
            <w:r>
              <w:rPr>
                <w:rFonts w:hint="eastAsia" w:ascii="仿宋_GB2312" w:hAnsi="宋体" w:eastAsia="仿宋_GB2312"/>
                <w:sz w:val="24"/>
                <w:szCs w:val="24"/>
              </w:rPr>
              <w:t>光谱分辨率≤1.0 cm-1；</w:t>
            </w:r>
          </w:p>
        </w:tc>
        <w:tc>
          <w:tcPr>
            <w:tcW w:w="2126" w:type="dxa"/>
            <w:vAlign w:val="center"/>
          </w:tcPr>
          <w:p w14:paraId="63D2FF77">
            <w:pPr>
              <w:widowControl/>
              <w:spacing w:line="360" w:lineRule="auto"/>
              <w:jc w:val="center"/>
              <w:rPr>
                <w:rFonts w:ascii="仿宋_GB2312" w:hAnsi="宋体" w:eastAsia="仿宋_GB2312"/>
                <w:sz w:val="24"/>
                <w:szCs w:val="24"/>
              </w:rPr>
            </w:pPr>
            <w:r>
              <w:rPr>
                <w:rFonts w:hint="eastAsia" w:ascii="仿宋_GB2312" w:hAnsi="宋体" w:eastAsia="仿宋_GB2312" w:cs="宋体"/>
                <w:snapToGrid w:val="0"/>
                <w:kern w:val="0"/>
                <w:sz w:val="24"/>
                <w:szCs w:val="24"/>
                <w:lang w:val="zh-CN"/>
              </w:rPr>
              <w:t>是</w:t>
            </w:r>
          </w:p>
        </w:tc>
      </w:tr>
      <w:tr w14:paraId="75E59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7043B2D9">
            <w:pPr>
              <w:spacing w:line="360" w:lineRule="auto"/>
              <w:jc w:val="center"/>
              <w:rPr>
                <w:rFonts w:ascii="仿宋_GB2312" w:hAnsi="宋体" w:eastAsia="仿宋_GB2312"/>
                <w:sz w:val="24"/>
                <w:szCs w:val="24"/>
              </w:rPr>
            </w:pPr>
            <w:r>
              <w:rPr>
                <w:rFonts w:hint="eastAsia" w:ascii="仿宋_GB2312" w:hAnsi="宋体" w:eastAsia="仿宋_GB2312"/>
                <w:sz w:val="24"/>
                <w:szCs w:val="24"/>
              </w:rPr>
              <w:t>5</w:t>
            </w:r>
          </w:p>
        </w:tc>
        <w:tc>
          <w:tcPr>
            <w:tcW w:w="1134" w:type="dxa"/>
            <w:vAlign w:val="center"/>
          </w:tcPr>
          <w:p w14:paraId="703122D2">
            <w:pPr>
              <w:widowControl/>
              <w:spacing w:line="360" w:lineRule="auto"/>
              <w:rPr>
                <w:rFonts w:ascii="仿宋_GB2312" w:hAnsi="宋体" w:eastAsia="仿宋_GB2312"/>
                <w:sz w:val="24"/>
                <w:szCs w:val="24"/>
              </w:rPr>
            </w:pPr>
            <w:r>
              <w:rPr>
                <w:rFonts w:hint="eastAsia" w:ascii="仿宋_GB2312" w:hAnsi="宋体" w:eastAsia="仿宋_GB2312"/>
                <w:sz w:val="24"/>
                <w:szCs w:val="24"/>
              </w:rPr>
              <w:t>重复性</w:t>
            </w:r>
          </w:p>
        </w:tc>
        <w:tc>
          <w:tcPr>
            <w:tcW w:w="1388" w:type="dxa"/>
            <w:vAlign w:val="center"/>
          </w:tcPr>
          <w:p w14:paraId="2811B306">
            <w:pPr>
              <w:widowControl/>
              <w:spacing w:line="360" w:lineRule="auto"/>
              <w:jc w:val="center"/>
              <w:rPr>
                <w:rFonts w:ascii="仿宋_GB2312" w:hAnsi="宋体" w:eastAsia="仿宋_GB2312"/>
                <w:sz w:val="24"/>
                <w:szCs w:val="24"/>
                <w:lang w:val="zh-CN"/>
              </w:rPr>
            </w:pPr>
          </w:p>
        </w:tc>
        <w:tc>
          <w:tcPr>
            <w:tcW w:w="2864" w:type="dxa"/>
            <w:vAlign w:val="center"/>
          </w:tcPr>
          <w:p w14:paraId="4A0DB3D6">
            <w:pPr>
              <w:widowControl/>
              <w:spacing w:line="360" w:lineRule="auto"/>
              <w:rPr>
                <w:rFonts w:ascii="仿宋_GB2312" w:hAnsi="宋体" w:eastAsia="仿宋_GB2312"/>
                <w:sz w:val="24"/>
                <w:szCs w:val="24"/>
              </w:rPr>
            </w:pPr>
            <w:r>
              <w:rPr>
                <w:rFonts w:hint="eastAsia" w:ascii="仿宋_GB2312" w:hAnsi="宋体" w:eastAsia="仿宋_GB2312"/>
                <w:sz w:val="24"/>
                <w:szCs w:val="24"/>
              </w:rPr>
              <w:t>光谱重复性≤0.02 cm-1</w:t>
            </w:r>
          </w:p>
        </w:tc>
        <w:tc>
          <w:tcPr>
            <w:tcW w:w="2126" w:type="dxa"/>
            <w:vAlign w:val="center"/>
          </w:tcPr>
          <w:p w14:paraId="0AB8FD99">
            <w:pPr>
              <w:widowControl/>
              <w:spacing w:line="360" w:lineRule="auto"/>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否</w:t>
            </w:r>
          </w:p>
        </w:tc>
      </w:tr>
      <w:tr w14:paraId="0F785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04BCD2CB">
            <w:pPr>
              <w:spacing w:line="360" w:lineRule="auto"/>
              <w:jc w:val="center"/>
              <w:rPr>
                <w:rFonts w:ascii="仿宋_GB2312" w:hAnsi="宋体" w:eastAsia="仿宋_GB2312"/>
                <w:sz w:val="24"/>
                <w:szCs w:val="24"/>
              </w:rPr>
            </w:pPr>
            <w:r>
              <w:rPr>
                <w:rFonts w:hint="eastAsia" w:ascii="仿宋_GB2312" w:hAnsi="宋体" w:eastAsia="仿宋_GB2312"/>
                <w:sz w:val="24"/>
                <w:szCs w:val="24"/>
              </w:rPr>
              <w:t>6</w:t>
            </w:r>
          </w:p>
        </w:tc>
        <w:tc>
          <w:tcPr>
            <w:tcW w:w="1134" w:type="dxa"/>
            <w:vAlign w:val="center"/>
          </w:tcPr>
          <w:p w14:paraId="5AEF6E51">
            <w:pPr>
              <w:widowControl/>
              <w:spacing w:line="360" w:lineRule="auto"/>
              <w:rPr>
                <w:rFonts w:ascii="仿宋_GB2312" w:hAnsi="宋体" w:eastAsia="仿宋_GB2312"/>
                <w:sz w:val="24"/>
                <w:szCs w:val="24"/>
              </w:rPr>
            </w:pPr>
            <w:r>
              <w:rPr>
                <w:rFonts w:hint="eastAsia" w:ascii="仿宋_GB2312" w:hAnsi="宋体" w:eastAsia="仿宋_GB2312"/>
                <w:sz w:val="24"/>
                <w:szCs w:val="24"/>
              </w:rPr>
              <w:t>灵敏度</w:t>
            </w:r>
          </w:p>
        </w:tc>
        <w:tc>
          <w:tcPr>
            <w:tcW w:w="1388" w:type="dxa"/>
            <w:vAlign w:val="center"/>
          </w:tcPr>
          <w:p w14:paraId="2E67F896">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lang w:val="zh-CN"/>
              </w:rPr>
              <w:t>#</w:t>
            </w:r>
          </w:p>
        </w:tc>
        <w:tc>
          <w:tcPr>
            <w:tcW w:w="2864" w:type="dxa"/>
            <w:vAlign w:val="center"/>
          </w:tcPr>
          <w:p w14:paraId="65B86031">
            <w:pPr>
              <w:widowControl/>
              <w:spacing w:line="360" w:lineRule="auto"/>
              <w:rPr>
                <w:rFonts w:ascii="仿宋_GB2312" w:hAnsi="宋体" w:eastAsia="仿宋_GB2312"/>
                <w:sz w:val="24"/>
                <w:szCs w:val="24"/>
              </w:rPr>
            </w:pPr>
            <w:r>
              <w:rPr>
                <w:rFonts w:hint="eastAsia" w:ascii="仿宋_GB2312" w:hAnsi="宋体" w:eastAsia="仿宋_GB2312"/>
                <w:sz w:val="24"/>
                <w:szCs w:val="24"/>
              </w:rPr>
              <w:t>能清晰观察硅四阶拉曼峰，硅三阶峰（1440 cm-1）信噪比≥50:1；测试条件：使用单晶硅片，波长532 nm，激光输出功率 10mW，狭缝宽度（或针孔）≤50微米，需使用 1800线高分辨光栅，曝光时间100秒， 累加次数3次（或曝光时间 60 秒，累加次数 5 次），显微镜头为 x50 倍。</w:t>
            </w:r>
          </w:p>
        </w:tc>
        <w:tc>
          <w:tcPr>
            <w:tcW w:w="2126" w:type="dxa"/>
            <w:vAlign w:val="center"/>
          </w:tcPr>
          <w:p w14:paraId="6D4F1F80">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是</w:t>
            </w:r>
          </w:p>
        </w:tc>
      </w:tr>
      <w:tr w14:paraId="54987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172E007D">
            <w:pPr>
              <w:spacing w:line="360" w:lineRule="auto"/>
              <w:jc w:val="center"/>
              <w:rPr>
                <w:rFonts w:ascii="仿宋_GB2312" w:hAnsi="宋体" w:eastAsia="仿宋_GB2312"/>
                <w:sz w:val="24"/>
                <w:szCs w:val="24"/>
              </w:rPr>
            </w:pPr>
            <w:r>
              <w:rPr>
                <w:rFonts w:hint="eastAsia" w:ascii="仿宋_GB2312" w:hAnsi="宋体" w:eastAsia="仿宋_GB2312"/>
                <w:sz w:val="24"/>
                <w:szCs w:val="24"/>
              </w:rPr>
              <w:t>7</w:t>
            </w:r>
          </w:p>
        </w:tc>
        <w:tc>
          <w:tcPr>
            <w:tcW w:w="1134" w:type="dxa"/>
            <w:vAlign w:val="center"/>
          </w:tcPr>
          <w:p w14:paraId="5AD5892F">
            <w:pPr>
              <w:widowControl/>
              <w:spacing w:line="360" w:lineRule="auto"/>
              <w:rPr>
                <w:rFonts w:ascii="仿宋_GB2312" w:hAnsi="宋体" w:eastAsia="仿宋_GB2312"/>
                <w:sz w:val="24"/>
                <w:szCs w:val="24"/>
              </w:rPr>
            </w:pPr>
            <w:r>
              <w:rPr>
                <w:rFonts w:hint="eastAsia" w:ascii="仿宋_GB2312" w:hAnsi="宋体" w:eastAsia="仿宋_GB2312"/>
                <w:sz w:val="24"/>
                <w:szCs w:val="24"/>
              </w:rPr>
              <w:t>光栅</w:t>
            </w:r>
          </w:p>
        </w:tc>
        <w:tc>
          <w:tcPr>
            <w:tcW w:w="1388" w:type="dxa"/>
            <w:vAlign w:val="center"/>
          </w:tcPr>
          <w:p w14:paraId="4CFCBEBE">
            <w:pPr>
              <w:widowControl/>
              <w:spacing w:line="360" w:lineRule="auto"/>
              <w:jc w:val="center"/>
              <w:rPr>
                <w:rFonts w:ascii="仿宋_GB2312" w:hAnsi="宋体" w:eastAsia="仿宋_GB2312"/>
                <w:sz w:val="24"/>
                <w:szCs w:val="24"/>
                <w:lang w:val="zh-CN"/>
              </w:rPr>
            </w:pPr>
          </w:p>
        </w:tc>
        <w:tc>
          <w:tcPr>
            <w:tcW w:w="2864" w:type="dxa"/>
            <w:vAlign w:val="center"/>
          </w:tcPr>
          <w:p w14:paraId="172E63BB">
            <w:pPr>
              <w:widowControl/>
              <w:spacing w:line="360" w:lineRule="auto"/>
              <w:rPr>
                <w:rFonts w:ascii="仿宋_GB2312" w:hAnsi="宋体" w:eastAsia="仿宋_GB2312"/>
                <w:sz w:val="24"/>
                <w:szCs w:val="24"/>
              </w:rPr>
            </w:pPr>
            <w:r>
              <w:rPr>
                <w:rFonts w:hint="eastAsia" w:ascii="仿宋_GB2312" w:hAnsi="宋体" w:eastAsia="仿宋_GB2312"/>
                <w:sz w:val="24"/>
                <w:szCs w:val="24"/>
              </w:rPr>
              <w:t>具备1200 gr/mm和1800gr/mm 光栅。</w:t>
            </w:r>
          </w:p>
        </w:tc>
        <w:tc>
          <w:tcPr>
            <w:tcW w:w="2126" w:type="dxa"/>
            <w:vAlign w:val="center"/>
          </w:tcPr>
          <w:p w14:paraId="69B4B534">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否</w:t>
            </w:r>
          </w:p>
        </w:tc>
      </w:tr>
      <w:tr w14:paraId="119E4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77E20D51">
            <w:pPr>
              <w:spacing w:line="360" w:lineRule="auto"/>
              <w:jc w:val="center"/>
              <w:rPr>
                <w:rFonts w:ascii="仿宋_GB2312" w:hAnsi="宋体" w:eastAsia="仿宋_GB2312"/>
                <w:sz w:val="24"/>
                <w:szCs w:val="24"/>
              </w:rPr>
            </w:pPr>
            <w:r>
              <w:rPr>
                <w:rFonts w:hint="eastAsia" w:ascii="仿宋_GB2312" w:hAnsi="宋体" w:eastAsia="仿宋_GB2312"/>
                <w:sz w:val="24"/>
                <w:szCs w:val="24"/>
              </w:rPr>
              <w:t>8</w:t>
            </w:r>
          </w:p>
        </w:tc>
        <w:tc>
          <w:tcPr>
            <w:tcW w:w="1134" w:type="dxa"/>
            <w:vAlign w:val="center"/>
          </w:tcPr>
          <w:p w14:paraId="3625C2A1">
            <w:pPr>
              <w:widowControl/>
              <w:spacing w:line="360" w:lineRule="auto"/>
              <w:rPr>
                <w:rFonts w:ascii="仿宋_GB2312" w:hAnsi="宋体" w:eastAsia="仿宋_GB2312"/>
                <w:sz w:val="24"/>
                <w:szCs w:val="24"/>
              </w:rPr>
            </w:pPr>
            <w:r>
              <w:rPr>
                <w:rFonts w:hint="eastAsia" w:ascii="仿宋_GB2312" w:hAnsi="宋体" w:eastAsia="仿宋_GB2312"/>
                <w:sz w:val="24"/>
                <w:szCs w:val="24"/>
              </w:rPr>
              <w:t>采谱方式</w:t>
            </w:r>
          </w:p>
        </w:tc>
        <w:tc>
          <w:tcPr>
            <w:tcW w:w="1388" w:type="dxa"/>
            <w:vAlign w:val="center"/>
          </w:tcPr>
          <w:p w14:paraId="61A86B09">
            <w:pPr>
              <w:widowControl/>
              <w:spacing w:line="360" w:lineRule="auto"/>
              <w:jc w:val="center"/>
              <w:rPr>
                <w:rFonts w:ascii="仿宋_GB2312" w:hAnsi="宋体" w:eastAsia="仿宋_GB2312"/>
                <w:sz w:val="24"/>
                <w:szCs w:val="24"/>
                <w:lang w:val="zh-CN"/>
              </w:rPr>
            </w:pPr>
          </w:p>
        </w:tc>
        <w:tc>
          <w:tcPr>
            <w:tcW w:w="2864" w:type="dxa"/>
            <w:vAlign w:val="center"/>
          </w:tcPr>
          <w:p w14:paraId="151F1C3A">
            <w:pPr>
              <w:widowControl/>
              <w:spacing w:line="360" w:lineRule="auto"/>
              <w:rPr>
                <w:rFonts w:ascii="仿宋_GB2312" w:hAnsi="宋体" w:eastAsia="仿宋_GB2312"/>
                <w:sz w:val="24"/>
                <w:szCs w:val="24"/>
              </w:rPr>
            </w:pPr>
            <w:r>
              <w:rPr>
                <w:rFonts w:hint="eastAsia" w:ascii="仿宋_GB2312" w:hAnsi="宋体" w:eastAsia="仿宋_GB2312"/>
                <w:sz w:val="24"/>
                <w:szCs w:val="24"/>
              </w:rPr>
              <w:t>光谱仪具备宽谱采集功能，可通过光栅转动实现分段拼接全谱或连续扫描全谱，确保高分辨率模式下获得完整光谱范围。</w:t>
            </w:r>
          </w:p>
        </w:tc>
        <w:tc>
          <w:tcPr>
            <w:tcW w:w="2126" w:type="dxa"/>
            <w:vAlign w:val="center"/>
          </w:tcPr>
          <w:p w14:paraId="658A9C62">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否</w:t>
            </w:r>
          </w:p>
        </w:tc>
      </w:tr>
      <w:tr w14:paraId="2B656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0040C186">
            <w:pPr>
              <w:spacing w:line="360" w:lineRule="auto"/>
              <w:jc w:val="center"/>
              <w:rPr>
                <w:rFonts w:ascii="仿宋_GB2312" w:hAnsi="宋体" w:eastAsia="仿宋_GB2312"/>
                <w:sz w:val="24"/>
                <w:szCs w:val="24"/>
              </w:rPr>
            </w:pPr>
            <w:r>
              <w:rPr>
                <w:rFonts w:hint="eastAsia" w:ascii="仿宋_GB2312" w:hAnsi="宋体" w:eastAsia="仿宋_GB2312"/>
                <w:sz w:val="24"/>
                <w:szCs w:val="24"/>
              </w:rPr>
              <w:t>9</w:t>
            </w:r>
          </w:p>
        </w:tc>
        <w:tc>
          <w:tcPr>
            <w:tcW w:w="1134" w:type="dxa"/>
            <w:vAlign w:val="center"/>
          </w:tcPr>
          <w:p w14:paraId="4F4CEE5F">
            <w:pPr>
              <w:widowControl/>
              <w:spacing w:line="360" w:lineRule="auto"/>
              <w:rPr>
                <w:rFonts w:ascii="仿宋_GB2312" w:hAnsi="宋体" w:eastAsia="仿宋_GB2312"/>
                <w:sz w:val="24"/>
                <w:szCs w:val="24"/>
              </w:rPr>
            </w:pPr>
            <w:r>
              <w:rPr>
                <w:rFonts w:hint="eastAsia" w:ascii="仿宋_GB2312" w:hAnsi="宋体" w:eastAsia="仿宋_GB2312"/>
                <w:sz w:val="24"/>
                <w:szCs w:val="24"/>
              </w:rPr>
              <w:t>自动化程度</w:t>
            </w:r>
          </w:p>
        </w:tc>
        <w:tc>
          <w:tcPr>
            <w:tcW w:w="1388" w:type="dxa"/>
            <w:vAlign w:val="center"/>
          </w:tcPr>
          <w:p w14:paraId="5561914C">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lang w:val="zh-CN"/>
              </w:rPr>
              <w:t>#</w:t>
            </w:r>
          </w:p>
        </w:tc>
        <w:tc>
          <w:tcPr>
            <w:tcW w:w="2864" w:type="dxa"/>
            <w:vAlign w:val="center"/>
          </w:tcPr>
          <w:p w14:paraId="1B0FF038">
            <w:pPr>
              <w:widowControl/>
              <w:spacing w:line="360" w:lineRule="auto"/>
              <w:rPr>
                <w:rFonts w:ascii="仿宋_GB2312" w:hAnsi="宋体" w:eastAsia="仿宋_GB2312"/>
                <w:sz w:val="24"/>
                <w:szCs w:val="24"/>
              </w:rPr>
            </w:pPr>
            <w:r>
              <w:rPr>
                <w:rFonts w:hint="eastAsia" w:ascii="仿宋_GB2312" w:hAnsi="宋体" w:eastAsia="仿宋_GB2312"/>
                <w:sz w:val="24"/>
                <w:szCs w:val="24"/>
              </w:rPr>
              <w:t>软件控制自动切换激发波长，采用计算机控制全自动切换（包含激光器、滤光片、光栅等光学元件），切换后无需重新调整仪器光路。</w:t>
            </w:r>
          </w:p>
        </w:tc>
        <w:tc>
          <w:tcPr>
            <w:tcW w:w="2126" w:type="dxa"/>
            <w:vAlign w:val="center"/>
          </w:tcPr>
          <w:p w14:paraId="4D7F657E">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是</w:t>
            </w:r>
          </w:p>
        </w:tc>
      </w:tr>
      <w:tr w14:paraId="36F37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6B63C775">
            <w:pPr>
              <w:spacing w:line="360" w:lineRule="auto"/>
              <w:jc w:val="center"/>
              <w:rPr>
                <w:rFonts w:ascii="仿宋_GB2312" w:hAnsi="宋体" w:eastAsia="仿宋_GB2312"/>
                <w:sz w:val="24"/>
                <w:szCs w:val="24"/>
              </w:rPr>
            </w:pPr>
            <w:r>
              <w:rPr>
                <w:rFonts w:hint="eastAsia" w:ascii="仿宋_GB2312" w:hAnsi="宋体" w:eastAsia="仿宋_GB2312"/>
                <w:sz w:val="24"/>
                <w:szCs w:val="24"/>
              </w:rPr>
              <w:t>10</w:t>
            </w:r>
          </w:p>
        </w:tc>
        <w:tc>
          <w:tcPr>
            <w:tcW w:w="1134" w:type="dxa"/>
            <w:vAlign w:val="center"/>
          </w:tcPr>
          <w:p w14:paraId="6DE7C2FF">
            <w:pPr>
              <w:widowControl/>
              <w:spacing w:line="360" w:lineRule="auto"/>
              <w:rPr>
                <w:rFonts w:ascii="仿宋_GB2312" w:hAnsi="宋体" w:eastAsia="仿宋_GB2312"/>
                <w:sz w:val="24"/>
                <w:szCs w:val="24"/>
              </w:rPr>
            </w:pPr>
            <w:r>
              <w:rPr>
                <w:rFonts w:hint="eastAsia" w:ascii="仿宋_GB2312" w:hAnsi="宋体" w:eastAsia="仿宋_GB2312"/>
                <w:sz w:val="24"/>
                <w:szCs w:val="24"/>
              </w:rPr>
              <w:t>CCD探测器</w:t>
            </w:r>
          </w:p>
        </w:tc>
        <w:tc>
          <w:tcPr>
            <w:tcW w:w="1388" w:type="dxa"/>
            <w:vAlign w:val="center"/>
          </w:tcPr>
          <w:p w14:paraId="6F309543">
            <w:pPr>
              <w:widowControl/>
              <w:spacing w:line="360" w:lineRule="auto"/>
              <w:jc w:val="center"/>
              <w:rPr>
                <w:rFonts w:ascii="仿宋_GB2312" w:hAnsi="宋体" w:eastAsia="仿宋_GB2312"/>
                <w:sz w:val="24"/>
                <w:szCs w:val="24"/>
              </w:rPr>
            </w:pPr>
          </w:p>
        </w:tc>
        <w:tc>
          <w:tcPr>
            <w:tcW w:w="2864" w:type="dxa"/>
            <w:vAlign w:val="center"/>
          </w:tcPr>
          <w:p w14:paraId="28DA92C9">
            <w:pPr>
              <w:widowControl/>
              <w:spacing w:line="360" w:lineRule="auto"/>
              <w:rPr>
                <w:rFonts w:ascii="仿宋_GB2312" w:hAnsi="宋体" w:eastAsia="仿宋_GB2312"/>
                <w:sz w:val="24"/>
                <w:szCs w:val="24"/>
              </w:rPr>
            </w:pPr>
            <w:r>
              <w:rPr>
                <w:rFonts w:hint="eastAsia" w:ascii="仿宋_GB2312" w:hAnsi="宋体" w:eastAsia="仿宋_GB2312"/>
                <w:sz w:val="24"/>
                <w:szCs w:val="24"/>
              </w:rPr>
              <w:t>芯片类型：采用半导体制冷型一英寸 CCD（1024*256 像素），制冷温度-70℃;</w:t>
            </w:r>
          </w:p>
          <w:p w14:paraId="643DE470">
            <w:pPr>
              <w:widowControl/>
              <w:spacing w:line="360" w:lineRule="auto"/>
              <w:rPr>
                <w:rFonts w:ascii="仿宋_GB2312" w:hAnsi="宋体" w:eastAsia="仿宋_GB2312"/>
                <w:sz w:val="24"/>
                <w:szCs w:val="24"/>
              </w:rPr>
            </w:pPr>
            <w:r>
              <w:rPr>
                <w:rFonts w:hint="eastAsia" w:ascii="仿宋_GB2312" w:hAnsi="宋体" w:eastAsia="仿宋_GB2312"/>
                <w:sz w:val="24"/>
                <w:szCs w:val="24"/>
              </w:rPr>
              <w:t>像元尺寸≤ 26 *26 um;</w:t>
            </w:r>
          </w:p>
          <w:p w14:paraId="3571781A">
            <w:pPr>
              <w:widowControl/>
              <w:spacing w:line="360" w:lineRule="auto"/>
              <w:rPr>
                <w:rFonts w:ascii="仿宋_GB2312" w:hAnsi="宋体" w:eastAsia="仿宋_GB2312"/>
                <w:sz w:val="24"/>
                <w:szCs w:val="24"/>
              </w:rPr>
            </w:pPr>
            <w:r>
              <w:rPr>
                <w:rFonts w:hint="eastAsia" w:ascii="仿宋_GB2312" w:hAnsi="宋体" w:eastAsia="仿宋_GB2312"/>
                <w:sz w:val="24"/>
                <w:szCs w:val="24"/>
              </w:rPr>
              <w:t xml:space="preserve">光谱范围：200-1100 nm，量子效率峰值≥92%; </w:t>
            </w:r>
          </w:p>
          <w:p w14:paraId="5D1947FF">
            <w:pPr>
              <w:widowControl/>
              <w:spacing w:line="360" w:lineRule="auto"/>
              <w:rPr>
                <w:rFonts w:ascii="仿宋_GB2312" w:hAnsi="宋体" w:eastAsia="仿宋_GB2312"/>
                <w:sz w:val="24"/>
                <w:szCs w:val="24"/>
              </w:rPr>
            </w:pPr>
            <w:r>
              <w:rPr>
                <w:rFonts w:hint="eastAsia" w:ascii="仿宋_GB2312" w:hAnsi="宋体" w:eastAsia="仿宋_GB2312"/>
                <w:sz w:val="24"/>
                <w:szCs w:val="24"/>
              </w:rPr>
              <w:t>最小曝光时间 1ms;</w:t>
            </w:r>
          </w:p>
          <w:p w14:paraId="4F5C8A0C">
            <w:pPr>
              <w:widowControl/>
              <w:spacing w:line="360" w:lineRule="auto"/>
              <w:rPr>
                <w:rFonts w:ascii="仿宋_GB2312" w:hAnsi="宋体" w:eastAsia="仿宋_GB2312"/>
                <w:sz w:val="24"/>
                <w:szCs w:val="24"/>
              </w:rPr>
            </w:pPr>
            <w:r>
              <w:rPr>
                <w:rFonts w:hint="eastAsia" w:ascii="仿宋_GB2312" w:hAnsi="宋体" w:eastAsia="仿宋_GB2312"/>
                <w:sz w:val="24"/>
                <w:szCs w:val="24"/>
              </w:rPr>
              <w:t>暗噪音：≤0.003 电子/秒/像元， 读出噪音：≤4 电子/像元;</w:t>
            </w:r>
          </w:p>
        </w:tc>
        <w:tc>
          <w:tcPr>
            <w:tcW w:w="2126" w:type="dxa"/>
            <w:vAlign w:val="center"/>
          </w:tcPr>
          <w:p w14:paraId="2C28DEAE">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否</w:t>
            </w:r>
          </w:p>
        </w:tc>
      </w:tr>
      <w:tr w14:paraId="15EB0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35387B1E">
            <w:pPr>
              <w:spacing w:line="360" w:lineRule="auto"/>
              <w:jc w:val="center"/>
              <w:rPr>
                <w:rFonts w:ascii="仿宋_GB2312" w:hAnsi="宋体" w:eastAsia="仿宋_GB2312"/>
                <w:sz w:val="24"/>
                <w:szCs w:val="24"/>
              </w:rPr>
            </w:pPr>
            <w:r>
              <w:rPr>
                <w:rFonts w:hint="eastAsia" w:ascii="仿宋_GB2312" w:hAnsi="宋体" w:eastAsia="仿宋_GB2312"/>
                <w:sz w:val="24"/>
                <w:szCs w:val="24"/>
              </w:rPr>
              <w:t>11</w:t>
            </w:r>
          </w:p>
        </w:tc>
        <w:tc>
          <w:tcPr>
            <w:tcW w:w="1134" w:type="dxa"/>
            <w:vAlign w:val="center"/>
          </w:tcPr>
          <w:p w14:paraId="52D7F96D">
            <w:pPr>
              <w:widowControl/>
              <w:spacing w:line="360" w:lineRule="auto"/>
              <w:rPr>
                <w:rFonts w:ascii="仿宋_GB2312" w:hAnsi="宋体" w:eastAsia="仿宋_GB2312"/>
                <w:sz w:val="24"/>
                <w:szCs w:val="24"/>
              </w:rPr>
            </w:pPr>
            <w:r>
              <w:rPr>
                <w:rFonts w:hint="eastAsia" w:ascii="仿宋_GB2312" w:hAnsi="宋体" w:eastAsia="仿宋_GB2312"/>
                <w:sz w:val="24"/>
                <w:szCs w:val="24"/>
              </w:rPr>
              <w:t>显微镜</w:t>
            </w:r>
          </w:p>
        </w:tc>
        <w:tc>
          <w:tcPr>
            <w:tcW w:w="1388" w:type="dxa"/>
            <w:vAlign w:val="center"/>
          </w:tcPr>
          <w:p w14:paraId="4288A809">
            <w:pPr>
              <w:widowControl/>
              <w:spacing w:line="360" w:lineRule="auto"/>
              <w:jc w:val="center"/>
              <w:rPr>
                <w:rFonts w:ascii="仿宋_GB2312" w:hAnsi="宋体" w:eastAsia="仿宋_GB2312"/>
                <w:sz w:val="24"/>
                <w:szCs w:val="24"/>
              </w:rPr>
            </w:pPr>
          </w:p>
        </w:tc>
        <w:tc>
          <w:tcPr>
            <w:tcW w:w="2864" w:type="dxa"/>
            <w:vAlign w:val="center"/>
          </w:tcPr>
          <w:p w14:paraId="53FBD0D2">
            <w:pPr>
              <w:widowControl/>
              <w:spacing w:line="360" w:lineRule="auto"/>
              <w:rPr>
                <w:rFonts w:ascii="仿宋_GB2312" w:hAnsi="宋体" w:eastAsia="仿宋_GB2312"/>
                <w:sz w:val="24"/>
                <w:szCs w:val="24"/>
              </w:rPr>
            </w:pPr>
            <w:r>
              <w:rPr>
                <w:rFonts w:hint="eastAsia" w:ascii="仿宋_GB2312" w:hAnsi="宋体" w:eastAsia="仿宋_GB2312"/>
                <w:sz w:val="24"/>
                <w:szCs w:val="24"/>
              </w:rPr>
              <w:t>具备高质量透射照明；</w:t>
            </w:r>
          </w:p>
          <w:p w14:paraId="7E86F65B">
            <w:pPr>
              <w:widowControl/>
              <w:spacing w:line="360" w:lineRule="auto"/>
              <w:rPr>
                <w:rFonts w:ascii="仿宋_GB2312" w:hAnsi="宋体" w:eastAsia="仿宋_GB2312"/>
                <w:sz w:val="24"/>
                <w:szCs w:val="24"/>
              </w:rPr>
            </w:pPr>
            <w:r>
              <w:rPr>
                <w:rFonts w:hint="eastAsia" w:ascii="仿宋_GB2312" w:hAnsi="宋体" w:eastAsia="仿宋_GB2312"/>
                <w:sz w:val="24"/>
                <w:szCs w:val="24"/>
              </w:rPr>
              <w:t>高分辨彩色摄像头，≥500 万像素;</w:t>
            </w:r>
          </w:p>
          <w:p w14:paraId="49EEFB85">
            <w:pPr>
              <w:widowControl/>
              <w:spacing w:line="360" w:lineRule="auto"/>
              <w:rPr>
                <w:rFonts w:ascii="仿宋_GB2312" w:hAnsi="宋体" w:eastAsia="仿宋_GB2312"/>
                <w:sz w:val="24"/>
                <w:szCs w:val="24"/>
              </w:rPr>
            </w:pPr>
            <w:r>
              <w:rPr>
                <w:rFonts w:hint="eastAsia" w:ascii="仿宋_GB2312" w:hAnsi="宋体" w:eastAsia="仿宋_GB2312"/>
                <w:sz w:val="24"/>
                <w:szCs w:val="24"/>
              </w:rPr>
              <w:t>物镜：5X，x20，100X 标准物镜，50X长焦物镜;</w:t>
            </w:r>
          </w:p>
        </w:tc>
        <w:tc>
          <w:tcPr>
            <w:tcW w:w="2126" w:type="dxa"/>
            <w:vAlign w:val="center"/>
          </w:tcPr>
          <w:p w14:paraId="7033FFD8">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否</w:t>
            </w:r>
          </w:p>
        </w:tc>
      </w:tr>
      <w:tr w14:paraId="74F8E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7491EAE2">
            <w:pPr>
              <w:spacing w:line="360" w:lineRule="auto"/>
              <w:jc w:val="center"/>
              <w:rPr>
                <w:rFonts w:ascii="仿宋_GB2312" w:hAnsi="宋体" w:eastAsia="仿宋_GB2312"/>
                <w:sz w:val="24"/>
                <w:szCs w:val="24"/>
              </w:rPr>
            </w:pPr>
            <w:r>
              <w:rPr>
                <w:rFonts w:hint="eastAsia" w:ascii="仿宋_GB2312" w:hAnsi="宋体" w:eastAsia="仿宋_GB2312"/>
                <w:sz w:val="24"/>
                <w:szCs w:val="24"/>
              </w:rPr>
              <w:t>12</w:t>
            </w:r>
          </w:p>
        </w:tc>
        <w:tc>
          <w:tcPr>
            <w:tcW w:w="1134" w:type="dxa"/>
            <w:vAlign w:val="center"/>
          </w:tcPr>
          <w:p w14:paraId="1CECD00C">
            <w:pPr>
              <w:widowControl/>
              <w:spacing w:line="360" w:lineRule="auto"/>
              <w:rPr>
                <w:rFonts w:ascii="仿宋_GB2312" w:hAnsi="宋体" w:eastAsia="仿宋_GB2312"/>
                <w:sz w:val="24"/>
                <w:szCs w:val="24"/>
              </w:rPr>
            </w:pPr>
            <w:r>
              <w:rPr>
                <w:rFonts w:hint="eastAsia" w:ascii="仿宋_GB2312" w:hAnsi="宋体" w:eastAsia="仿宋_GB2312"/>
                <w:sz w:val="24"/>
                <w:szCs w:val="24"/>
              </w:rPr>
              <w:t>XYZ三维平台</w:t>
            </w:r>
          </w:p>
        </w:tc>
        <w:tc>
          <w:tcPr>
            <w:tcW w:w="1388" w:type="dxa"/>
            <w:vAlign w:val="center"/>
          </w:tcPr>
          <w:p w14:paraId="43F61E39">
            <w:pPr>
              <w:widowControl/>
              <w:spacing w:line="360" w:lineRule="auto"/>
              <w:jc w:val="center"/>
              <w:rPr>
                <w:rFonts w:ascii="仿宋_GB2312" w:hAnsi="宋体" w:eastAsia="仿宋_GB2312"/>
                <w:sz w:val="24"/>
                <w:szCs w:val="24"/>
              </w:rPr>
            </w:pPr>
          </w:p>
        </w:tc>
        <w:tc>
          <w:tcPr>
            <w:tcW w:w="2864" w:type="dxa"/>
            <w:vAlign w:val="center"/>
          </w:tcPr>
          <w:p w14:paraId="53F23D95">
            <w:pPr>
              <w:widowControl/>
              <w:spacing w:line="360" w:lineRule="auto"/>
              <w:rPr>
                <w:rFonts w:ascii="仿宋_GB2312" w:hAnsi="宋体" w:eastAsia="仿宋_GB2312"/>
                <w:sz w:val="24"/>
                <w:szCs w:val="24"/>
              </w:rPr>
            </w:pPr>
            <w:r>
              <w:rPr>
                <w:rFonts w:hint="eastAsia" w:ascii="仿宋_GB2312" w:hAnsi="宋体" w:eastAsia="仿宋_GB2312"/>
                <w:sz w:val="24"/>
                <w:szCs w:val="24"/>
              </w:rPr>
              <w:t>扫描范围：X ≥ 100 mm；Y ≥ 70 mm,精度 ≤ 10 nm;采用光栅尺反馈控制系统自动控制克服反向间隙，以避免因齿轮长期转动磨损而影响定位精度。</w:t>
            </w:r>
          </w:p>
        </w:tc>
        <w:tc>
          <w:tcPr>
            <w:tcW w:w="2126" w:type="dxa"/>
            <w:vAlign w:val="center"/>
          </w:tcPr>
          <w:p w14:paraId="0F3164E8">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否</w:t>
            </w:r>
          </w:p>
        </w:tc>
      </w:tr>
      <w:tr w14:paraId="16D75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0AF7DD42">
            <w:pPr>
              <w:spacing w:line="360" w:lineRule="auto"/>
              <w:jc w:val="center"/>
              <w:rPr>
                <w:rFonts w:ascii="仿宋_GB2312" w:hAnsi="宋体" w:eastAsia="仿宋_GB2312"/>
                <w:sz w:val="24"/>
                <w:szCs w:val="24"/>
              </w:rPr>
            </w:pPr>
            <w:r>
              <w:rPr>
                <w:rFonts w:hint="eastAsia" w:ascii="仿宋_GB2312" w:hAnsi="宋体" w:eastAsia="仿宋_GB2312"/>
                <w:sz w:val="24"/>
                <w:szCs w:val="24"/>
              </w:rPr>
              <w:t>13</w:t>
            </w:r>
          </w:p>
        </w:tc>
        <w:tc>
          <w:tcPr>
            <w:tcW w:w="1134" w:type="dxa"/>
            <w:vAlign w:val="center"/>
          </w:tcPr>
          <w:p w14:paraId="61EFF43B">
            <w:pPr>
              <w:widowControl/>
              <w:spacing w:line="360" w:lineRule="auto"/>
              <w:rPr>
                <w:rFonts w:ascii="仿宋_GB2312" w:hAnsi="宋体" w:eastAsia="仿宋_GB2312"/>
                <w:sz w:val="24"/>
                <w:szCs w:val="24"/>
              </w:rPr>
            </w:pPr>
            <w:r>
              <w:rPr>
                <w:rFonts w:hint="eastAsia" w:ascii="仿宋_GB2312" w:hAnsi="宋体" w:eastAsia="仿宋_GB2312"/>
                <w:sz w:val="24"/>
                <w:szCs w:val="24"/>
              </w:rPr>
              <w:t>反馈系统</w:t>
            </w:r>
          </w:p>
        </w:tc>
        <w:tc>
          <w:tcPr>
            <w:tcW w:w="1388" w:type="dxa"/>
            <w:vAlign w:val="center"/>
          </w:tcPr>
          <w:p w14:paraId="4D7971AC">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lang w:val="zh-CN"/>
              </w:rPr>
              <w:t>★</w:t>
            </w:r>
          </w:p>
        </w:tc>
        <w:tc>
          <w:tcPr>
            <w:tcW w:w="2864" w:type="dxa"/>
            <w:vAlign w:val="center"/>
          </w:tcPr>
          <w:p w14:paraId="470A9F16">
            <w:pPr>
              <w:widowControl/>
              <w:spacing w:line="360" w:lineRule="auto"/>
              <w:rPr>
                <w:rFonts w:ascii="仿宋_GB2312" w:hAnsi="宋体" w:eastAsia="仿宋_GB2312"/>
                <w:sz w:val="24"/>
                <w:szCs w:val="24"/>
              </w:rPr>
            </w:pPr>
            <w:r>
              <w:rPr>
                <w:rFonts w:hint="eastAsia" w:ascii="仿宋_GB2312" w:hAnsi="宋体" w:eastAsia="仿宋_GB2312"/>
                <w:sz w:val="24"/>
                <w:szCs w:val="24"/>
              </w:rPr>
              <w:t>滤光片转台、光栅转台、XYZ自动平台等齿轮传动部件，需具备光栅尺反馈补偿系统，以避免因齿轮长期转动磨损而影响定位精度。</w:t>
            </w:r>
          </w:p>
        </w:tc>
        <w:tc>
          <w:tcPr>
            <w:tcW w:w="2126" w:type="dxa"/>
            <w:vAlign w:val="center"/>
          </w:tcPr>
          <w:p w14:paraId="7D85F365">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是</w:t>
            </w:r>
          </w:p>
        </w:tc>
      </w:tr>
      <w:tr w14:paraId="204E8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5D90EFC5">
            <w:pPr>
              <w:spacing w:line="360" w:lineRule="auto"/>
              <w:jc w:val="center"/>
              <w:rPr>
                <w:rFonts w:ascii="仿宋_GB2312" w:hAnsi="宋体" w:eastAsia="仿宋_GB2312"/>
                <w:sz w:val="24"/>
                <w:szCs w:val="24"/>
              </w:rPr>
            </w:pPr>
            <w:r>
              <w:rPr>
                <w:rFonts w:hint="eastAsia" w:ascii="仿宋_GB2312" w:hAnsi="宋体" w:eastAsia="仿宋_GB2312"/>
                <w:sz w:val="24"/>
                <w:szCs w:val="24"/>
              </w:rPr>
              <w:t>14</w:t>
            </w:r>
          </w:p>
        </w:tc>
        <w:tc>
          <w:tcPr>
            <w:tcW w:w="1134" w:type="dxa"/>
            <w:vAlign w:val="center"/>
          </w:tcPr>
          <w:p w14:paraId="1C4B3C39">
            <w:pPr>
              <w:widowControl/>
              <w:spacing w:line="360" w:lineRule="auto"/>
              <w:rPr>
                <w:rFonts w:ascii="仿宋_GB2312" w:hAnsi="宋体" w:eastAsia="仿宋_GB2312"/>
                <w:sz w:val="24"/>
                <w:szCs w:val="24"/>
              </w:rPr>
            </w:pPr>
            <w:r>
              <w:rPr>
                <w:rFonts w:hint="eastAsia" w:ascii="仿宋_GB2312" w:hAnsi="宋体" w:eastAsia="仿宋_GB2312"/>
                <w:sz w:val="24"/>
                <w:szCs w:val="24"/>
              </w:rPr>
              <w:t>数据处理系统</w:t>
            </w:r>
          </w:p>
        </w:tc>
        <w:tc>
          <w:tcPr>
            <w:tcW w:w="1388" w:type="dxa"/>
            <w:vAlign w:val="center"/>
          </w:tcPr>
          <w:p w14:paraId="0D522084">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lang w:val="zh-CN"/>
              </w:rPr>
              <w:t>#</w:t>
            </w:r>
          </w:p>
        </w:tc>
        <w:tc>
          <w:tcPr>
            <w:tcW w:w="2864" w:type="dxa"/>
            <w:vAlign w:val="center"/>
          </w:tcPr>
          <w:p w14:paraId="22B61836">
            <w:pPr>
              <w:widowControl/>
              <w:spacing w:line="360" w:lineRule="auto"/>
              <w:rPr>
                <w:rFonts w:ascii="仿宋_GB2312" w:hAnsi="宋体" w:eastAsia="仿宋_GB2312"/>
                <w:sz w:val="24"/>
                <w:szCs w:val="24"/>
              </w:rPr>
            </w:pPr>
            <w:r>
              <w:rPr>
                <w:rFonts w:hint="eastAsia" w:ascii="仿宋_GB2312" w:hAnsi="宋体" w:eastAsia="仿宋_GB2312"/>
                <w:sz w:val="24"/>
                <w:szCs w:val="24"/>
              </w:rPr>
              <w:t>专业拉曼光谱采集和处理软件包，包括仪器控制，数据采集、计算和处理及曲线拟合等各项功能；具备软件自动去除成像数据中的批量宇宙射线功能。</w:t>
            </w:r>
          </w:p>
        </w:tc>
        <w:tc>
          <w:tcPr>
            <w:tcW w:w="2126" w:type="dxa"/>
            <w:vAlign w:val="center"/>
          </w:tcPr>
          <w:p w14:paraId="3ECB8232">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是</w:t>
            </w:r>
          </w:p>
        </w:tc>
      </w:tr>
      <w:tr w14:paraId="2D5A3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7F023C07">
            <w:pPr>
              <w:spacing w:line="360" w:lineRule="auto"/>
              <w:jc w:val="center"/>
              <w:rPr>
                <w:rFonts w:ascii="仿宋_GB2312" w:hAnsi="宋体" w:eastAsia="仿宋_GB2312"/>
                <w:sz w:val="24"/>
                <w:szCs w:val="24"/>
              </w:rPr>
            </w:pPr>
            <w:r>
              <w:rPr>
                <w:rFonts w:hint="eastAsia" w:ascii="仿宋_GB2312" w:hAnsi="宋体" w:eastAsia="仿宋_GB2312"/>
                <w:sz w:val="24"/>
                <w:szCs w:val="24"/>
              </w:rPr>
              <w:t>15</w:t>
            </w:r>
          </w:p>
        </w:tc>
        <w:tc>
          <w:tcPr>
            <w:tcW w:w="1134" w:type="dxa"/>
            <w:vAlign w:val="center"/>
          </w:tcPr>
          <w:p w14:paraId="13C5C8A4">
            <w:pPr>
              <w:widowControl/>
              <w:spacing w:line="360" w:lineRule="auto"/>
              <w:rPr>
                <w:rFonts w:ascii="仿宋_GB2312" w:hAnsi="宋体" w:eastAsia="仿宋_GB2312"/>
                <w:sz w:val="24"/>
                <w:szCs w:val="24"/>
              </w:rPr>
            </w:pPr>
            <w:r>
              <w:rPr>
                <w:rFonts w:hint="eastAsia" w:ascii="仿宋_GB2312" w:hAnsi="宋体" w:eastAsia="仿宋_GB2312"/>
                <w:sz w:val="24"/>
                <w:szCs w:val="24"/>
              </w:rPr>
              <w:t>操作系统</w:t>
            </w:r>
          </w:p>
        </w:tc>
        <w:tc>
          <w:tcPr>
            <w:tcW w:w="1388" w:type="dxa"/>
            <w:vAlign w:val="center"/>
          </w:tcPr>
          <w:p w14:paraId="25AEE4DE">
            <w:pPr>
              <w:widowControl/>
              <w:spacing w:line="360" w:lineRule="auto"/>
              <w:jc w:val="center"/>
              <w:rPr>
                <w:rFonts w:ascii="仿宋_GB2312" w:hAnsi="宋体" w:eastAsia="仿宋_GB2312"/>
                <w:sz w:val="24"/>
                <w:szCs w:val="24"/>
              </w:rPr>
            </w:pPr>
          </w:p>
        </w:tc>
        <w:tc>
          <w:tcPr>
            <w:tcW w:w="2864" w:type="dxa"/>
            <w:vAlign w:val="center"/>
          </w:tcPr>
          <w:p w14:paraId="418ECF59">
            <w:pPr>
              <w:widowControl/>
              <w:spacing w:line="360" w:lineRule="auto"/>
              <w:rPr>
                <w:rFonts w:ascii="仿宋_GB2312" w:hAnsi="宋体" w:eastAsia="仿宋_GB2312"/>
                <w:sz w:val="24"/>
                <w:szCs w:val="24"/>
              </w:rPr>
            </w:pPr>
            <w:r>
              <w:rPr>
                <w:rFonts w:hint="eastAsia" w:ascii="仿宋_GB2312" w:hAnsi="宋体" w:eastAsia="仿宋_GB2312"/>
                <w:sz w:val="24"/>
                <w:szCs w:val="24"/>
              </w:rPr>
              <w:t>CPU≥16 核， ≥24 线程，≥16G 内存，≥1T 硬盘，≥27 英寸 LCD 显示器，Windows10 以上操作系统。</w:t>
            </w:r>
          </w:p>
        </w:tc>
        <w:tc>
          <w:tcPr>
            <w:tcW w:w="2126" w:type="dxa"/>
            <w:vAlign w:val="center"/>
          </w:tcPr>
          <w:p w14:paraId="1EB553BD">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否</w:t>
            </w:r>
          </w:p>
        </w:tc>
      </w:tr>
      <w:tr w14:paraId="1A6D1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79A1B0F1">
            <w:pPr>
              <w:spacing w:line="360" w:lineRule="auto"/>
              <w:jc w:val="center"/>
              <w:rPr>
                <w:rFonts w:ascii="仿宋_GB2312" w:hAnsi="宋体" w:eastAsia="仿宋_GB2312"/>
                <w:sz w:val="24"/>
                <w:szCs w:val="24"/>
              </w:rPr>
            </w:pPr>
            <w:r>
              <w:rPr>
                <w:rFonts w:hint="eastAsia" w:ascii="仿宋_GB2312" w:hAnsi="宋体" w:eastAsia="仿宋_GB2312"/>
                <w:sz w:val="24"/>
                <w:szCs w:val="24"/>
              </w:rPr>
              <w:t>16</w:t>
            </w:r>
          </w:p>
        </w:tc>
        <w:tc>
          <w:tcPr>
            <w:tcW w:w="1134" w:type="dxa"/>
            <w:vAlign w:val="center"/>
          </w:tcPr>
          <w:p w14:paraId="4B0E01B0">
            <w:pPr>
              <w:widowControl/>
              <w:spacing w:line="360" w:lineRule="auto"/>
              <w:rPr>
                <w:rFonts w:ascii="仿宋_GB2312" w:hAnsi="宋体" w:eastAsia="仿宋_GB2312"/>
                <w:sz w:val="24"/>
                <w:szCs w:val="24"/>
              </w:rPr>
            </w:pPr>
            <w:r>
              <w:rPr>
                <w:rFonts w:hint="eastAsia" w:ascii="仿宋_GB2312" w:hAnsi="宋体" w:eastAsia="仿宋_GB2312"/>
                <w:sz w:val="24"/>
                <w:szCs w:val="24"/>
              </w:rPr>
              <w:t>扩展性</w:t>
            </w:r>
          </w:p>
        </w:tc>
        <w:tc>
          <w:tcPr>
            <w:tcW w:w="1388" w:type="dxa"/>
            <w:vAlign w:val="center"/>
          </w:tcPr>
          <w:p w14:paraId="7363ABC1">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lang w:val="zh-CN"/>
              </w:rPr>
              <w:t>★</w:t>
            </w:r>
          </w:p>
        </w:tc>
        <w:tc>
          <w:tcPr>
            <w:tcW w:w="2864" w:type="dxa"/>
            <w:vAlign w:val="center"/>
          </w:tcPr>
          <w:p w14:paraId="51C0FDC1">
            <w:pPr>
              <w:widowControl/>
              <w:spacing w:line="360" w:lineRule="auto"/>
              <w:rPr>
                <w:rFonts w:ascii="仿宋_GB2312" w:hAnsi="宋体" w:eastAsia="仿宋_GB2312"/>
                <w:sz w:val="24"/>
                <w:szCs w:val="24"/>
              </w:rPr>
            </w:pPr>
            <w:r>
              <w:rPr>
                <w:rFonts w:hint="eastAsia" w:ascii="仿宋_GB2312" w:hAnsi="宋体" w:eastAsia="仿宋_GB2312"/>
                <w:sz w:val="24"/>
                <w:szCs w:val="24"/>
              </w:rPr>
              <w:t>仪器可升级紫外（≥229nm）和红外波段（≤1064nm）的更多激发波长。</w:t>
            </w:r>
          </w:p>
        </w:tc>
        <w:tc>
          <w:tcPr>
            <w:tcW w:w="2126" w:type="dxa"/>
            <w:vAlign w:val="center"/>
          </w:tcPr>
          <w:p w14:paraId="73D3ABA7">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是</w:t>
            </w:r>
          </w:p>
        </w:tc>
      </w:tr>
      <w:tr w14:paraId="06D28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6724DB69">
            <w:pPr>
              <w:spacing w:line="360" w:lineRule="auto"/>
              <w:jc w:val="center"/>
              <w:rPr>
                <w:rFonts w:ascii="仿宋_GB2312" w:hAnsi="宋体" w:eastAsia="仿宋_GB2312"/>
                <w:sz w:val="24"/>
                <w:szCs w:val="24"/>
              </w:rPr>
            </w:pPr>
            <w:r>
              <w:rPr>
                <w:rFonts w:hint="eastAsia" w:ascii="仿宋_GB2312" w:hAnsi="宋体" w:eastAsia="仿宋_GB2312"/>
                <w:sz w:val="24"/>
                <w:szCs w:val="24"/>
              </w:rPr>
              <w:t>17</w:t>
            </w:r>
          </w:p>
        </w:tc>
        <w:tc>
          <w:tcPr>
            <w:tcW w:w="1134" w:type="dxa"/>
            <w:vAlign w:val="center"/>
          </w:tcPr>
          <w:p w14:paraId="0C023D30">
            <w:pPr>
              <w:widowControl/>
              <w:spacing w:line="360" w:lineRule="auto"/>
              <w:rPr>
                <w:rFonts w:ascii="仿宋_GB2312" w:hAnsi="宋体" w:eastAsia="仿宋_GB2312"/>
                <w:sz w:val="24"/>
                <w:szCs w:val="24"/>
              </w:rPr>
            </w:pPr>
            <w:r>
              <w:rPr>
                <w:rFonts w:hint="eastAsia" w:ascii="仿宋_GB2312" w:hAnsi="宋体" w:eastAsia="仿宋_GB2312"/>
                <w:sz w:val="24"/>
                <w:szCs w:val="24"/>
              </w:rPr>
              <w:t>配置</w:t>
            </w:r>
          </w:p>
        </w:tc>
        <w:tc>
          <w:tcPr>
            <w:tcW w:w="1388" w:type="dxa"/>
            <w:vAlign w:val="center"/>
          </w:tcPr>
          <w:p w14:paraId="4CF21F72">
            <w:pPr>
              <w:widowControl/>
              <w:spacing w:line="360" w:lineRule="auto"/>
              <w:jc w:val="center"/>
              <w:rPr>
                <w:rFonts w:ascii="仿宋_GB2312" w:hAnsi="宋体" w:eastAsia="仿宋_GB2312"/>
                <w:sz w:val="24"/>
                <w:szCs w:val="24"/>
              </w:rPr>
            </w:pPr>
          </w:p>
        </w:tc>
        <w:tc>
          <w:tcPr>
            <w:tcW w:w="2864" w:type="dxa"/>
            <w:vAlign w:val="center"/>
          </w:tcPr>
          <w:p w14:paraId="41FC3FD2">
            <w:pPr>
              <w:widowControl/>
              <w:spacing w:line="360" w:lineRule="auto"/>
              <w:rPr>
                <w:rFonts w:ascii="仿宋_GB2312" w:hAnsi="宋体" w:eastAsia="仿宋_GB2312"/>
                <w:sz w:val="24"/>
                <w:szCs w:val="24"/>
              </w:rPr>
            </w:pPr>
            <w:r>
              <w:rPr>
                <w:rFonts w:hint="eastAsia" w:ascii="仿宋_GB2312" w:hAnsi="宋体" w:eastAsia="仿宋_GB2312"/>
                <w:sz w:val="24"/>
                <w:szCs w:val="24"/>
              </w:rPr>
              <w:t>光谱仪 1台；CCD检测器 1套；</w:t>
            </w:r>
          </w:p>
          <w:p w14:paraId="341A0604">
            <w:pPr>
              <w:widowControl/>
              <w:spacing w:line="360" w:lineRule="auto"/>
              <w:rPr>
                <w:rFonts w:ascii="仿宋_GB2312" w:hAnsi="宋体" w:eastAsia="仿宋_GB2312"/>
                <w:sz w:val="24"/>
                <w:szCs w:val="24"/>
              </w:rPr>
            </w:pPr>
            <w:r>
              <w:rPr>
                <w:rFonts w:hint="eastAsia" w:ascii="仿宋_GB2312" w:hAnsi="宋体" w:eastAsia="仿宋_GB2312"/>
                <w:sz w:val="24"/>
                <w:szCs w:val="24"/>
              </w:rPr>
              <w:t>显微镜 1台，带目镜，4个物镜，1个摄像头；XYZ三维样品台 1个；激光器2台，配备干涉滤光片和瑞利滤光片；激光光路（配备扩束器） 2套；电脑工作站 1套；拉曼光谱采集和处理软件包 1套</w:t>
            </w:r>
          </w:p>
        </w:tc>
        <w:tc>
          <w:tcPr>
            <w:tcW w:w="2126" w:type="dxa"/>
            <w:vAlign w:val="center"/>
          </w:tcPr>
          <w:p w14:paraId="6565A0B1">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否</w:t>
            </w:r>
          </w:p>
        </w:tc>
      </w:tr>
      <w:tr w14:paraId="5814E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567640A2">
            <w:pPr>
              <w:spacing w:line="360" w:lineRule="auto"/>
              <w:jc w:val="center"/>
              <w:rPr>
                <w:rFonts w:ascii="仿宋_GB2312" w:hAnsi="宋体" w:eastAsia="仿宋_GB2312"/>
                <w:sz w:val="24"/>
                <w:szCs w:val="24"/>
              </w:rPr>
            </w:pPr>
            <w:r>
              <w:rPr>
                <w:rFonts w:hint="eastAsia" w:ascii="仿宋_GB2312" w:hAnsi="宋体" w:eastAsia="仿宋_GB2312"/>
                <w:sz w:val="24"/>
                <w:szCs w:val="24"/>
              </w:rPr>
              <w:t>...</w:t>
            </w:r>
          </w:p>
        </w:tc>
        <w:tc>
          <w:tcPr>
            <w:tcW w:w="1134" w:type="dxa"/>
            <w:vAlign w:val="center"/>
          </w:tcPr>
          <w:p w14:paraId="119A7872">
            <w:pPr>
              <w:widowControl/>
              <w:spacing w:line="360" w:lineRule="auto"/>
              <w:jc w:val="center"/>
              <w:rPr>
                <w:rFonts w:ascii="仿宋_GB2312" w:hAnsi="宋体" w:eastAsia="仿宋_GB2312"/>
                <w:sz w:val="24"/>
                <w:szCs w:val="24"/>
              </w:rPr>
            </w:pPr>
          </w:p>
        </w:tc>
        <w:tc>
          <w:tcPr>
            <w:tcW w:w="1388" w:type="dxa"/>
            <w:vAlign w:val="center"/>
          </w:tcPr>
          <w:p w14:paraId="6E0B6EF9">
            <w:pPr>
              <w:widowControl/>
              <w:spacing w:line="360" w:lineRule="auto"/>
              <w:jc w:val="center"/>
              <w:rPr>
                <w:rFonts w:ascii="仿宋_GB2312" w:hAnsi="宋体" w:eastAsia="仿宋_GB2312"/>
                <w:sz w:val="24"/>
                <w:szCs w:val="24"/>
              </w:rPr>
            </w:pPr>
          </w:p>
        </w:tc>
        <w:tc>
          <w:tcPr>
            <w:tcW w:w="2864" w:type="dxa"/>
            <w:vAlign w:val="center"/>
          </w:tcPr>
          <w:p w14:paraId="47AD4430">
            <w:pPr>
              <w:widowControl/>
              <w:spacing w:line="360" w:lineRule="auto"/>
              <w:jc w:val="center"/>
              <w:rPr>
                <w:rFonts w:ascii="仿宋_GB2312" w:hAnsi="宋体" w:eastAsia="仿宋_GB2312"/>
                <w:sz w:val="24"/>
                <w:szCs w:val="24"/>
              </w:rPr>
            </w:pPr>
          </w:p>
        </w:tc>
        <w:tc>
          <w:tcPr>
            <w:tcW w:w="2126" w:type="dxa"/>
            <w:vAlign w:val="center"/>
          </w:tcPr>
          <w:p w14:paraId="5D1DB77C">
            <w:pPr>
              <w:widowControl/>
              <w:spacing w:line="360" w:lineRule="auto"/>
              <w:jc w:val="center"/>
              <w:rPr>
                <w:rFonts w:ascii="仿宋_GB2312" w:hAnsi="宋体" w:eastAsia="仿宋_GB2312"/>
                <w:sz w:val="24"/>
                <w:szCs w:val="24"/>
              </w:rPr>
            </w:pPr>
          </w:p>
        </w:tc>
      </w:tr>
    </w:tbl>
    <w:p w14:paraId="34C521FE">
      <w:pPr>
        <w:autoSpaceDE w:val="0"/>
        <w:autoSpaceDN w:val="0"/>
        <w:adjustRightInd w:val="0"/>
        <w:snapToGrid w:val="0"/>
        <w:spacing w:before="156" w:beforeLines="50" w:line="360" w:lineRule="auto"/>
        <w:jc w:val="left"/>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说明：</w:t>
      </w:r>
    </w:p>
    <w:p w14:paraId="09B5DAE7">
      <w:pPr>
        <w:autoSpaceDE w:val="0"/>
        <w:autoSpaceDN w:val="0"/>
        <w:adjustRightInd w:val="0"/>
        <w:snapToGrid w:val="0"/>
        <w:spacing w:line="360" w:lineRule="auto"/>
        <w:ind w:firstLine="480" w:firstLineChars="200"/>
        <w:jc w:val="left"/>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1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①</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重要性可用“★”“#”表示，“★”代表关键指标，不满足该指标项将导致响应被拒绝；“#”代表重要指标；无标识则表示属一般指标项。</w:t>
      </w:r>
    </w:p>
    <w:p w14:paraId="209B8A4A">
      <w:pPr>
        <w:autoSpaceDE w:val="0"/>
        <w:autoSpaceDN w:val="0"/>
        <w:adjustRightInd w:val="0"/>
        <w:snapToGrid w:val="0"/>
        <w:spacing w:line="360" w:lineRule="auto"/>
        <w:ind w:firstLine="480" w:firstLineChars="200"/>
        <w:jc w:val="left"/>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2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②</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证明材料要求”项可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p>
    <w:p w14:paraId="4511E18B">
      <w:pPr>
        <w:widowControl/>
        <w:shd w:val="clear" w:color="auto" w:fill="FFFFFF"/>
        <w:spacing w:line="360" w:lineRule="auto"/>
        <w:ind w:firstLine="560" w:firstLineChars="200"/>
        <w:rPr>
          <w:rFonts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（二）高速高分辨率共聚焦显微激光拉曼光谱仪（1台）</w:t>
      </w:r>
    </w:p>
    <w:p w14:paraId="4030850A">
      <w:pPr>
        <w:widowControl/>
        <w:shd w:val="clear" w:color="auto" w:fill="FFFFFF"/>
        <w:spacing w:line="360" w:lineRule="auto"/>
        <w:ind w:firstLine="482" w:firstLineChars="200"/>
        <w:jc w:val="left"/>
        <w:rPr>
          <w:rFonts w:ascii="仿宋_GB2312" w:hAnsi="宋体" w:eastAsia="仿宋_GB2312"/>
          <w:b/>
          <w:bCs/>
          <w:i/>
          <w:iCs/>
          <w:sz w:val="24"/>
          <w:szCs w:val="24"/>
        </w:rPr>
      </w:pPr>
      <w:r>
        <w:rPr>
          <w:rFonts w:hint="eastAsia" w:ascii="仿宋_GB2312" w:hAnsi="宋体" w:eastAsia="仿宋_GB2312"/>
          <w:b/>
          <w:bCs/>
          <w:sz w:val="24"/>
          <w:szCs w:val="24"/>
        </w:rPr>
        <w:t>1.功能要求：</w:t>
      </w:r>
    </w:p>
    <w:p w14:paraId="206CB950">
      <w:pPr>
        <w:widowControl/>
        <w:shd w:val="clear" w:color="auto" w:fill="FFFFFF"/>
        <w:spacing w:line="360" w:lineRule="auto"/>
        <w:ind w:firstLine="480" w:firstLineChars="200"/>
        <w:rPr>
          <w:rFonts w:ascii="仿宋_GB2312" w:hAnsi="宋体" w:eastAsia="仿宋_GB2312"/>
          <w:sz w:val="24"/>
          <w:szCs w:val="24"/>
        </w:rPr>
      </w:pPr>
      <w:r>
        <w:rPr>
          <w:rFonts w:hint="eastAsia" w:ascii="仿宋_GB2312" w:hAnsi="宋体" w:eastAsia="仿宋_GB2312"/>
          <w:sz w:val="24"/>
          <w:szCs w:val="24"/>
        </w:rPr>
        <w:t>本设备用于支撑海洋矿产资源、海洋地球化学、石油地质学、油气地球化学等课程进行岩石储集物性测定实验（油气储层中不同成岩矿物组成结构观测、储层中不同世代流体包裹体组成性质测定、沉积层中天然气水合物的组成结构与微观分布的观测、甲烷等天然气体包裹体的密度-压力观测、矿物包裹体中二氧化碳同位素观测、烃源岩有机质热成熟度观测、以及有机质生烃演化过程的高压原位光谱观测实验教学）,提供快速化学成像分析鉴别方案。满足本科生、研究生论文研究的测试需求。</w:t>
      </w:r>
    </w:p>
    <w:p w14:paraId="060DF307">
      <w:pPr>
        <w:widowControl/>
        <w:shd w:val="clear" w:color="auto" w:fill="FFFFFF"/>
        <w:spacing w:line="360" w:lineRule="auto"/>
        <w:ind w:firstLine="480" w:firstLineChars="200"/>
        <w:rPr>
          <w:rFonts w:ascii="仿宋_GB2312" w:hAnsi="宋体" w:eastAsia="仿宋_GB2312"/>
          <w:sz w:val="24"/>
          <w:szCs w:val="24"/>
        </w:rPr>
      </w:pPr>
      <w:r>
        <w:rPr>
          <w:rFonts w:hint="eastAsia" w:ascii="仿宋_GB2312" w:hAnsi="宋体" w:eastAsia="仿宋_GB2312"/>
          <w:sz w:val="24"/>
          <w:szCs w:val="24"/>
        </w:rPr>
        <w:t>该设备能实现：（1）高分辨率兼顾高灵敏度，用于观测矿物包裹体中二氧化碳同位素，以及甲烷等气体密度、压力、应力对光谱位移变化的高分辨率的要求；（2）快速成像且高信噪比，用于获得矿物和水溶液中拉曼活性物质的浓度剖面；（3）低背景、抗荧光干扰性能，用于油气等有机流体组成的观测；（4）配有控制样品温度的冷热台，便于观测非常温下天然气水合物的组成结构、观测矿物包裹体高于均一温度时的拉曼光谱。设备的高分辨、高灵敏度、快速成像及优异的抗荧光能力，针对微观、原位、高灵敏度的地球化学过程的快速观测，形成“宏观探测-微观剖析”的完整技术链条，极大提升我校在海洋资源、环境等交叉学科领域的创新教学与综合研究实力。</w:t>
      </w:r>
    </w:p>
    <w:p w14:paraId="13066254">
      <w:pPr>
        <w:pStyle w:val="10"/>
        <w:widowControl/>
        <w:numPr>
          <w:ilvl w:val="0"/>
          <w:numId w:val="3"/>
        </w:numPr>
        <w:shd w:val="clear" w:color="auto" w:fill="FFFFFF"/>
        <w:spacing w:line="360" w:lineRule="auto"/>
        <w:ind w:firstLineChars="0"/>
        <w:rPr>
          <w:rFonts w:ascii="仿宋_GB2312" w:hAnsi="宋体" w:eastAsia="仿宋_GB2312"/>
          <w:sz w:val="24"/>
          <w:szCs w:val="24"/>
        </w:rPr>
      </w:pPr>
      <w:r>
        <w:rPr>
          <w:rFonts w:hint="eastAsia" w:ascii="仿宋_GB2312" w:hAnsi="宋体" w:eastAsia="仿宋_GB2312"/>
          <w:sz w:val="24"/>
          <w:szCs w:val="24"/>
        </w:rPr>
        <w:t>该设备应具备532nm波长等两种激光器的全自动切换激发能力，光谱分辨率优于0.7 cm</w:t>
      </w:r>
      <w:r>
        <w:rPr>
          <w:rFonts w:hint="eastAsia" w:ascii="仿宋_GB2312" w:hAnsi="宋体" w:eastAsia="仿宋_GB2312"/>
          <w:sz w:val="24"/>
          <w:szCs w:val="24"/>
          <w:vertAlign w:val="superscript"/>
        </w:rPr>
        <w:t>-1</w:t>
      </w:r>
      <w:r>
        <w:rPr>
          <w:rFonts w:hint="eastAsia" w:ascii="仿宋_GB2312" w:hAnsi="宋体" w:eastAsia="仿宋_GB2312"/>
          <w:sz w:val="24"/>
          <w:szCs w:val="24"/>
        </w:rPr>
        <w:t>，横向空间分辨率≤1000nm，纵向空间分辨率≤2000nm，可清晰识别硅四阶拉曼峰，满足地质样品高分辨率微区精细分析需求。</w:t>
      </w:r>
    </w:p>
    <w:p w14:paraId="56AD1C8B">
      <w:pPr>
        <w:widowControl/>
        <w:numPr>
          <w:ilvl w:val="0"/>
          <w:numId w:val="3"/>
        </w:numPr>
        <w:shd w:val="clear" w:color="auto" w:fill="FFFFFF"/>
        <w:spacing w:line="360" w:lineRule="auto"/>
        <w:ind w:firstLine="482" w:firstLineChars="200"/>
        <w:jc w:val="left"/>
        <w:rPr>
          <w:rFonts w:ascii="仿宋_GB2312" w:hAnsi="宋体" w:eastAsia="仿宋_GB2312"/>
          <w:b/>
          <w:bCs/>
          <w:sz w:val="24"/>
          <w:szCs w:val="24"/>
        </w:rPr>
      </w:pPr>
      <w:r>
        <w:rPr>
          <w:rFonts w:hint="eastAsia" w:ascii="仿宋_GB2312" w:hAnsi="宋体" w:eastAsia="仿宋_GB2312"/>
          <w:b/>
          <w:bCs/>
          <w:sz w:val="24"/>
          <w:szCs w:val="24"/>
        </w:rPr>
        <w:t>应遵循的相关国家标准、行业标准、地方标准等标准、规范：</w:t>
      </w:r>
    </w:p>
    <w:p w14:paraId="4A2CEBCB">
      <w:pPr>
        <w:widowControl/>
        <w:shd w:val="clear" w:color="auto" w:fill="FFFFFF"/>
        <w:spacing w:line="360" w:lineRule="auto"/>
        <w:ind w:firstLine="480" w:firstLineChars="200"/>
        <w:rPr>
          <w:rFonts w:ascii="仿宋_GB2312" w:hAnsi="宋体" w:eastAsia="仿宋_GB2312"/>
          <w:sz w:val="24"/>
          <w:szCs w:val="24"/>
        </w:rPr>
      </w:pPr>
      <w:r>
        <w:rPr>
          <w:rFonts w:hint="eastAsia" w:ascii="仿宋_GB2312" w:hAnsi="宋体" w:eastAsia="仿宋_GB2312"/>
          <w:sz w:val="24"/>
          <w:szCs w:val="24"/>
        </w:rPr>
        <w:t>主要参考国家标准：GB/T 33252-2016《纳米技术 激光共聚焦显微拉曼光谱仪性能测试》等。</w:t>
      </w:r>
    </w:p>
    <w:p w14:paraId="385EA8C8">
      <w:pPr>
        <w:widowControl/>
        <w:numPr>
          <w:ilvl w:val="0"/>
          <w:numId w:val="3"/>
        </w:numPr>
        <w:shd w:val="clear" w:color="auto" w:fill="FFFFFF"/>
        <w:spacing w:line="360" w:lineRule="auto"/>
        <w:ind w:firstLine="482" w:firstLineChars="200"/>
        <w:rPr>
          <w:rFonts w:ascii="仿宋_GB2312" w:hAnsi="宋体" w:eastAsia="仿宋_GB2312"/>
          <w:b/>
          <w:bCs/>
          <w:sz w:val="24"/>
          <w:szCs w:val="24"/>
        </w:rPr>
      </w:pPr>
      <w:r>
        <w:rPr>
          <w:rFonts w:hint="eastAsia" w:ascii="仿宋_GB2312" w:hAnsi="宋体" w:eastAsia="仿宋_GB2312"/>
          <w:b/>
          <w:bCs/>
          <w:sz w:val="24"/>
          <w:szCs w:val="24"/>
        </w:rPr>
        <w:t>后续运营维护、升级更新、备品备件等要求：</w:t>
      </w:r>
    </w:p>
    <w:p w14:paraId="227DD8ED">
      <w:pPr>
        <w:widowControl/>
        <w:shd w:val="clear" w:color="auto" w:fill="FFFFFF"/>
        <w:spacing w:line="360" w:lineRule="auto"/>
        <w:ind w:firstLine="480" w:firstLineChars="200"/>
        <w:rPr>
          <w:rFonts w:ascii="仿宋_GB2312" w:hAnsi="宋体" w:eastAsia="仿宋_GB2312"/>
          <w:sz w:val="24"/>
          <w:szCs w:val="24"/>
        </w:rPr>
      </w:pPr>
      <w:r>
        <w:rPr>
          <w:rFonts w:hint="eastAsia" w:ascii="仿宋_GB2312" w:hAnsi="宋体" w:eastAsia="仿宋_GB2312"/>
          <w:sz w:val="24"/>
          <w:szCs w:val="24"/>
        </w:rPr>
        <w:t>运维服务：供应商需提供≥2年免费整机质保（含激光器、光栅、检测器等核心部件），质保期内每半年开展1次现场巡检，故障响应时间≤24小时，修复时间≤72小时；提供原厂操作培训（不少于4人次·天，含理论+实操），确保操作人员独立掌握设备使用及基础维护技能。</w:t>
      </w:r>
    </w:p>
    <w:p w14:paraId="50F7AE86">
      <w:pPr>
        <w:widowControl/>
        <w:shd w:val="clear" w:color="auto" w:fill="FFFFFF"/>
        <w:spacing w:line="360" w:lineRule="auto"/>
        <w:ind w:firstLine="480" w:firstLineChars="200"/>
        <w:rPr>
          <w:rFonts w:ascii="仿宋_GB2312" w:hAnsi="宋体" w:eastAsia="仿宋_GB2312"/>
          <w:sz w:val="24"/>
          <w:szCs w:val="24"/>
        </w:rPr>
      </w:pPr>
      <w:r>
        <w:rPr>
          <w:rFonts w:hint="eastAsia" w:ascii="仿宋_GB2312" w:hAnsi="宋体" w:eastAsia="仿宋_GB2312"/>
          <w:sz w:val="24"/>
          <w:szCs w:val="24"/>
        </w:rPr>
        <w:t>升级更新：设备软件终身免费升级，硬件支持后续功能扩展（如新增激发波长模块、偏振控制模块等），供应商需在新技术推出后30日内告知用户升级方案。</w:t>
      </w:r>
    </w:p>
    <w:p w14:paraId="48EF2DE2">
      <w:pPr>
        <w:widowControl/>
        <w:shd w:val="clear" w:color="auto" w:fill="FFFFFF"/>
        <w:spacing w:line="360" w:lineRule="auto"/>
        <w:ind w:firstLine="480" w:firstLineChars="200"/>
        <w:rPr>
          <w:rFonts w:ascii="仿宋_GB2312" w:hAnsi="宋体" w:eastAsia="仿宋_GB2312"/>
          <w:sz w:val="24"/>
          <w:szCs w:val="24"/>
        </w:rPr>
      </w:pPr>
      <w:r>
        <w:rPr>
          <w:rFonts w:hint="eastAsia" w:ascii="仿宋_GB2312" w:hAnsi="宋体" w:eastAsia="仿宋_GB2312"/>
          <w:sz w:val="24"/>
          <w:szCs w:val="24"/>
        </w:rPr>
        <w:t>备品备件：质保期外提供全生命周期备件供应保障（承诺供应周期≥10年），常用备件（如激光器窗口片、CCD制冷模块、物镜等）需在用户提出需求后7个工作日内到货；提供备件价格清单，确保价格不高于市场同期水平。</w:t>
      </w:r>
    </w:p>
    <w:p w14:paraId="1AC023D3">
      <w:pPr>
        <w:spacing w:line="360" w:lineRule="auto"/>
        <w:ind w:firstLine="482" w:firstLineChars="200"/>
        <w:outlineLvl w:val="0"/>
        <w:rPr>
          <w:rFonts w:ascii="仿宋_GB2312" w:hAnsi="宋体" w:eastAsia="仿宋_GB2312"/>
          <w:sz w:val="24"/>
          <w:szCs w:val="24"/>
        </w:rPr>
      </w:pPr>
      <w:r>
        <w:rPr>
          <w:rFonts w:hint="eastAsia" w:ascii="仿宋_GB2312" w:hAnsi="宋体" w:eastAsia="仿宋_GB2312"/>
          <w:b/>
          <w:bCs/>
          <w:sz w:val="24"/>
          <w:szCs w:val="24"/>
        </w:rPr>
        <w:t>4.各项指标要求：</w:t>
      </w:r>
    </w:p>
    <w:tbl>
      <w:tblPr>
        <w:tblStyle w:val="6"/>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134"/>
        <w:gridCol w:w="1388"/>
        <w:gridCol w:w="2864"/>
        <w:gridCol w:w="2126"/>
      </w:tblGrid>
      <w:tr w14:paraId="539C5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6704E3F9">
            <w:pPr>
              <w:spacing w:line="360" w:lineRule="auto"/>
              <w:jc w:val="center"/>
              <w:rPr>
                <w:rFonts w:ascii="仿宋_GB2312" w:hAnsi="宋体" w:eastAsia="仿宋_GB2312"/>
                <w:b/>
                <w:sz w:val="24"/>
                <w:szCs w:val="24"/>
              </w:rPr>
            </w:pPr>
            <w:r>
              <w:rPr>
                <w:rFonts w:hint="eastAsia" w:ascii="仿宋_GB2312" w:hAnsi="宋体" w:eastAsia="仿宋_GB2312"/>
                <w:b/>
                <w:sz w:val="24"/>
                <w:szCs w:val="24"/>
              </w:rPr>
              <w:t>序号</w:t>
            </w:r>
          </w:p>
        </w:tc>
        <w:tc>
          <w:tcPr>
            <w:tcW w:w="1134" w:type="dxa"/>
            <w:vAlign w:val="center"/>
          </w:tcPr>
          <w:p w14:paraId="41AABCCC">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指标项</w:t>
            </w:r>
          </w:p>
        </w:tc>
        <w:tc>
          <w:tcPr>
            <w:tcW w:w="1388" w:type="dxa"/>
            <w:vAlign w:val="center"/>
          </w:tcPr>
          <w:p w14:paraId="4E19A2D1">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重要性</w:t>
            </w:r>
          </w:p>
        </w:tc>
        <w:tc>
          <w:tcPr>
            <w:tcW w:w="2864" w:type="dxa"/>
            <w:vAlign w:val="center"/>
          </w:tcPr>
          <w:p w14:paraId="48881B6B">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指标要求</w:t>
            </w:r>
          </w:p>
        </w:tc>
        <w:tc>
          <w:tcPr>
            <w:tcW w:w="2126" w:type="dxa"/>
            <w:vAlign w:val="center"/>
          </w:tcPr>
          <w:p w14:paraId="2890BC80">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证明材料要求</w:t>
            </w:r>
          </w:p>
        </w:tc>
      </w:tr>
      <w:tr w14:paraId="0D835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2F090307">
            <w:pPr>
              <w:spacing w:line="360" w:lineRule="auto"/>
              <w:jc w:val="center"/>
              <w:rPr>
                <w:rFonts w:ascii="仿宋_GB2312" w:hAnsi="宋体" w:eastAsia="仿宋_GB2312"/>
                <w:sz w:val="24"/>
                <w:szCs w:val="24"/>
              </w:rPr>
            </w:pPr>
            <w:r>
              <w:rPr>
                <w:rFonts w:hint="eastAsia" w:ascii="仿宋_GB2312" w:hAnsi="宋体" w:eastAsia="仿宋_GB2312"/>
                <w:sz w:val="24"/>
                <w:szCs w:val="24"/>
              </w:rPr>
              <w:t>1</w:t>
            </w:r>
          </w:p>
        </w:tc>
        <w:tc>
          <w:tcPr>
            <w:tcW w:w="1134" w:type="dxa"/>
            <w:vAlign w:val="center"/>
          </w:tcPr>
          <w:p w14:paraId="07C6015B">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拉曼光谱仪主机：真实针孔共聚焦系统</w:t>
            </w:r>
          </w:p>
        </w:tc>
        <w:tc>
          <w:tcPr>
            <w:tcW w:w="1388" w:type="dxa"/>
            <w:vAlign w:val="center"/>
          </w:tcPr>
          <w:p w14:paraId="522EC36B">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lang w:val="zh-CN"/>
              </w:rPr>
              <w:t>#</w:t>
            </w:r>
          </w:p>
        </w:tc>
        <w:tc>
          <w:tcPr>
            <w:tcW w:w="2864" w:type="dxa"/>
            <w:vAlign w:val="center"/>
          </w:tcPr>
          <w:p w14:paraId="670BC506">
            <w:pPr>
              <w:widowControl/>
              <w:spacing w:line="360" w:lineRule="auto"/>
              <w:rPr>
                <w:rFonts w:ascii="仿宋_GB2312" w:hAnsi="宋体" w:eastAsia="仿宋_GB2312"/>
                <w:sz w:val="24"/>
                <w:szCs w:val="24"/>
              </w:rPr>
            </w:pPr>
            <w:r>
              <w:rPr>
                <w:rFonts w:hint="eastAsia" w:ascii="仿宋_GB2312" w:hAnsi="宋体" w:eastAsia="仿宋_GB2312"/>
                <w:sz w:val="24"/>
                <w:szCs w:val="24"/>
              </w:rPr>
              <w:t>针孔大小可自动连续调节10-1000 μm，实现纵向分辨率≤2000nm@532nm波长</w:t>
            </w:r>
          </w:p>
          <w:p w14:paraId="49925943">
            <w:pPr>
              <w:widowControl/>
              <w:spacing w:line="360" w:lineRule="auto"/>
              <w:jc w:val="center"/>
              <w:rPr>
                <w:rFonts w:ascii="仿宋_GB2312" w:hAnsi="宋体" w:eastAsia="仿宋_GB2312"/>
                <w:sz w:val="24"/>
                <w:szCs w:val="24"/>
              </w:rPr>
            </w:pPr>
          </w:p>
        </w:tc>
        <w:tc>
          <w:tcPr>
            <w:tcW w:w="2126" w:type="dxa"/>
            <w:vAlign w:val="center"/>
          </w:tcPr>
          <w:p w14:paraId="0E773044">
            <w:pPr>
              <w:widowControl/>
              <w:spacing w:line="360" w:lineRule="auto"/>
              <w:jc w:val="center"/>
              <w:rPr>
                <w:rFonts w:ascii="仿宋_GB2312" w:hAnsi="宋体" w:eastAsia="仿宋_GB2312"/>
                <w:sz w:val="24"/>
                <w:szCs w:val="24"/>
              </w:rPr>
            </w:pPr>
            <w:r>
              <w:rPr>
                <w:rFonts w:hint="eastAsia" w:ascii="仿宋_GB2312" w:hAnsi="宋体" w:eastAsia="仿宋_GB2312" w:cs="宋体"/>
                <w:snapToGrid w:val="0"/>
                <w:kern w:val="0"/>
                <w:sz w:val="24"/>
                <w:szCs w:val="24"/>
                <w:lang w:val="zh-CN"/>
              </w:rPr>
              <w:t>否</w:t>
            </w:r>
          </w:p>
        </w:tc>
      </w:tr>
      <w:tr w14:paraId="15BAC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033E2F02">
            <w:pPr>
              <w:spacing w:line="360" w:lineRule="auto"/>
              <w:jc w:val="center"/>
              <w:rPr>
                <w:rFonts w:ascii="仿宋_GB2312" w:hAnsi="宋体" w:eastAsia="仿宋_GB2312"/>
                <w:sz w:val="24"/>
                <w:szCs w:val="24"/>
              </w:rPr>
            </w:pPr>
            <w:r>
              <w:rPr>
                <w:rFonts w:hint="eastAsia" w:ascii="仿宋_GB2312" w:hAnsi="宋体" w:eastAsia="仿宋_GB2312"/>
                <w:sz w:val="24"/>
                <w:szCs w:val="24"/>
              </w:rPr>
              <w:t>2</w:t>
            </w:r>
          </w:p>
        </w:tc>
        <w:tc>
          <w:tcPr>
            <w:tcW w:w="1134" w:type="dxa"/>
            <w:vAlign w:val="center"/>
          </w:tcPr>
          <w:p w14:paraId="039E0160">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光谱范围、分辨率、重复性</w:t>
            </w:r>
          </w:p>
        </w:tc>
        <w:tc>
          <w:tcPr>
            <w:tcW w:w="1388" w:type="dxa"/>
            <w:vAlign w:val="center"/>
          </w:tcPr>
          <w:p w14:paraId="5FA76258">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lang w:val="zh-CN"/>
              </w:rPr>
              <w:t>★</w:t>
            </w:r>
          </w:p>
        </w:tc>
        <w:tc>
          <w:tcPr>
            <w:tcW w:w="2864" w:type="dxa"/>
            <w:vAlign w:val="center"/>
          </w:tcPr>
          <w:p w14:paraId="3374A9B8">
            <w:pPr>
              <w:widowControl/>
              <w:spacing w:line="360" w:lineRule="auto"/>
              <w:rPr>
                <w:rFonts w:ascii="仿宋_GB2312" w:hAnsi="宋体" w:eastAsia="仿宋_GB2312"/>
                <w:sz w:val="24"/>
                <w:szCs w:val="24"/>
              </w:rPr>
            </w:pPr>
            <w:r>
              <w:rPr>
                <w:rFonts w:hint="eastAsia" w:ascii="仿宋_GB2312" w:hAnsi="宋体" w:eastAsia="仿宋_GB2312"/>
                <w:sz w:val="24"/>
                <w:szCs w:val="24"/>
              </w:rPr>
              <w:t>光谱仪焦长 &gt;300mm，高分辨率兼顾高灵敏度,光谱覆盖范围：50</w:t>
            </w:r>
            <w:r>
              <w:rPr>
                <w:rFonts w:ascii="仿宋_GB2312" w:hAnsi="宋体" w:eastAsia="仿宋_GB2312"/>
                <w:sz w:val="24"/>
                <w:szCs w:val="24"/>
              </w:rPr>
              <w:t>–</w:t>
            </w:r>
            <w:r>
              <w:rPr>
                <w:rFonts w:hint="eastAsia" w:ascii="仿宋_GB2312" w:hAnsi="宋体" w:eastAsia="仿宋_GB2312"/>
                <w:sz w:val="24"/>
                <w:szCs w:val="24"/>
              </w:rPr>
              <w:t>4000</w:t>
            </w:r>
            <w:r>
              <w:rPr>
                <w:rFonts w:ascii="仿宋_GB2312" w:hAnsi="宋体" w:eastAsia="仿宋_GB2312"/>
                <w:sz w:val="24"/>
                <w:szCs w:val="24"/>
              </w:rPr>
              <w:t xml:space="preserve"> </w:t>
            </w:r>
            <w:r>
              <w:rPr>
                <w:rFonts w:hint="eastAsia" w:ascii="仿宋_GB2312" w:hAnsi="宋体" w:eastAsia="仿宋_GB2312"/>
                <w:sz w:val="24"/>
                <w:szCs w:val="24"/>
              </w:rPr>
              <w:t>cm</w:t>
            </w:r>
            <w:r>
              <w:rPr>
                <w:rFonts w:hint="eastAsia" w:ascii="仿宋_GB2312" w:hAnsi="宋体" w:eastAsia="仿宋_GB2312"/>
                <w:sz w:val="24"/>
                <w:szCs w:val="24"/>
                <w:vertAlign w:val="superscript"/>
              </w:rPr>
              <w:t>-1</w:t>
            </w:r>
            <w:r>
              <w:rPr>
                <w:rFonts w:hint="eastAsia" w:ascii="仿宋_GB2312" w:hAnsi="宋体" w:eastAsia="仿宋_GB2312"/>
                <w:sz w:val="24"/>
                <w:szCs w:val="24"/>
              </w:rPr>
              <w:t>;光谱分辨率优于0.7cm</w:t>
            </w:r>
            <w:r>
              <w:rPr>
                <w:rFonts w:hint="eastAsia" w:ascii="仿宋_GB2312" w:hAnsi="宋体" w:eastAsia="仿宋_GB2312"/>
                <w:sz w:val="24"/>
                <w:szCs w:val="24"/>
                <w:vertAlign w:val="superscript"/>
              </w:rPr>
              <w:t>-1</w:t>
            </w:r>
            <w:r>
              <w:rPr>
                <w:rFonts w:hint="eastAsia" w:ascii="仿宋_GB2312" w:hAnsi="宋体" w:eastAsia="仿宋_GB2312"/>
                <w:sz w:val="24"/>
                <w:szCs w:val="24"/>
              </w:rPr>
              <w:t>；光谱重复性优于0.02cm</w:t>
            </w:r>
            <w:r>
              <w:rPr>
                <w:rFonts w:hint="eastAsia" w:ascii="仿宋_GB2312" w:hAnsi="宋体" w:eastAsia="仿宋_GB2312"/>
                <w:sz w:val="24"/>
                <w:szCs w:val="24"/>
                <w:vertAlign w:val="superscript"/>
              </w:rPr>
              <w:t>-1</w:t>
            </w:r>
          </w:p>
        </w:tc>
        <w:tc>
          <w:tcPr>
            <w:tcW w:w="2126" w:type="dxa"/>
            <w:vAlign w:val="center"/>
          </w:tcPr>
          <w:p w14:paraId="1D9FC7A5">
            <w:pPr>
              <w:widowControl/>
              <w:spacing w:line="360" w:lineRule="auto"/>
              <w:jc w:val="center"/>
              <w:rPr>
                <w:rFonts w:ascii="仿宋_GB2312" w:hAnsi="宋体" w:eastAsia="仿宋_GB2312"/>
                <w:sz w:val="24"/>
                <w:szCs w:val="24"/>
              </w:rPr>
            </w:pPr>
            <w:r>
              <w:rPr>
                <w:rFonts w:hint="eastAsia" w:ascii="仿宋_GB2312" w:hAnsi="宋体" w:eastAsia="仿宋_GB2312" w:cs="宋体"/>
                <w:snapToGrid w:val="0"/>
                <w:kern w:val="0"/>
                <w:sz w:val="24"/>
                <w:szCs w:val="24"/>
                <w:lang w:val="zh-CN"/>
              </w:rPr>
              <w:t>是</w:t>
            </w:r>
          </w:p>
        </w:tc>
      </w:tr>
      <w:tr w14:paraId="2E0CD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39D3F4EE">
            <w:pPr>
              <w:spacing w:line="360" w:lineRule="auto"/>
              <w:jc w:val="center"/>
              <w:rPr>
                <w:rFonts w:ascii="仿宋_GB2312" w:hAnsi="宋体" w:eastAsia="仿宋_GB2312"/>
                <w:sz w:val="24"/>
                <w:szCs w:val="24"/>
              </w:rPr>
            </w:pPr>
            <w:r>
              <w:rPr>
                <w:rFonts w:hint="eastAsia" w:ascii="仿宋_GB2312" w:hAnsi="宋体" w:eastAsia="仿宋_GB2312"/>
                <w:sz w:val="24"/>
                <w:szCs w:val="24"/>
              </w:rPr>
              <w:t>3</w:t>
            </w:r>
          </w:p>
        </w:tc>
        <w:tc>
          <w:tcPr>
            <w:tcW w:w="1134" w:type="dxa"/>
            <w:vAlign w:val="center"/>
          </w:tcPr>
          <w:p w14:paraId="136810DA">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灵敏度</w:t>
            </w:r>
          </w:p>
        </w:tc>
        <w:tc>
          <w:tcPr>
            <w:tcW w:w="1388" w:type="dxa"/>
            <w:vAlign w:val="center"/>
          </w:tcPr>
          <w:p w14:paraId="1A5B2C20">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lang w:val="zh-CN"/>
              </w:rPr>
              <w:t>#</w:t>
            </w:r>
          </w:p>
        </w:tc>
        <w:tc>
          <w:tcPr>
            <w:tcW w:w="2864" w:type="dxa"/>
            <w:vAlign w:val="center"/>
          </w:tcPr>
          <w:p w14:paraId="36B8928E">
            <w:pPr>
              <w:widowControl/>
              <w:spacing w:line="360" w:lineRule="auto"/>
              <w:rPr>
                <w:rFonts w:ascii="仿宋_GB2312" w:hAnsi="宋体" w:eastAsia="仿宋_GB2312"/>
                <w:sz w:val="24"/>
                <w:szCs w:val="24"/>
              </w:rPr>
            </w:pPr>
            <w:r>
              <w:rPr>
                <w:rFonts w:hint="eastAsia" w:ascii="仿宋_GB2312" w:hAnsi="宋体" w:eastAsia="仿宋_GB2312"/>
                <w:sz w:val="24"/>
                <w:szCs w:val="24"/>
              </w:rPr>
              <w:t>能清晰观察硅四阶拉曼峰，硅三阶峰（1440 cm</w:t>
            </w:r>
            <w:r>
              <w:rPr>
                <w:rFonts w:hint="eastAsia" w:ascii="仿宋_GB2312" w:hAnsi="宋体" w:eastAsia="仿宋_GB2312"/>
                <w:sz w:val="24"/>
                <w:szCs w:val="24"/>
                <w:vertAlign w:val="superscript"/>
              </w:rPr>
              <w:t>-1</w:t>
            </w:r>
            <w:r>
              <w:rPr>
                <w:rFonts w:hint="eastAsia" w:ascii="仿宋_GB2312" w:hAnsi="宋体" w:eastAsia="仿宋_GB2312"/>
                <w:sz w:val="24"/>
                <w:szCs w:val="24"/>
              </w:rPr>
              <w:t>）信噪比≥40:1(检测条件:使用单晶硅片，波长532nm，曝光10s, binning=1，100X或50X显微物镜)</w:t>
            </w:r>
          </w:p>
        </w:tc>
        <w:tc>
          <w:tcPr>
            <w:tcW w:w="2126" w:type="dxa"/>
            <w:vAlign w:val="center"/>
          </w:tcPr>
          <w:p w14:paraId="61DB1DA3">
            <w:pPr>
              <w:widowControl/>
              <w:spacing w:line="360" w:lineRule="auto"/>
              <w:jc w:val="center"/>
              <w:rPr>
                <w:rFonts w:ascii="仿宋_GB2312" w:hAnsi="宋体" w:eastAsia="仿宋_GB2312"/>
                <w:sz w:val="24"/>
                <w:szCs w:val="24"/>
              </w:rPr>
            </w:pPr>
            <w:r>
              <w:rPr>
                <w:rFonts w:hint="eastAsia" w:ascii="仿宋_GB2312" w:hAnsi="宋体" w:eastAsia="仿宋_GB2312" w:cs="宋体"/>
                <w:snapToGrid w:val="0"/>
                <w:kern w:val="0"/>
                <w:sz w:val="24"/>
                <w:szCs w:val="24"/>
                <w:lang w:val="zh-CN"/>
              </w:rPr>
              <w:t>是</w:t>
            </w:r>
          </w:p>
        </w:tc>
      </w:tr>
      <w:tr w14:paraId="3D44E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3EB00293">
            <w:pPr>
              <w:spacing w:line="360" w:lineRule="auto"/>
              <w:jc w:val="center"/>
              <w:rPr>
                <w:rFonts w:ascii="仿宋_GB2312" w:hAnsi="宋体" w:eastAsia="仿宋_GB2312"/>
                <w:sz w:val="24"/>
                <w:szCs w:val="24"/>
              </w:rPr>
            </w:pPr>
            <w:r>
              <w:rPr>
                <w:rFonts w:hint="eastAsia" w:ascii="仿宋_GB2312" w:hAnsi="宋体" w:eastAsia="仿宋_GB2312"/>
                <w:sz w:val="24"/>
                <w:szCs w:val="24"/>
              </w:rPr>
              <w:t>4</w:t>
            </w:r>
          </w:p>
        </w:tc>
        <w:tc>
          <w:tcPr>
            <w:tcW w:w="1134" w:type="dxa"/>
            <w:vAlign w:val="center"/>
          </w:tcPr>
          <w:p w14:paraId="015F976D">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两种以上激光器全自动切换激发系统</w:t>
            </w:r>
          </w:p>
        </w:tc>
        <w:tc>
          <w:tcPr>
            <w:tcW w:w="1388" w:type="dxa"/>
            <w:vAlign w:val="center"/>
          </w:tcPr>
          <w:p w14:paraId="4B40D1CA">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lang w:val="zh-CN"/>
              </w:rPr>
              <w:t>#</w:t>
            </w:r>
          </w:p>
        </w:tc>
        <w:tc>
          <w:tcPr>
            <w:tcW w:w="2864" w:type="dxa"/>
            <w:vAlign w:val="center"/>
          </w:tcPr>
          <w:p w14:paraId="10BD1E22">
            <w:pPr>
              <w:widowControl/>
              <w:spacing w:line="360" w:lineRule="auto"/>
              <w:rPr>
                <w:rFonts w:ascii="仿宋_GB2312" w:hAnsi="宋体" w:eastAsia="仿宋_GB2312"/>
                <w:sz w:val="24"/>
                <w:szCs w:val="24"/>
              </w:rPr>
            </w:pPr>
            <w:r>
              <w:rPr>
                <w:rFonts w:hint="eastAsia" w:ascii="仿宋_GB2312" w:hAnsi="宋体" w:eastAsia="仿宋_GB2312"/>
                <w:sz w:val="24"/>
                <w:szCs w:val="24"/>
              </w:rPr>
              <w:t>至少包含两个激光器：（1）配置用于高分辨率光谱采集的CW激光器，激发波长532 ± 0.5 nm，功率≥200 mW；（2）（可选配置）用于快速拉曼成像的皮秒脉冲激光器，功率≥200 mW，脉冲宽度≤500 ps，重复频率：1 MHz.</w:t>
            </w:r>
          </w:p>
        </w:tc>
        <w:tc>
          <w:tcPr>
            <w:tcW w:w="2126" w:type="dxa"/>
            <w:vAlign w:val="center"/>
          </w:tcPr>
          <w:p w14:paraId="4239C4EF">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是</w:t>
            </w:r>
          </w:p>
        </w:tc>
      </w:tr>
      <w:tr w14:paraId="15B64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16BA2A73">
            <w:pPr>
              <w:spacing w:line="360" w:lineRule="auto"/>
              <w:jc w:val="center"/>
              <w:rPr>
                <w:rFonts w:ascii="仿宋_GB2312" w:hAnsi="宋体" w:eastAsia="仿宋_GB2312"/>
                <w:sz w:val="24"/>
                <w:szCs w:val="24"/>
              </w:rPr>
            </w:pPr>
            <w:r>
              <w:rPr>
                <w:rFonts w:hint="eastAsia" w:ascii="仿宋_GB2312" w:hAnsi="宋体" w:eastAsia="仿宋_GB2312"/>
                <w:sz w:val="24"/>
                <w:szCs w:val="24"/>
              </w:rPr>
              <w:t>5</w:t>
            </w:r>
          </w:p>
        </w:tc>
        <w:tc>
          <w:tcPr>
            <w:tcW w:w="1134" w:type="dxa"/>
            <w:vAlign w:val="center"/>
          </w:tcPr>
          <w:p w14:paraId="7EFB3871">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超高速三维拉曼成像功能</w:t>
            </w:r>
          </w:p>
        </w:tc>
        <w:tc>
          <w:tcPr>
            <w:tcW w:w="1388" w:type="dxa"/>
            <w:vAlign w:val="center"/>
          </w:tcPr>
          <w:p w14:paraId="06B14FE0">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lang w:val="zh-CN"/>
              </w:rPr>
              <w:t>★</w:t>
            </w:r>
          </w:p>
        </w:tc>
        <w:tc>
          <w:tcPr>
            <w:tcW w:w="2864" w:type="dxa"/>
            <w:vAlign w:val="center"/>
          </w:tcPr>
          <w:p w14:paraId="5B51EB90">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具有快速成像、自动聚焦成像功能，光谱检测器&gt;32万个像素单元，最大光谱速率≥500,000 条/秒，成像横向空间分辨率≤1000nm，纵向空间分辨率≤2000nm，成像光谱具有高信噪比，噪声低于2000 counts/s。配备双通道单光子探测器（基于SiPM，具备光子计数模式，可实现单光子级别检测灵敏度）。</w:t>
            </w:r>
          </w:p>
        </w:tc>
        <w:tc>
          <w:tcPr>
            <w:tcW w:w="2126" w:type="dxa"/>
            <w:vAlign w:val="center"/>
          </w:tcPr>
          <w:p w14:paraId="70C6CD13">
            <w:pPr>
              <w:widowControl/>
              <w:spacing w:line="360" w:lineRule="auto"/>
              <w:jc w:val="center"/>
              <w:rPr>
                <w:rFonts w:ascii="仿宋_GB2312" w:hAnsi="宋体" w:eastAsia="仿宋_GB2312"/>
                <w:sz w:val="24"/>
                <w:szCs w:val="24"/>
              </w:rPr>
            </w:pPr>
            <w:r>
              <w:rPr>
                <w:rFonts w:hint="eastAsia" w:ascii="仿宋_GB2312" w:hAnsi="宋体" w:eastAsia="仿宋_GB2312" w:cs="宋体"/>
                <w:snapToGrid w:val="0"/>
                <w:kern w:val="0"/>
                <w:sz w:val="24"/>
                <w:szCs w:val="24"/>
                <w:lang w:val="zh-CN"/>
              </w:rPr>
              <w:t>否</w:t>
            </w:r>
          </w:p>
        </w:tc>
      </w:tr>
      <w:tr w14:paraId="436A6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0C3401AF">
            <w:pPr>
              <w:spacing w:line="360" w:lineRule="auto"/>
              <w:jc w:val="center"/>
              <w:rPr>
                <w:rFonts w:ascii="仿宋_GB2312" w:hAnsi="宋体" w:eastAsia="仿宋_GB2312"/>
                <w:sz w:val="24"/>
                <w:szCs w:val="24"/>
              </w:rPr>
            </w:pPr>
            <w:r>
              <w:rPr>
                <w:rFonts w:hint="eastAsia" w:ascii="仿宋_GB2312" w:hAnsi="宋体" w:eastAsia="仿宋_GB2312"/>
                <w:sz w:val="24"/>
                <w:szCs w:val="24"/>
              </w:rPr>
              <w:t>6</w:t>
            </w:r>
          </w:p>
        </w:tc>
        <w:tc>
          <w:tcPr>
            <w:tcW w:w="1134" w:type="dxa"/>
            <w:vAlign w:val="center"/>
          </w:tcPr>
          <w:p w14:paraId="42314508">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内置光栅</w:t>
            </w:r>
          </w:p>
        </w:tc>
        <w:tc>
          <w:tcPr>
            <w:tcW w:w="1388" w:type="dxa"/>
            <w:vAlign w:val="center"/>
          </w:tcPr>
          <w:p w14:paraId="77320F0E">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lang w:val="zh-CN"/>
              </w:rPr>
              <w:t>★</w:t>
            </w:r>
          </w:p>
        </w:tc>
        <w:tc>
          <w:tcPr>
            <w:tcW w:w="2864" w:type="dxa"/>
            <w:vAlign w:val="center"/>
          </w:tcPr>
          <w:p w14:paraId="56789368">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内置光栅≥三个光栅，包括300，600，1800刻线。</w:t>
            </w:r>
          </w:p>
        </w:tc>
        <w:tc>
          <w:tcPr>
            <w:tcW w:w="2126" w:type="dxa"/>
            <w:vAlign w:val="center"/>
          </w:tcPr>
          <w:p w14:paraId="6ABBD86B">
            <w:pPr>
              <w:widowControl/>
              <w:spacing w:line="360" w:lineRule="auto"/>
              <w:jc w:val="center"/>
              <w:rPr>
                <w:rFonts w:ascii="仿宋_GB2312" w:hAnsi="宋体" w:eastAsia="仿宋_GB2312"/>
                <w:sz w:val="24"/>
                <w:szCs w:val="24"/>
              </w:rPr>
            </w:pPr>
            <w:r>
              <w:rPr>
                <w:rFonts w:hint="eastAsia" w:ascii="仿宋_GB2312" w:hAnsi="宋体" w:eastAsia="仿宋_GB2312" w:cs="宋体"/>
                <w:snapToGrid w:val="0"/>
                <w:kern w:val="0"/>
                <w:sz w:val="24"/>
                <w:szCs w:val="24"/>
                <w:lang w:val="zh-CN"/>
              </w:rPr>
              <w:t>否</w:t>
            </w:r>
          </w:p>
        </w:tc>
      </w:tr>
      <w:tr w14:paraId="628C1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62FE6016">
            <w:pPr>
              <w:spacing w:line="360" w:lineRule="auto"/>
              <w:jc w:val="center"/>
              <w:rPr>
                <w:rFonts w:ascii="仿宋_GB2312" w:hAnsi="宋体" w:eastAsia="仿宋_GB2312"/>
                <w:sz w:val="24"/>
                <w:szCs w:val="24"/>
              </w:rPr>
            </w:pPr>
            <w:r>
              <w:rPr>
                <w:rFonts w:hint="eastAsia" w:ascii="仿宋_GB2312" w:hAnsi="宋体" w:eastAsia="仿宋_GB2312"/>
                <w:sz w:val="24"/>
                <w:szCs w:val="24"/>
              </w:rPr>
              <w:t>7</w:t>
            </w:r>
          </w:p>
        </w:tc>
        <w:tc>
          <w:tcPr>
            <w:tcW w:w="1134" w:type="dxa"/>
            <w:vAlign w:val="center"/>
          </w:tcPr>
          <w:p w14:paraId="53B92992">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显微镜系统</w:t>
            </w:r>
          </w:p>
        </w:tc>
        <w:tc>
          <w:tcPr>
            <w:tcW w:w="1388" w:type="dxa"/>
            <w:vAlign w:val="center"/>
          </w:tcPr>
          <w:p w14:paraId="017CB05E">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lang w:val="zh-CN"/>
              </w:rPr>
              <w:t>#</w:t>
            </w:r>
          </w:p>
        </w:tc>
        <w:tc>
          <w:tcPr>
            <w:tcW w:w="2864" w:type="dxa"/>
            <w:vAlign w:val="center"/>
          </w:tcPr>
          <w:p w14:paraId="2786AFF6">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全电动激光扫描共聚焦拉曼显微镜，配备拉曼门控，可实现时间分辨拉曼采集，有效抑制荧光背景”。配备第二显微镜，两个显微镜可分别开展镜下包裹体等样品的拉曼光谱采集、配备至少3个物镜（10x物镜，NA0.3,工作距离大于17mm;20x物镜，NA0.45，工作距离大于4mm;50Lx物镜，NA0.6,工作距离大于10mm）。</w:t>
            </w:r>
          </w:p>
        </w:tc>
        <w:tc>
          <w:tcPr>
            <w:tcW w:w="2126" w:type="dxa"/>
            <w:vAlign w:val="center"/>
          </w:tcPr>
          <w:p w14:paraId="7519317A">
            <w:pPr>
              <w:widowControl/>
              <w:spacing w:line="360" w:lineRule="auto"/>
              <w:jc w:val="center"/>
              <w:rPr>
                <w:rFonts w:ascii="仿宋_GB2312" w:hAnsi="宋体" w:eastAsia="仿宋_GB2312"/>
                <w:sz w:val="24"/>
                <w:szCs w:val="24"/>
              </w:rPr>
            </w:pPr>
            <w:r>
              <w:rPr>
                <w:rFonts w:hint="eastAsia" w:ascii="仿宋_GB2312" w:hAnsi="宋体" w:eastAsia="仿宋_GB2312" w:cs="宋体"/>
                <w:snapToGrid w:val="0"/>
                <w:kern w:val="0"/>
                <w:sz w:val="24"/>
                <w:szCs w:val="24"/>
                <w:lang w:val="zh-CN"/>
              </w:rPr>
              <w:t>否</w:t>
            </w:r>
          </w:p>
        </w:tc>
      </w:tr>
      <w:tr w14:paraId="09590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33F8ADC1">
            <w:pPr>
              <w:spacing w:line="360" w:lineRule="auto"/>
              <w:jc w:val="center"/>
              <w:rPr>
                <w:rFonts w:ascii="仿宋_GB2312" w:hAnsi="宋体" w:eastAsia="仿宋_GB2312"/>
                <w:sz w:val="24"/>
                <w:szCs w:val="24"/>
              </w:rPr>
            </w:pPr>
            <w:r>
              <w:rPr>
                <w:rFonts w:hint="eastAsia" w:ascii="仿宋_GB2312" w:hAnsi="宋体" w:eastAsia="仿宋_GB2312"/>
                <w:sz w:val="24"/>
                <w:szCs w:val="24"/>
              </w:rPr>
              <w:t>8</w:t>
            </w:r>
          </w:p>
        </w:tc>
        <w:tc>
          <w:tcPr>
            <w:tcW w:w="1134" w:type="dxa"/>
            <w:vAlign w:val="center"/>
          </w:tcPr>
          <w:p w14:paraId="662EA1DF">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电动载物台</w:t>
            </w:r>
          </w:p>
        </w:tc>
        <w:tc>
          <w:tcPr>
            <w:tcW w:w="1388" w:type="dxa"/>
            <w:vAlign w:val="center"/>
          </w:tcPr>
          <w:p w14:paraId="2604E345">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lang w:val="zh-CN"/>
              </w:rPr>
              <w:t>★</w:t>
            </w:r>
          </w:p>
        </w:tc>
        <w:tc>
          <w:tcPr>
            <w:tcW w:w="2864" w:type="dxa"/>
            <w:vAlign w:val="center"/>
          </w:tcPr>
          <w:p w14:paraId="248FA031">
            <w:pPr>
              <w:widowControl/>
              <w:spacing w:line="360" w:lineRule="auto"/>
              <w:rPr>
                <w:rFonts w:ascii="仿宋_GB2312" w:hAnsi="宋体" w:eastAsia="仿宋_GB2312"/>
                <w:sz w:val="24"/>
                <w:szCs w:val="24"/>
              </w:rPr>
            </w:pPr>
            <w:r>
              <w:rPr>
                <w:rFonts w:hint="eastAsia" w:ascii="仿宋_GB2312" w:hAnsi="宋体" w:eastAsia="仿宋_GB2312"/>
                <w:sz w:val="24"/>
                <w:szCs w:val="24"/>
              </w:rPr>
              <w:t>配备X-Y电动载物台，行程≥100 mm × 100 mm，精度≤1 µm，Z轴电动行程＞20 mm，最小步进≤50 nm。</w:t>
            </w:r>
          </w:p>
        </w:tc>
        <w:tc>
          <w:tcPr>
            <w:tcW w:w="2126" w:type="dxa"/>
            <w:vAlign w:val="center"/>
          </w:tcPr>
          <w:p w14:paraId="35012E46">
            <w:pPr>
              <w:widowControl/>
              <w:spacing w:line="360" w:lineRule="auto"/>
              <w:jc w:val="center"/>
              <w:rPr>
                <w:rFonts w:ascii="仿宋_GB2312" w:hAnsi="宋体" w:eastAsia="仿宋_GB2312"/>
                <w:sz w:val="24"/>
                <w:szCs w:val="24"/>
              </w:rPr>
            </w:pPr>
            <w:r>
              <w:rPr>
                <w:rFonts w:hint="eastAsia" w:ascii="仿宋_GB2312" w:hAnsi="宋体" w:eastAsia="仿宋_GB2312" w:cs="宋体"/>
                <w:snapToGrid w:val="0"/>
                <w:kern w:val="0"/>
                <w:sz w:val="24"/>
                <w:szCs w:val="24"/>
                <w:lang w:val="zh-CN"/>
              </w:rPr>
              <w:t>否</w:t>
            </w:r>
          </w:p>
        </w:tc>
      </w:tr>
      <w:tr w14:paraId="4C56A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38AC7E3F">
            <w:pPr>
              <w:spacing w:line="360" w:lineRule="auto"/>
              <w:jc w:val="center"/>
              <w:rPr>
                <w:rFonts w:ascii="仿宋_GB2312" w:hAnsi="宋体" w:eastAsia="仿宋_GB2312"/>
                <w:sz w:val="24"/>
                <w:szCs w:val="24"/>
              </w:rPr>
            </w:pPr>
            <w:r>
              <w:rPr>
                <w:rFonts w:hint="eastAsia" w:ascii="仿宋_GB2312" w:hAnsi="宋体" w:eastAsia="仿宋_GB2312"/>
                <w:sz w:val="24"/>
                <w:szCs w:val="24"/>
              </w:rPr>
              <w:t>9</w:t>
            </w:r>
          </w:p>
        </w:tc>
        <w:tc>
          <w:tcPr>
            <w:tcW w:w="1134" w:type="dxa"/>
            <w:vAlign w:val="center"/>
          </w:tcPr>
          <w:p w14:paraId="4C741419">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样品温度控制设备</w:t>
            </w:r>
          </w:p>
        </w:tc>
        <w:tc>
          <w:tcPr>
            <w:tcW w:w="1388" w:type="dxa"/>
            <w:vAlign w:val="center"/>
          </w:tcPr>
          <w:p w14:paraId="1C33DB6D">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lang w:val="zh-CN"/>
              </w:rPr>
              <w:t>#</w:t>
            </w:r>
          </w:p>
        </w:tc>
        <w:tc>
          <w:tcPr>
            <w:tcW w:w="2864" w:type="dxa"/>
            <w:vAlign w:val="center"/>
          </w:tcPr>
          <w:p w14:paraId="0C759DFF">
            <w:pPr>
              <w:widowControl/>
              <w:spacing w:line="360" w:lineRule="auto"/>
              <w:jc w:val="center"/>
              <w:rPr>
                <w:rFonts w:hint="eastAsia" w:ascii="微软雅黑" w:hAnsi="微软雅黑" w:eastAsia="微软雅黑" w:cs="微软雅黑"/>
                <w:sz w:val="24"/>
                <w:szCs w:val="24"/>
              </w:rPr>
            </w:pPr>
            <w:r>
              <w:rPr>
                <w:rFonts w:hint="eastAsia" w:ascii="仿宋_GB2312" w:hAnsi="宋体" w:eastAsia="仿宋_GB2312"/>
                <w:sz w:val="24"/>
                <w:szCs w:val="24"/>
              </w:rPr>
              <w:t>配备准确控制样品温度的冷热台（温度控制范围：-170~500°C，在-80~50°C范围内的温控精度≤0.1°C，其他范围温控精度≤1°C）。</w:t>
            </w:r>
          </w:p>
        </w:tc>
        <w:tc>
          <w:tcPr>
            <w:tcW w:w="2126" w:type="dxa"/>
            <w:vAlign w:val="center"/>
          </w:tcPr>
          <w:p w14:paraId="173AF85C">
            <w:pPr>
              <w:widowControl/>
              <w:spacing w:line="360" w:lineRule="auto"/>
              <w:jc w:val="center"/>
              <w:rPr>
                <w:rFonts w:ascii="仿宋_GB2312" w:hAnsi="宋体" w:eastAsia="仿宋_GB2312"/>
                <w:sz w:val="24"/>
                <w:szCs w:val="24"/>
              </w:rPr>
            </w:pPr>
            <w:r>
              <w:rPr>
                <w:rFonts w:hint="eastAsia" w:ascii="仿宋_GB2312" w:hAnsi="宋体" w:eastAsia="仿宋_GB2312" w:cs="宋体"/>
                <w:snapToGrid w:val="0"/>
                <w:kern w:val="0"/>
                <w:sz w:val="24"/>
                <w:szCs w:val="24"/>
                <w:lang w:val="zh-CN"/>
              </w:rPr>
              <w:t>否</w:t>
            </w:r>
          </w:p>
        </w:tc>
      </w:tr>
      <w:tr w14:paraId="1ADBC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337DCBFE">
            <w:pPr>
              <w:spacing w:line="360" w:lineRule="auto"/>
              <w:jc w:val="center"/>
              <w:rPr>
                <w:rFonts w:ascii="仿宋_GB2312" w:hAnsi="宋体" w:eastAsia="仿宋_GB2312"/>
                <w:sz w:val="24"/>
                <w:szCs w:val="24"/>
              </w:rPr>
            </w:pPr>
            <w:r>
              <w:rPr>
                <w:rFonts w:hint="eastAsia" w:ascii="仿宋_GB2312" w:hAnsi="宋体" w:eastAsia="仿宋_GB2312"/>
                <w:sz w:val="24"/>
                <w:szCs w:val="24"/>
              </w:rPr>
              <w:t>10</w:t>
            </w:r>
          </w:p>
        </w:tc>
        <w:tc>
          <w:tcPr>
            <w:tcW w:w="1134" w:type="dxa"/>
            <w:vAlign w:val="center"/>
          </w:tcPr>
          <w:p w14:paraId="7C07915B">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显微图像的采集与保存设备</w:t>
            </w:r>
          </w:p>
        </w:tc>
        <w:tc>
          <w:tcPr>
            <w:tcW w:w="1388" w:type="dxa"/>
            <w:vAlign w:val="center"/>
          </w:tcPr>
          <w:p w14:paraId="49605834">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lang w:val="zh-CN"/>
              </w:rPr>
              <w:t>#</w:t>
            </w:r>
          </w:p>
        </w:tc>
        <w:tc>
          <w:tcPr>
            <w:tcW w:w="2864" w:type="dxa"/>
            <w:vAlign w:val="center"/>
          </w:tcPr>
          <w:p w14:paraId="10249E62">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配备显微镜实时摄像硬件（≥500万像素、每秒≥20帧）与软件</w:t>
            </w:r>
          </w:p>
        </w:tc>
        <w:tc>
          <w:tcPr>
            <w:tcW w:w="2126" w:type="dxa"/>
            <w:vAlign w:val="center"/>
          </w:tcPr>
          <w:p w14:paraId="67DCC0C2">
            <w:pPr>
              <w:widowControl/>
              <w:spacing w:line="360" w:lineRule="auto"/>
              <w:jc w:val="center"/>
              <w:rPr>
                <w:rFonts w:ascii="仿宋_GB2312" w:hAnsi="宋体" w:eastAsia="仿宋_GB2312"/>
                <w:sz w:val="24"/>
                <w:szCs w:val="24"/>
              </w:rPr>
            </w:pPr>
            <w:r>
              <w:rPr>
                <w:rFonts w:hint="eastAsia" w:ascii="仿宋_GB2312" w:hAnsi="宋体" w:eastAsia="仿宋_GB2312" w:cs="宋体"/>
                <w:snapToGrid w:val="0"/>
                <w:kern w:val="0"/>
                <w:sz w:val="24"/>
                <w:szCs w:val="24"/>
                <w:lang w:val="zh-CN"/>
              </w:rPr>
              <w:t>否</w:t>
            </w:r>
          </w:p>
        </w:tc>
      </w:tr>
      <w:tr w14:paraId="369A2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7C0647B6">
            <w:pPr>
              <w:spacing w:line="360" w:lineRule="auto"/>
              <w:jc w:val="center"/>
              <w:rPr>
                <w:rFonts w:ascii="仿宋_GB2312" w:hAnsi="宋体" w:eastAsia="仿宋_GB2312"/>
                <w:sz w:val="24"/>
                <w:szCs w:val="24"/>
              </w:rPr>
            </w:pPr>
            <w:r>
              <w:rPr>
                <w:rFonts w:hint="eastAsia" w:ascii="仿宋_GB2312" w:hAnsi="宋体" w:eastAsia="仿宋_GB2312"/>
                <w:sz w:val="24"/>
                <w:szCs w:val="24"/>
              </w:rPr>
              <w:t>11</w:t>
            </w:r>
          </w:p>
        </w:tc>
        <w:tc>
          <w:tcPr>
            <w:tcW w:w="1134" w:type="dxa"/>
            <w:vAlign w:val="center"/>
          </w:tcPr>
          <w:p w14:paraId="17FA027D">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光谱采集的电脑硬件与软件</w:t>
            </w:r>
          </w:p>
        </w:tc>
        <w:tc>
          <w:tcPr>
            <w:tcW w:w="1388" w:type="dxa"/>
            <w:vAlign w:val="center"/>
          </w:tcPr>
          <w:p w14:paraId="6D3E2224">
            <w:pPr>
              <w:widowControl/>
              <w:spacing w:line="360" w:lineRule="auto"/>
              <w:jc w:val="center"/>
              <w:rPr>
                <w:rFonts w:ascii="仿宋_GB2312" w:hAnsi="宋体" w:eastAsia="仿宋_GB2312"/>
                <w:sz w:val="24"/>
                <w:szCs w:val="24"/>
              </w:rPr>
            </w:pPr>
          </w:p>
        </w:tc>
        <w:tc>
          <w:tcPr>
            <w:tcW w:w="2864" w:type="dxa"/>
            <w:vAlign w:val="center"/>
          </w:tcPr>
          <w:p w14:paraId="03B0A9C8">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配备光谱采集与处理系统一套，配置要求性能不低于：CPU≥16 核， ≥24 线程；≥64G 内存，≥2T 硬盘，≥27 英寸 LCD 显示器，Windows10 以上操作系统。集成一体化控制成像分析软件，配置激光拖曳功能，激光光斑跟随鼠标，可实时分析鼠标处光谱，无须移动位移台，一体化电控触控屏。</w:t>
            </w:r>
          </w:p>
        </w:tc>
        <w:tc>
          <w:tcPr>
            <w:tcW w:w="2126" w:type="dxa"/>
            <w:vAlign w:val="center"/>
          </w:tcPr>
          <w:p w14:paraId="2B6E03F2">
            <w:pPr>
              <w:widowControl/>
              <w:spacing w:line="360" w:lineRule="auto"/>
              <w:jc w:val="center"/>
              <w:rPr>
                <w:rFonts w:ascii="仿宋_GB2312" w:hAnsi="宋体" w:eastAsia="仿宋_GB2312"/>
                <w:sz w:val="24"/>
                <w:szCs w:val="24"/>
              </w:rPr>
            </w:pPr>
            <w:r>
              <w:rPr>
                <w:rFonts w:hint="eastAsia" w:ascii="仿宋_GB2312" w:hAnsi="宋体" w:eastAsia="仿宋_GB2312" w:cs="宋体"/>
                <w:snapToGrid w:val="0"/>
                <w:kern w:val="0"/>
                <w:sz w:val="24"/>
                <w:szCs w:val="24"/>
                <w:lang w:val="zh-CN"/>
              </w:rPr>
              <w:t>否</w:t>
            </w:r>
          </w:p>
        </w:tc>
      </w:tr>
    </w:tbl>
    <w:p w14:paraId="0DE25927">
      <w:pPr>
        <w:autoSpaceDE w:val="0"/>
        <w:autoSpaceDN w:val="0"/>
        <w:adjustRightInd w:val="0"/>
        <w:snapToGrid w:val="0"/>
        <w:spacing w:before="156" w:beforeLines="50" w:line="360" w:lineRule="auto"/>
        <w:jc w:val="left"/>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说明：</w:t>
      </w:r>
    </w:p>
    <w:p w14:paraId="3F82D747">
      <w:pPr>
        <w:autoSpaceDE w:val="0"/>
        <w:autoSpaceDN w:val="0"/>
        <w:adjustRightInd w:val="0"/>
        <w:snapToGrid w:val="0"/>
        <w:spacing w:line="360" w:lineRule="auto"/>
        <w:ind w:firstLine="480" w:firstLineChars="200"/>
        <w:jc w:val="left"/>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1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①</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重要性可用“★”“#”表示，“★”代表关键指标，不满足该指标项将导致响应被拒绝；“#”代表重要指标；无标识则表示属一般指标项。</w:t>
      </w:r>
    </w:p>
    <w:p w14:paraId="4CB8E11D">
      <w:pPr>
        <w:autoSpaceDE w:val="0"/>
        <w:autoSpaceDN w:val="0"/>
        <w:adjustRightInd w:val="0"/>
        <w:snapToGrid w:val="0"/>
        <w:spacing w:line="360" w:lineRule="auto"/>
        <w:ind w:firstLine="480" w:firstLineChars="200"/>
        <w:jc w:val="left"/>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2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②</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证明材料要求”项可填“是”和“是”。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p>
    <w:p w14:paraId="2BC480DD">
      <w:pPr>
        <w:widowControl/>
        <w:ind w:firstLine="643" w:firstLineChars="200"/>
        <w:jc w:val="left"/>
        <w:rPr>
          <w:rFonts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四、商务要求</w:t>
      </w:r>
    </w:p>
    <w:tbl>
      <w:tblPr>
        <w:tblStyle w:val="6"/>
        <w:tblW w:w="86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
        <w:gridCol w:w="1603"/>
        <w:gridCol w:w="940"/>
        <w:gridCol w:w="5237"/>
      </w:tblGrid>
      <w:tr w14:paraId="6D8E0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blHeader/>
          <w:jc w:val="center"/>
        </w:trPr>
        <w:tc>
          <w:tcPr>
            <w:tcW w:w="892" w:type="dxa"/>
            <w:vAlign w:val="center"/>
          </w:tcPr>
          <w:p w14:paraId="2C906026">
            <w:pPr>
              <w:autoSpaceDE w:val="0"/>
              <w:autoSpaceDN w:val="0"/>
              <w:adjustRightInd w:val="0"/>
              <w:snapToGrid w:val="0"/>
              <w:jc w:val="center"/>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序号</w:t>
            </w:r>
          </w:p>
        </w:tc>
        <w:tc>
          <w:tcPr>
            <w:tcW w:w="1603" w:type="dxa"/>
            <w:vAlign w:val="center"/>
          </w:tcPr>
          <w:p w14:paraId="39C55EAF">
            <w:pPr>
              <w:autoSpaceDE w:val="0"/>
              <w:autoSpaceDN w:val="0"/>
              <w:adjustRightInd w:val="0"/>
              <w:snapToGrid w:val="0"/>
              <w:jc w:val="center"/>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指标项</w:t>
            </w:r>
          </w:p>
        </w:tc>
        <w:tc>
          <w:tcPr>
            <w:tcW w:w="940" w:type="dxa"/>
            <w:vAlign w:val="center"/>
          </w:tcPr>
          <w:p w14:paraId="63CE20FC">
            <w:pPr>
              <w:autoSpaceDE w:val="0"/>
              <w:autoSpaceDN w:val="0"/>
              <w:adjustRightInd w:val="0"/>
              <w:snapToGrid w:val="0"/>
              <w:jc w:val="center"/>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重要性</w:t>
            </w:r>
          </w:p>
        </w:tc>
        <w:tc>
          <w:tcPr>
            <w:tcW w:w="5237" w:type="dxa"/>
            <w:vAlign w:val="center"/>
          </w:tcPr>
          <w:p w14:paraId="75D45356">
            <w:pPr>
              <w:autoSpaceDE w:val="0"/>
              <w:autoSpaceDN w:val="0"/>
              <w:adjustRightInd w:val="0"/>
              <w:snapToGrid w:val="0"/>
              <w:jc w:val="center"/>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指标要求</w:t>
            </w:r>
          </w:p>
        </w:tc>
      </w:tr>
      <w:tr w14:paraId="39558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892" w:type="dxa"/>
            <w:vAlign w:val="center"/>
          </w:tcPr>
          <w:p w14:paraId="7D3F08A4">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1</w:t>
            </w:r>
          </w:p>
        </w:tc>
        <w:tc>
          <w:tcPr>
            <w:tcW w:w="1603" w:type="dxa"/>
            <w:vAlign w:val="center"/>
          </w:tcPr>
          <w:p w14:paraId="763B71E3">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供货期/服务期/工期</w:t>
            </w:r>
          </w:p>
        </w:tc>
        <w:tc>
          <w:tcPr>
            <w:tcW w:w="940" w:type="dxa"/>
          </w:tcPr>
          <w:p w14:paraId="618D0A79">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5237" w:type="dxa"/>
          </w:tcPr>
          <w:p w14:paraId="3ED2D581">
            <w:pPr>
              <w:autoSpaceDE w:val="0"/>
              <w:autoSpaceDN w:val="0"/>
              <w:adjustRightInd w:val="0"/>
              <w:snapToGrid w:val="0"/>
              <w:spacing w:line="360" w:lineRule="auto"/>
              <w:jc w:val="left"/>
              <w:rPr>
                <w:rFonts w:hint="eastAsia" w:ascii="仿宋_GB2312" w:hAnsi="宋体" w:eastAsia="仿宋_GB2312"/>
                <w:iCs/>
                <w:sz w:val="24"/>
                <w:szCs w:val="24"/>
              </w:rPr>
            </w:pPr>
            <w:r>
              <w:rPr>
                <w:rFonts w:hint="eastAsia" w:ascii="仿宋_GB2312" w:hAnsi="宋体" w:eastAsia="仿宋_GB2312"/>
                <w:iCs/>
                <w:sz w:val="24"/>
                <w:szCs w:val="24"/>
              </w:rPr>
              <w:t>合同签订之日起90天内完成供货。</w:t>
            </w:r>
          </w:p>
        </w:tc>
      </w:tr>
      <w:tr w14:paraId="61242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92" w:type="dxa"/>
            <w:vAlign w:val="center"/>
          </w:tcPr>
          <w:p w14:paraId="207CD4D3">
            <w:pPr>
              <w:autoSpaceDE w:val="0"/>
              <w:autoSpaceDN w:val="0"/>
              <w:adjustRightInd w:val="0"/>
              <w:snapToGrid w:val="0"/>
              <w:jc w:val="center"/>
              <w:rPr>
                <w:rFonts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2</w:t>
            </w:r>
          </w:p>
        </w:tc>
        <w:tc>
          <w:tcPr>
            <w:tcW w:w="1603" w:type="dxa"/>
            <w:vAlign w:val="center"/>
          </w:tcPr>
          <w:p w14:paraId="6FFD7871">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交货/服务/建设地点</w:t>
            </w:r>
          </w:p>
        </w:tc>
        <w:tc>
          <w:tcPr>
            <w:tcW w:w="940" w:type="dxa"/>
            <w:vAlign w:val="center"/>
          </w:tcPr>
          <w:p w14:paraId="6A02866D">
            <w:pPr>
              <w:autoSpaceDE w:val="0"/>
              <w:autoSpaceDN w:val="0"/>
              <w:adjustRightInd w:val="0"/>
              <w:snapToGrid w:val="0"/>
              <w:rPr>
                <w:rFonts w:ascii="仿宋_GB2312" w:hAnsi="宋体" w:eastAsia="仿宋_GB2312" w:cs="宋体"/>
                <w:snapToGrid w:val="0"/>
                <w:kern w:val="0"/>
                <w:sz w:val="24"/>
                <w:szCs w:val="24"/>
                <w:lang w:val="zh-CN"/>
              </w:rPr>
            </w:pPr>
          </w:p>
        </w:tc>
        <w:tc>
          <w:tcPr>
            <w:tcW w:w="5237" w:type="dxa"/>
            <w:vAlign w:val="center"/>
          </w:tcPr>
          <w:p w14:paraId="7DEBFBB4">
            <w:pPr>
              <w:autoSpaceDE w:val="0"/>
              <w:autoSpaceDN w:val="0"/>
              <w:adjustRightInd w:val="0"/>
              <w:snapToGrid w:val="0"/>
              <w:spacing w:line="360" w:lineRule="auto"/>
              <w:jc w:val="left"/>
              <w:rPr>
                <w:rFonts w:ascii="仿宋_GB2312" w:hAnsi="宋体" w:eastAsia="仿宋_GB2312" w:cs="宋体"/>
                <w:i/>
                <w:snapToGrid w:val="0"/>
                <w:kern w:val="0"/>
                <w:sz w:val="24"/>
                <w:szCs w:val="24"/>
                <w:lang w:val="zh-CN"/>
              </w:rPr>
            </w:pPr>
            <w:r>
              <w:rPr>
                <w:rFonts w:hint="eastAsia" w:ascii="仿宋_GB2312" w:hAnsi="宋体" w:eastAsia="仿宋_GB2312" w:cs="宋体"/>
                <w:iCs/>
                <w:snapToGrid w:val="0"/>
                <w:kern w:val="0"/>
                <w:sz w:val="24"/>
                <w:szCs w:val="24"/>
                <w:lang w:val="zh-CN"/>
              </w:rPr>
              <w:t>采购人指定地点。</w:t>
            </w:r>
          </w:p>
        </w:tc>
      </w:tr>
      <w:tr w14:paraId="30F79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92" w:type="dxa"/>
            <w:vAlign w:val="center"/>
          </w:tcPr>
          <w:p w14:paraId="443035CA">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3</w:t>
            </w:r>
          </w:p>
        </w:tc>
        <w:tc>
          <w:tcPr>
            <w:tcW w:w="1603" w:type="dxa"/>
            <w:vAlign w:val="center"/>
          </w:tcPr>
          <w:p w14:paraId="088C6073">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质保期</w:t>
            </w:r>
          </w:p>
        </w:tc>
        <w:tc>
          <w:tcPr>
            <w:tcW w:w="940" w:type="dxa"/>
            <w:vAlign w:val="center"/>
          </w:tcPr>
          <w:p w14:paraId="0C5CDBFF">
            <w:pPr>
              <w:autoSpaceDE w:val="0"/>
              <w:autoSpaceDN w:val="0"/>
              <w:adjustRightInd w:val="0"/>
              <w:snapToGrid w:val="0"/>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5237" w:type="dxa"/>
            <w:vAlign w:val="center"/>
          </w:tcPr>
          <w:p w14:paraId="61706C4C">
            <w:pPr>
              <w:autoSpaceDE w:val="0"/>
              <w:autoSpaceDN w:val="0"/>
              <w:adjustRightInd w:val="0"/>
              <w:snapToGrid w:val="0"/>
              <w:spacing w:line="360" w:lineRule="auto"/>
              <w:jc w:val="left"/>
              <w:rPr>
                <w:rFonts w:ascii="仿宋_GB2312" w:hAnsi="宋体" w:eastAsia="仿宋_GB2312" w:cs="宋体"/>
                <w:i/>
                <w:snapToGrid w:val="0"/>
                <w:kern w:val="0"/>
                <w:sz w:val="24"/>
                <w:szCs w:val="24"/>
                <w:lang w:val="zh-CN"/>
              </w:rPr>
            </w:pPr>
            <w:r>
              <w:rPr>
                <w:rFonts w:hint="eastAsia" w:ascii="仿宋_GB2312" w:hAnsi="宋体" w:eastAsia="仿宋_GB2312" w:cs="宋体"/>
                <w:iCs/>
                <w:snapToGrid w:val="0"/>
                <w:kern w:val="0"/>
                <w:sz w:val="24"/>
                <w:szCs w:val="24"/>
                <w:lang w:val="zh-CN"/>
              </w:rPr>
              <w:t>自验收合格之日起计算</w:t>
            </w:r>
            <w:r>
              <w:rPr>
                <w:rFonts w:hint="eastAsia" w:ascii="仿宋_GB2312" w:hAnsi="宋体" w:eastAsia="仿宋_GB2312" w:cs="宋体"/>
                <w:iCs/>
                <w:snapToGrid w:val="0"/>
                <w:kern w:val="0"/>
                <w:sz w:val="24"/>
                <w:szCs w:val="24"/>
              </w:rPr>
              <w:t>，</w:t>
            </w:r>
            <w:r>
              <w:rPr>
                <w:rFonts w:hint="eastAsia" w:ascii="仿宋_GB2312" w:hAnsi="宋体" w:eastAsia="仿宋_GB2312" w:cs="宋体"/>
                <w:iCs/>
                <w:snapToGrid w:val="0"/>
                <w:kern w:val="0"/>
                <w:sz w:val="24"/>
                <w:szCs w:val="24"/>
                <w:lang w:val="zh-CN"/>
              </w:rPr>
              <w:t>所有硬件</w:t>
            </w:r>
            <w:r>
              <w:rPr>
                <w:rFonts w:hint="eastAsia" w:ascii="仿宋_GB2312" w:hAnsi="宋体" w:eastAsia="仿宋_GB2312" w:cs="宋体"/>
                <w:iCs/>
                <w:snapToGrid w:val="0"/>
                <w:kern w:val="0"/>
                <w:sz w:val="24"/>
                <w:szCs w:val="24"/>
              </w:rPr>
              <w:t>2</w:t>
            </w:r>
            <w:r>
              <w:rPr>
                <w:rFonts w:hint="eastAsia" w:ascii="仿宋_GB2312" w:hAnsi="宋体" w:eastAsia="仿宋_GB2312" w:cs="宋体"/>
                <w:iCs/>
                <w:snapToGrid w:val="0"/>
                <w:kern w:val="0"/>
                <w:sz w:val="24"/>
                <w:szCs w:val="24"/>
                <w:lang w:val="zh-CN"/>
              </w:rPr>
              <w:t>年免费保修、所有软件</w:t>
            </w:r>
            <w:r>
              <w:rPr>
                <w:rFonts w:hint="eastAsia" w:ascii="仿宋_GB2312" w:hAnsi="宋体" w:eastAsia="仿宋_GB2312" w:cs="宋体"/>
                <w:iCs/>
                <w:snapToGrid w:val="0"/>
                <w:kern w:val="0"/>
                <w:sz w:val="24"/>
                <w:szCs w:val="24"/>
              </w:rPr>
              <w:t>终身</w:t>
            </w:r>
            <w:r>
              <w:rPr>
                <w:rFonts w:hint="eastAsia" w:ascii="仿宋_GB2312" w:hAnsi="宋体" w:eastAsia="仿宋_GB2312" w:cs="宋体"/>
                <w:iCs/>
                <w:snapToGrid w:val="0"/>
                <w:kern w:val="0"/>
                <w:sz w:val="24"/>
                <w:szCs w:val="24"/>
                <w:lang w:val="zh-CN"/>
              </w:rPr>
              <w:t>免费升级</w:t>
            </w:r>
            <w:r>
              <w:rPr>
                <w:rFonts w:hint="eastAsia" w:ascii="仿宋_GB2312" w:hAnsi="宋体" w:eastAsia="仿宋_GB2312" w:cs="宋体"/>
                <w:iCs/>
                <w:snapToGrid w:val="0"/>
                <w:kern w:val="0"/>
                <w:sz w:val="24"/>
                <w:szCs w:val="24"/>
              </w:rPr>
              <w:t>.</w:t>
            </w:r>
          </w:p>
        </w:tc>
      </w:tr>
      <w:tr w14:paraId="1D918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25285258">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4</w:t>
            </w:r>
          </w:p>
        </w:tc>
        <w:tc>
          <w:tcPr>
            <w:tcW w:w="1603" w:type="dxa"/>
            <w:vAlign w:val="center"/>
          </w:tcPr>
          <w:p w14:paraId="16EBAE7F">
            <w:pPr>
              <w:widowControl/>
              <w:autoSpaceDE w:val="0"/>
              <w:autoSpaceDN w:val="0"/>
              <w:adjustRightInd w:val="0"/>
              <w:snapToGrid w:val="0"/>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包装和运输</w:t>
            </w:r>
          </w:p>
        </w:tc>
        <w:tc>
          <w:tcPr>
            <w:tcW w:w="940" w:type="dxa"/>
          </w:tcPr>
          <w:p w14:paraId="7DD4AFD9">
            <w:pPr>
              <w:widowControl/>
              <w:autoSpaceDE w:val="0"/>
              <w:autoSpaceDN w:val="0"/>
              <w:adjustRightInd w:val="0"/>
              <w:snapToGrid w:val="0"/>
              <w:rPr>
                <w:rFonts w:ascii="仿宋_GB2312" w:hAnsi="宋体" w:eastAsia="仿宋_GB2312" w:cs="宋体"/>
                <w:snapToGrid w:val="0"/>
                <w:kern w:val="0"/>
                <w:sz w:val="24"/>
                <w:szCs w:val="24"/>
                <w:lang w:val="zh-CN"/>
              </w:rPr>
            </w:pPr>
          </w:p>
        </w:tc>
        <w:tc>
          <w:tcPr>
            <w:tcW w:w="5237" w:type="dxa"/>
          </w:tcPr>
          <w:p w14:paraId="636B11AA">
            <w:pPr>
              <w:widowControl/>
              <w:autoSpaceDE w:val="0"/>
              <w:autoSpaceDN w:val="0"/>
              <w:adjustRightInd w:val="0"/>
              <w:snapToGrid w:val="0"/>
              <w:jc w:val="left"/>
              <w:rPr>
                <w:rFonts w:ascii="仿宋_GB2312" w:hAnsi="宋体" w:eastAsia="仿宋_GB2312" w:cs="宋体"/>
                <w:snapToGrid w:val="0"/>
                <w:kern w:val="0"/>
                <w:sz w:val="24"/>
                <w:szCs w:val="24"/>
                <w:lang w:val="zh-CN"/>
              </w:rPr>
            </w:pPr>
            <w:r>
              <w:rPr>
                <w:rFonts w:hint="eastAsia" w:ascii="仿宋_GB2312" w:hAnsi="宋体" w:eastAsia="仿宋_GB2312" w:cs="宋体"/>
                <w:iCs/>
                <w:snapToGrid w:val="0"/>
                <w:kern w:val="0"/>
                <w:sz w:val="24"/>
                <w:szCs w:val="24"/>
                <w:lang w:val="zh-CN"/>
              </w:rPr>
              <w:t>供应商应提供货物（货物需为原厂包装）运至项目现场所需要的包装，以防止设备在运输中损坏或丢失。</w:t>
            </w:r>
          </w:p>
        </w:tc>
      </w:tr>
      <w:tr w14:paraId="77976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7404A7F9">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5</w:t>
            </w:r>
          </w:p>
        </w:tc>
        <w:tc>
          <w:tcPr>
            <w:tcW w:w="1603" w:type="dxa"/>
            <w:vAlign w:val="center"/>
          </w:tcPr>
          <w:p w14:paraId="7C24E828">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服务标准/</w:t>
            </w:r>
          </w:p>
          <w:p w14:paraId="123FAB2A">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售后服务要求</w:t>
            </w:r>
          </w:p>
        </w:tc>
        <w:tc>
          <w:tcPr>
            <w:tcW w:w="940" w:type="dxa"/>
          </w:tcPr>
          <w:p w14:paraId="2F9628F9">
            <w:pPr>
              <w:widowControl/>
              <w:autoSpaceDE w:val="0"/>
              <w:autoSpaceDN w:val="0"/>
              <w:adjustRightInd w:val="0"/>
              <w:snapToGrid w:val="0"/>
              <w:jc w:val="center"/>
              <w:rPr>
                <w:rFonts w:ascii="仿宋_GB2312" w:hAnsi="宋体" w:eastAsia="仿宋_GB2312" w:cs="宋体"/>
                <w:snapToGrid w:val="0"/>
                <w:kern w:val="0"/>
                <w:sz w:val="24"/>
                <w:szCs w:val="24"/>
                <w:lang w:val="zh-CN"/>
              </w:rPr>
            </w:pPr>
          </w:p>
        </w:tc>
        <w:tc>
          <w:tcPr>
            <w:tcW w:w="5237" w:type="dxa"/>
          </w:tcPr>
          <w:p w14:paraId="47EDDCA1">
            <w:pPr>
              <w:widowControl/>
              <w:autoSpaceDE w:val="0"/>
              <w:autoSpaceDN w:val="0"/>
              <w:adjustRightInd w:val="0"/>
              <w:snapToGrid w:val="0"/>
              <w:rPr>
                <w:rFonts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电话报修后</w:t>
            </w:r>
            <w:r>
              <w:rPr>
                <w:rFonts w:hint="eastAsia" w:ascii="仿宋_GB2312" w:hAnsi="宋体" w:eastAsia="仿宋_GB2312" w:cs="宋体"/>
                <w:iCs/>
                <w:snapToGrid w:val="0"/>
                <w:kern w:val="0"/>
                <w:sz w:val="24"/>
                <w:szCs w:val="24"/>
              </w:rPr>
              <w:t>48</w:t>
            </w:r>
            <w:r>
              <w:rPr>
                <w:rFonts w:hint="eastAsia" w:ascii="仿宋_GB2312" w:hAnsi="宋体" w:eastAsia="仿宋_GB2312" w:cs="宋体"/>
                <w:iCs/>
                <w:snapToGrid w:val="0"/>
                <w:kern w:val="0"/>
                <w:sz w:val="24"/>
                <w:szCs w:val="24"/>
                <w:lang w:val="zh-CN"/>
              </w:rPr>
              <w:t>小时上门服务、</w:t>
            </w:r>
            <w:r>
              <w:rPr>
                <w:rFonts w:hint="eastAsia" w:ascii="仿宋_GB2312" w:hAnsi="宋体" w:eastAsia="仿宋_GB2312" w:cs="宋体"/>
                <w:iCs/>
                <w:snapToGrid w:val="0"/>
                <w:kern w:val="0"/>
                <w:sz w:val="24"/>
                <w:szCs w:val="24"/>
              </w:rPr>
              <w:t>72</w:t>
            </w:r>
            <w:r>
              <w:rPr>
                <w:rFonts w:hint="eastAsia" w:ascii="仿宋_GB2312" w:hAnsi="宋体" w:eastAsia="仿宋_GB2312" w:cs="宋体"/>
                <w:iCs/>
                <w:snapToGrid w:val="0"/>
                <w:kern w:val="0"/>
                <w:sz w:val="24"/>
                <w:szCs w:val="24"/>
                <w:lang w:val="zh-CN"/>
              </w:rPr>
              <w:t>小时内排除故障</w:t>
            </w:r>
            <w:r>
              <w:rPr>
                <w:rFonts w:hint="eastAsia" w:ascii="仿宋_GB2312" w:hAnsi="宋体" w:eastAsia="仿宋_GB2312" w:cs="宋体"/>
                <w:iCs/>
                <w:snapToGrid w:val="0"/>
                <w:kern w:val="0"/>
                <w:sz w:val="24"/>
                <w:szCs w:val="24"/>
              </w:rPr>
              <w:t>或找到解决方案</w:t>
            </w:r>
            <w:r>
              <w:rPr>
                <w:rFonts w:hint="eastAsia" w:ascii="仿宋_GB2312" w:hAnsi="宋体" w:eastAsia="仿宋_GB2312" w:cs="宋体"/>
                <w:iCs/>
                <w:snapToGrid w:val="0"/>
                <w:kern w:val="0"/>
                <w:sz w:val="24"/>
                <w:szCs w:val="24"/>
                <w:lang w:val="zh-CN"/>
              </w:rPr>
              <w:t>。</w:t>
            </w:r>
          </w:p>
          <w:p w14:paraId="0B35EAAD">
            <w:pPr>
              <w:widowControl/>
              <w:autoSpaceDE w:val="0"/>
              <w:autoSpaceDN w:val="0"/>
              <w:adjustRightInd w:val="0"/>
              <w:snapToGrid w:val="0"/>
              <w:rPr>
                <w:rFonts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所有硬件过免费保修期后、所有软件过免费保修升级期后继续提供技术支持，硬件优惠收取配件费用（参考投标所列价格或合同签订时的价格进行折扣优惠），软件优惠进行维修升级，响应速度同保修期响应速度。</w:t>
            </w:r>
          </w:p>
          <w:p w14:paraId="4C01AEB0">
            <w:pPr>
              <w:widowControl/>
              <w:autoSpaceDE w:val="0"/>
              <w:autoSpaceDN w:val="0"/>
              <w:adjustRightInd w:val="0"/>
              <w:snapToGrid w:val="0"/>
              <w:spacing w:line="360" w:lineRule="auto"/>
              <w:jc w:val="left"/>
              <w:rPr>
                <w:rFonts w:ascii="仿宋_GB2312" w:hAnsi="宋体" w:eastAsia="仿宋_GB2312" w:cs="宋体"/>
                <w:snapToGrid w:val="0"/>
                <w:kern w:val="0"/>
                <w:sz w:val="24"/>
                <w:szCs w:val="24"/>
                <w:lang w:val="zh-CN"/>
              </w:rPr>
            </w:pPr>
            <w:r>
              <w:rPr>
                <w:rFonts w:hint="eastAsia" w:ascii="仿宋_GB2312" w:hAnsi="宋体" w:eastAsia="仿宋_GB2312" w:cs="宋体"/>
                <w:iCs/>
                <w:snapToGrid w:val="0"/>
                <w:kern w:val="0"/>
                <w:sz w:val="24"/>
                <w:szCs w:val="24"/>
                <w:lang w:val="zh-CN"/>
              </w:rPr>
              <w:t>（可参考以上表述提出本项目实际需求）</w:t>
            </w:r>
          </w:p>
        </w:tc>
      </w:tr>
      <w:tr w14:paraId="16556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06E47FC3">
            <w:pPr>
              <w:autoSpaceDE w:val="0"/>
              <w:autoSpaceDN w:val="0"/>
              <w:adjustRightInd w:val="0"/>
              <w:snapToGrid w:val="0"/>
              <w:jc w:val="center"/>
              <w:rPr>
                <w:rFonts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6</w:t>
            </w:r>
          </w:p>
        </w:tc>
        <w:tc>
          <w:tcPr>
            <w:tcW w:w="1603" w:type="dxa"/>
            <w:vAlign w:val="center"/>
          </w:tcPr>
          <w:p w14:paraId="07061AB5">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安装调试</w:t>
            </w:r>
          </w:p>
        </w:tc>
        <w:tc>
          <w:tcPr>
            <w:tcW w:w="940" w:type="dxa"/>
          </w:tcPr>
          <w:p w14:paraId="103B5471">
            <w:pPr>
              <w:widowControl/>
              <w:autoSpaceDE w:val="0"/>
              <w:autoSpaceDN w:val="0"/>
              <w:adjustRightInd w:val="0"/>
              <w:snapToGrid w:val="0"/>
              <w:jc w:val="center"/>
              <w:rPr>
                <w:rFonts w:ascii="仿宋_GB2312" w:hAnsi="宋体" w:eastAsia="仿宋_GB2312" w:cs="宋体"/>
                <w:snapToGrid w:val="0"/>
                <w:kern w:val="0"/>
                <w:sz w:val="24"/>
                <w:szCs w:val="24"/>
                <w:lang w:val="zh-CN"/>
              </w:rPr>
            </w:pPr>
          </w:p>
        </w:tc>
        <w:tc>
          <w:tcPr>
            <w:tcW w:w="5237" w:type="dxa"/>
            <w:vAlign w:val="center"/>
          </w:tcPr>
          <w:p w14:paraId="4F233FDA">
            <w:pPr>
              <w:widowControl/>
              <w:autoSpaceDE w:val="0"/>
              <w:autoSpaceDN w:val="0"/>
              <w:adjustRightInd w:val="0"/>
              <w:snapToGrid w:val="0"/>
              <w:rPr>
                <w:rFonts w:ascii="仿宋_GB2312" w:hAnsi="宋体" w:eastAsia="仿宋_GB2312" w:cs="宋体"/>
                <w:i/>
                <w:snapToGrid w:val="0"/>
                <w:kern w:val="0"/>
                <w:sz w:val="24"/>
                <w:szCs w:val="24"/>
                <w:lang w:val="zh-CN"/>
              </w:rPr>
            </w:pPr>
            <w:r>
              <w:rPr>
                <w:rFonts w:hint="eastAsia" w:ascii="仿宋_GB2312" w:hAnsi="宋体" w:eastAsia="仿宋_GB2312" w:cs="宋体"/>
                <w:iCs/>
                <w:snapToGrid w:val="0"/>
                <w:kern w:val="0"/>
                <w:sz w:val="24"/>
                <w:szCs w:val="24"/>
                <w:lang w:val="zh-CN"/>
              </w:rPr>
              <w:t>安装和调试过程中需要的专用器具和其他物资由供应商负责，采购人负责相应的现场协调等方面的协调配合工作。安装与调试所产生费用由供应商承担。</w:t>
            </w:r>
          </w:p>
        </w:tc>
      </w:tr>
      <w:tr w14:paraId="0F182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669046E9">
            <w:pPr>
              <w:autoSpaceDE w:val="0"/>
              <w:autoSpaceDN w:val="0"/>
              <w:adjustRightInd w:val="0"/>
              <w:snapToGrid w:val="0"/>
              <w:jc w:val="center"/>
              <w:rPr>
                <w:rFonts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7</w:t>
            </w:r>
          </w:p>
        </w:tc>
        <w:tc>
          <w:tcPr>
            <w:tcW w:w="1603" w:type="dxa"/>
            <w:vAlign w:val="center"/>
          </w:tcPr>
          <w:p w14:paraId="47FD58C6">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培训要求</w:t>
            </w:r>
          </w:p>
        </w:tc>
        <w:tc>
          <w:tcPr>
            <w:tcW w:w="940" w:type="dxa"/>
          </w:tcPr>
          <w:p w14:paraId="5D436EA2">
            <w:pPr>
              <w:widowControl/>
              <w:autoSpaceDE w:val="0"/>
              <w:autoSpaceDN w:val="0"/>
              <w:adjustRightInd w:val="0"/>
              <w:snapToGrid w:val="0"/>
              <w:jc w:val="center"/>
              <w:rPr>
                <w:rFonts w:ascii="仿宋_GB2312" w:hAnsi="宋体" w:eastAsia="仿宋_GB2312" w:cs="宋体"/>
                <w:snapToGrid w:val="0"/>
                <w:kern w:val="0"/>
                <w:sz w:val="24"/>
                <w:szCs w:val="24"/>
                <w:lang w:val="zh-CN"/>
              </w:rPr>
            </w:pPr>
          </w:p>
        </w:tc>
        <w:tc>
          <w:tcPr>
            <w:tcW w:w="5237" w:type="dxa"/>
            <w:vAlign w:val="center"/>
          </w:tcPr>
          <w:p w14:paraId="7EF81A5C">
            <w:pPr>
              <w:widowControl/>
              <w:autoSpaceDE w:val="0"/>
              <w:autoSpaceDN w:val="0"/>
              <w:adjustRightInd w:val="0"/>
              <w:snapToGrid w:val="0"/>
              <w:rPr>
                <w:rFonts w:ascii="仿宋_GB2312" w:hAnsi="宋体" w:eastAsia="仿宋_GB2312" w:cs="宋体"/>
                <w:i/>
                <w:snapToGrid w:val="0"/>
                <w:kern w:val="0"/>
                <w:sz w:val="24"/>
                <w:szCs w:val="24"/>
                <w:lang w:val="zh-CN"/>
              </w:rPr>
            </w:pPr>
            <w:r>
              <w:rPr>
                <w:rFonts w:hint="eastAsia" w:ascii="仿宋_GB2312" w:hAnsi="宋体" w:eastAsia="仿宋_GB2312" w:cs="宋体"/>
                <w:iCs/>
                <w:snapToGrid w:val="0"/>
                <w:kern w:val="0"/>
                <w:sz w:val="24"/>
                <w:szCs w:val="24"/>
                <w:lang w:val="zh-CN"/>
              </w:rPr>
              <w:t>提供2天以上现场培训，交通等与培训相关的费用均由成交供应商承担。</w:t>
            </w:r>
          </w:p>
        </w:tc>
      </w:tr>
      <w:tr w14:paraId="100BA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2DE84F91">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8</w:t>
            </w:r>
          </w:p>
        </w:tc>
        <w:tc>
          <w:tcPr>
            <w:tcW w:w="1603" w:type="dxa"/>
            <w:vAlign w:val="center"/>
          </w:tcPr>
          <w:p w14:paraId="44412EDD">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验收标准</w:t>
            </w:r>
          </w:p>
        </w:tc>
        <w:tc>
          <w:tcPr>
            <w:tcW w:w="940" w:type="dxa"/>
          </w:tcPr>
          <w:p w14:paraId="13AFAF2D">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5237" w:type="dxa"/>
          </w:tcPr>
          <w:p w14:paraId="55E0117C">
            <w:pPr>
              <w:widowControl/>
              <w:autoSpaceDE w:val="0"/>
              <w:autoSpaceDN w:val="0"/>
              <w:adjustRightInd w:val="0"/>
              <w:snapToGrid w:val="0"/>
              <w:jc w:val="left"/>
              <w:rPr>
                <w:rFonts w:ascii="仿宋_GB2312" w:hAnsi="宋体" w:eastAsia="仿宋_GB2312" w:cs="宋体"/>
                <w:snapToGrid w:val="0"/>
                <w:kern w:val="0"/>
                <w:sz w:val="24"/>
                <w:szCs w:val="24"/>
                <w:lang w:val="zh-CN"/>
              </w:rPr>
            </w:pPr>
            <w:r>
              <w:rPr>
                <w:rFonts w:hint="eastAsia" w:ascii="仿宋_GB2312" w:hAnsi="宋体" w:eastAsia="仿宋_GB2312" w:cs="宋体"/>
                <w:iCs/>
                <w:snapToGrid w:val="0"/>
                <w:kern w:val="0"/>
                <w:sz w:val="24"/>
                <w:szCs w:val="24"/>
                <w:lang w:val="zh-CN"/>
              </w:rPr>
              <w:t>按照供应商响应文件及采购文件确定的技术和服务指标进行验收。</w:t>
            </w:r>
          </w:p>
        </w:tc>
      </w:tr>
      <w:tr w14:paraId="19CBD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2B310511">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9</w:t>
            </w:r>
          </w:p>
        </w:tc>
        <w:tc>
          <w:tcPr>
            <w:tcW w:w="1603" w:type="dxa"/>
            <w:vAlign w:val="center"/>
          </w:tcPr>
          <w:p w14:paraId="129C1DFE">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付款方式</w:t>
            </w:r>
          </w:p>
        </w:tc>
        <w:tc>
          <w:tcPr>
            <w:tcW w:w="940" w:type="dxa"/>
          </w:tcPr>
          <w:p w14:paraId="0A375153">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5237" w:type="dxa"/>
            <w:vAlign w:val="center"/>
          </w:tcPr>
          <w:p w14:paraId="43AE8908">
            <w:pPr>
              <w:widowControl/>
              <w:autoSpaceDE w:val="0"/>
              <w:autoSpaceDN w:val="0"/>
              <w:adjustRightInd w:val="0"/>
              <w:snapToGrid w:val="0"/>
              <w:rPr>
                <w:rFonts w:ascii="仿宋_GB2312" w:hAnsi="宋体" w:eastAsia="仿宋_GB2312" w:cs="宋体"/>
                <w:snapToGrid w:val="0"/>
                <w:kern w:val="0"/>
                <w:sz w:val="24"/>
                <w:szCs w:val="24"/>
                <w:lang w:val="zh-CN"/>
              </w:rPr>
            </w:pPr>
            <w:r>
              <w:rPr>
                <w:rFonts w:hint="eastAsia" w:ascii="仿宋_GB2312" w:hAnsi="宋体" w:eastAsia="仿宋_GB2312" w:cs="宋体"/>
                <w:iCs/>
                <w:snapToGrid w:val="0"/>
                <w:kern w:val="0"/>
                <w:sz w:val="24"/>
                <w:szCs w:val="24"/>
                <w:lang w:val="zh-CN"/>
              </w:rPr>
              <w:t>乙方应于本合同签订之日起10个工作日内，向甲方支付合同标的额的5%作为履约保证金。设备安装调试到位并验收合格后，甲方支付至合同总金额的100%，甲方应于设备验收合格满一年后，且乙方无任何违约行为（包括但不限于质量问题、售后服务瑕疵等），向乙方无息返还全部履约保证金。若中标人为中小企业，将落实《保障中小企业款项支付条例》。</w:t>
            </w:r>
          </w:p>
        </w:tc>
      </w:tr>
      <w:tr w14:paraId="2F7CF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3B8DBA4F">
            <w:pPr>
              <w:autoSpaceDE w:val="0"/>
              <w:autoSpaceDN w:val="0"/>
              <w:adjustRightInd w:val="0"/>
              <w:snapToGrid w:val="0"/>
              <w:jc w:val="center"/>
              <w:rPr>
                <w:rFonts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10</w:t>
            </w:r>
          </w:p>
        </w:tc>
        <w:tc>
          <w:tcPr>
            <w:tcW w:w="1603" w:type="dxa"/>
            <w:vAlign w:val="center"/>
          </w:tcPr>
          <w:p w14:paraId="47313DAB">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保险</w:t>
            </w:r>
          </w:p>
        </w:tc>
        <w:tc>
          <w:tcPr>
            <w:tcW w:w="940" w:type="dxa"/>
          </w:tcPr>
          <w:p w14:paraId="4717A236">
            <w:pPr>
              <w:widowControl/>
              <w:autoSpaceDE w:val="0"/>
              <w:autoSpaceDN w:val="0"/>
              <w:adjustRightInd w:val="0"/>
              <w:snapToGrid w:val="0"/>
              <w:jc w:val="center"/>
              <w:rPr>
                <w:rFonts w:ascii="仿宋_GB2312" w:hAnsi="宋体" w:eastAsia="仿宋_GB2312" w:cs="宋体"/>
                <w:snapToGrid w:val="0"/>
                <w:kern w:val="0"/>
                <w:sz w:val="24"/>
                <w:szCs w:val="24"/>
                <w:lang w:val="zh-CN"/>
              </w:rPr>
            </w:pPr>
          </w:p>
        </w:tc>
        <w:tc>
          <w:tcPr>
            <w:tcW w:w="5237" w:type="dxa"/>
          </w:tcPr>
          <w:p w14:paraId="70B6CA54">
            <w:pPr>
              <w:widowControl/>
              <w:autoSpaceDE w:val="0"/>
              <w:autoSpaceDN w:val="0"/>
              <w:adjustRightInd w:val="0"/>
              <w:snapToGrid w:val="0"/>
              <w:spacing w:line="360" w:lineRule="auto"/>
              <w:jc w:val="left"/>
              <w:rPr>
                <w:rFonts w:ascii="仿宋_GB2312" w:hAnsi="宋体" w:eastAsia="仿宋_GB2312" w:cs="宋体"/>
                <w:snapToGrid w:val="0"/>
                <w:kern w:val="0"/>
                <w:sz w:val="24"/>
                <w:szCs w:val="24"/>
                <w:lang w:val="zh-CN"/>
              </w:rPr>
            </w:pPr>
          </w:p>
        </w:tc>
      </w:tr>
      <w:tr w14:paraId="732E8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68BA7873">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1603" w:type="dxa"/>
            <w:vAlign w:val="center"/>
          </w:tcPr>
          <w:p w14:paraId="54ABC9B7">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其他</w:t>
            </w:r>
          </w:p>
        </w:tc>
        <w:tc>
          <w:tcPr>
            <w:tcW w:w="940" w:type="dxa"/>
          </w:tcPr>
          <w:p w14:paraId="5D664792">
            <w:pPr>
              <w:widowControl/>
              <w:autoSpaceDE w:val="0"/>
              <w:autoSpaceDN w:val="0"/>
              <w:adjustRightInd w:val="0"/>
              <w:snapToGrid w:val="0"/>
              <w:jc w:val="center"/>
              <w:rPr>
                <w:rFonts w:ascii="仿宋_GB2312" w:hAnsi="宋体" w:eastAsia="仿宋_GB2312" w:cs="宋体"/>
                <w:snapToGrid w:val="0"/>
                <w:kern w:val="0"/>
                <w:sz w:val="24"/>
                <w:szCs w:val="24"/>
                <w:lang w:val="zh-CN"/>
              </w:rPr>
            </w:pPr>
          </w:p>
        </w:tc>
        <w:tc>
          <w:tcPr>
            <w:tcW w:w="5237" w:type="dxa"/>
          </w:tcPr>
          <w:p w14:paraId="37D4A0EE">
            <w:pPr>
              <w:widowControl/>
              <w:autoSpaceDE w:val="0"/>
              <w:autoSpaceDN w:val="0"/>
              <w:adjustRightInd w:val="0"/>
              <w:snapToGrid w:val="0"/>
              <w:spacing w:line="360" w:lineRule="auto"/>
              <w:jc w:val="left"/>
              <w:rPr>
                <w:rFonts w:ascii="仿宋_GB2312" w:hAnsi="宋体" w:eastAsia="仿宋_GB2312" w:cs="宋体"/>
                <w:snapToGrid w:val="0"/>
                <w:kern w:val="0"/>
                <w:sz w:val="24"/>
                <w:szCs w:val="24"/>
                <w:lang w:val="zh-CN"/>
              </w:rPr>
            </w:pPr>
          </w:p>
        </w:tc>
      </w:tr>
    </w:tbl>
    <w:p w14:paraId="5BB31A10">
      <w:pPr>
        <w:widowControl/>
        <w:ind w:firstLine="643" w:firstLineChars="200"/>
        <w:jc w:val="left"/>
        <w:rPr>
          <w:rFonts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五、实现的政府采购政策目标</w:t>
      </w:r>
    </w:p>
    <w:p w14:paraId="00FBBA59">
      <w:pPr>
        <w:spacing w:line="360" w:lineRule="auto"/>
        <w:ind w:firstLine="493"/>
        <w:jc w:val="left"/>
        <w:rPr>
          <w:rFonts w:ascii="仿宋_GB2312" w:hAnsi="宋体" w:eastAsia="仿宋_GB2312"/>
          <w:sz w:val="24"/>
          <w:szCs w:val="24"/>
        </w:rPr>
      </w:pPr>
      <w:r>
        <w:rPr>
          <w:rFonts w:hint="eastAsia" w:ascii="仿宋_GB2312" w:hAnsi="宋体" w:eastAsia="仿宋_GB2312"/>
          <w:sz w:val="24"/>
          <w:szCs w:val="24"/>
        </w:rPr>
        <w:t>本项目须落实节约能源、保护环境、促进中小企业发展、支持创新等政府采购政策。</w:t>
      </w:r>
    </w:p>
    <w:p w14:paraId="341C4F50">
      <w:pPr>
        <w:spacing w:line="360" w:lineRule="auto"/>
        <w:ind w:firstLine="493"/>
        <w:jc w:val="left"/>
        <w:rPr>
          <w:rFonts w:ascii="仿宋_GB2312" w:hAnsi="宋体" w:eastAsia="仿宋_GB2312"/>
          <w:sz w:val="24"/>
          <w:szCs w:val="24"/>
        </w:rPr>
      </w:pPr>
      <w:r>
        <w:rPr>
          <w:rFonts w:hint="eastAsia" w:ascii="仿宋_GB2312" w:hAnsi="宋体" w:eastAsia="仿宋_GB2312"/>
          <w:sz w:val="24"/>
          <w:szCs w:val="24"/>
        </w:rPr>
        <w:t>（二）本项目为：</w:t>
      </w:r>
    </w:p>
    <w:p w14:paraId="3D1B8ED9">
      <w:pPr>
        <w:spacing w:line="360" w:lineRule="auto"/>
        <w:ind w:firstLine="493"/>
        <w:jc w:val="left"/>
        <w:rPr>
          <w:rFonts w:ascii="仿宋_GB2312" w:hAnsi="宋体" w:eastAsia="仿宋_GB2312"/>
          <w:sz w:val="24"/>
          <w:szCs w:val="24"/>
        </w:rPr>
      </w:pPr>
      <w:r>
        <w:rPr>
          <w:rFonts w:hint="eastAsia" w:ascii="仿宋_GB2312" w:hAnsi="宋体" w:eastAsia="仿宋_GB2312"/>
          <w:sz w:val="24"/>
          <w:szCs w:val="24"/>
        </w:rPr>
        <w:t>□专门面向中小企业采购项目</w:t>
      </w:r>
    </w:p>
    <w:p w14:paraId="6543EC0D">
      <w:pPr>
        <w:spacing w:line="360" w:lineRule="auto"/>
        <w:ind w:firstLine="493"/>
        <w:jc w:val="left"/>
        <w:rPr>
          <w:rFonts w:ascii="仿宋_GB2312" w:hAnsi="宋体" w:eastAsia="仿宋_GB2312"/>
          <w:i/>
          <w:sz w:val="24"/>
          <w:szCs w:val="24"/>
        </w:rPr>
      </w:pPr>
      <w:r>
        <w:rPr>
          <w:rFonts w:hint="eastAsia" w:ascii="仿宋_GB2312" w:hAnsi="宋体" w:eastAsia="仿宋_GB2312"/>
          <w:sz w:val="24"/>
          <w:szCs w:val="24"/>
        </w:rPr>
        <w:t>□预留该部分采购项目预算总额的40%以上专门面向中小企业</w:t>
      </w:r>
      <w:r>
        <w:rPr>
          <w:rFonts w:hint="eastAsia" w:ascii="仿宋_GB2312" w:hAnsi="宋体" w:eastAsia="仿宋_GB2312"/>
          <w:i/>
          <w:sz w:val="24"/>
          <w:szCs w:val="24"/>
        </w:rPr>
        <w:t>（建设项目）</w:t>
      </w:r>
    </w:p>
    <w:p w14:paraId="79C3AB07">
      <w:pPr>
        <w:spacing w:line="360" w:lineRule="auto"/>
        <w:ind w:firstLine="493"/>
        <w:jc w:val="left"/>
        <w:rPr>
          <w:rFonts w:ascii="仿宋_GB2312" w:hAnsi="宋体" w:eastAsia="仿宋_GB2312"/>
          <w:sz w:val="24"/>
          <w:szCs w:val="24"/>
        </w:rPr>
      </w:pPr>
      <w:r>
        <w:rPr>
          <w:rFonts w:ascii="Segoe UI Symbol" w:hAnsi="Segoe UI Symbol" w:eastAsia="仿宋_GB2312" w:cs="Segoe UI Symbol"/>
          <w:sz w:val="24"/>
          <w:szCs w:val="24"/>
        </w:rPr>
        <w:t>☑</w:t>
      </w:r>
      <w:r>
        <w:rPr>
          <w:rFonts w:hint="eastAsia" w:ascii="仿宋_GB2312" w:hAnsi="宋体" w:eastAsia="仿宋_GB2312"/>
          <w:sz w:val="24"/>
          <w:szCs w:val="24"/>
        </w:rPr>
        <w:t>非专门面向中小企业采购项目</w:t>
      </w:r>
    </w:p>
    <w:p w14:paraId="6285127E">
      <w:pPr>
        <w:spacing w:line="360" w:lineRule="auto"/>
        <w:ind w:firstLine="493"/>
        <w:jc w:val="left"/>
        <w:rPr>
          <w:rFonts w:ascii="仿宋_GB2312" w:hAnsi="宋体" w:eastAsia="仿宋_GB2312"/>
          <w:sz w:val="24"/>
          <w:szCs w:val="24"/>
          <w:u w:val="single"/>
        </w:rPr>
      </w:pPr>
      <w:r>
        <w:rPr>
          <w:rFonts w:hint="eastAsia" w:ascii="仿宋_GB2312" w:hAnsi="宋体" w:eastAsia="仿宋_GB2312"/>
          <w:sz w:val="24"/>
          <w:szCs w:val="24"/>
        </w:rPr>
        <w:t xml:space="preserve">（三）按中小企业划分标准所属行业： </w:t>
      </w:r>
      <w:r>
        <w:rPr>
          <w:rFonts w:hint="eastAsia" w:ascii="仿宋_GB2312" w:hAnsi="宋体" w:eastAsia="仿宋_GB2312"/>
          <w:sz w:val="24"/>
          <w:szCs w:val="24"/>
          <w:u w:val="single"/>
        </w:rPr>
        <w:t xml:space="preserve"> </w:t>
      </w:r>
      <w:r>
        <w:rPr>
          <w:rFonts w:hint="eastAsia" w:ascii="仿宋_GB2312" w:hAnsi="宋体" w:eastAsia="仿宋_GB2312"/>
          <w:sz w:val="24"/>
          <w:szCs w:val="24"/>
          <w:u w:val="single"/>
          <w:lang w:val="en-US" w:eastAsia="zh-CN"/>
        </w:rPr>
        <w:t>工业</w:t>
      </w:r>
      <w:r>
        <w:rPr>
          <w:rFonts w:hint="eastAsia" w:ascii="仿宋_GB2312" w:hAnsi="宋体" w:eastAsia="仿宋_GB2312"/>
          <w:sz w:val="24"/>
          <w:szCs w:val="24"/>
          <w:u w:val="single"/>
        </w:rPr>
        <w:t xml:space="preserve"> </w:t>
      </w:r>
      <w:r>
        <w:rPr>
          <w:rFonts w:hint="eastAsia" w:ascii="仿宋_GB2312" w:hAnsi="宋体" w:eastAsia="仿宋_GB2312"/>
          <w:sz w:val="24"/>
          <w:szCs w:val="24"/>
        </w:rPr>
        <w:t xml:space="preserve">    </w:t>
      </w:r>
    </w:p>
    <w:p w14:paraId="26235BCB">
      <w:pPr>
        <w:spacing w:line="360" w:lineRule="auto"/>
        <w:jc w:val="left"/>
        <w:rPr>
          <w:rFonts w:ascii="仿宋_GB2312" w:hAnsi="宋体" w:eastAsia="仿宋_GB2312"/>
          <w:sz w:val="24"/>
          <w:szCs w:val="24"/>
        </w:rPr>
      </w:pPr>
    </w:p>
    <w:p w14:paraId="3585436D">
      <w:pPr>
        <w:pStyle w:val="2"/>
      </w:pPr>
    </w:p>
    <w:p w14:paraId="54788DC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E09D0A0B-3B91-4E5C-8D94-E2D3FE8EBFF5}"/>
  </w:font>
  <w:font w:name="Calibri Light">
    <w:panose1 w:val="020F03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embedRegular r:id="rId2" w:fontKey="{66A88632-45BC-4260-8D6D-F015CE9660A8}"/>
  </w:font>
  <w:font w:name="仿宋">
    <w:panose1 w:val="02010609060101010101"/>
    <w:charset w:val="86"/>
    <w:family w:val="modern"/>
    <w:pitch w:val="default"/>
    <w:sig w:usb0="800002BF" w:usb1="38CF7CFA" w:usb2="00000016" w:usb3="00000000" w:csb0="00040001" w:csb1="00000000"/>
    <w:embedRegular r:id="rId3" w:fontKey="{B252D2BC-C265-4970-B1CD-34657AEA78D5}"/>
  </w:font>
  <w:font w:name="方正小标宋简体">
    <w:panose1 w:val="02010600010101010101"/>
    <w:charset w:val="86"/>
    <w:family w:val="script"/>
    <w:pitch w:val="default"/>
    <w:sig w:usb0="00000001" w:usb1="080E0000" w:usb2="00000000" w:usb3="00000000" w:csb0="00040000" w:csb1="00000000"/>
    <w:embedRegular r:id="rId4" w:fontKey="{1735DC4B-5B01-4A68-A9D0-B86FD4493F08}"/>
  </w:font>
  <w:font w:name="Cambria">
    <w:panose1 w:val="02040503050406030204"/>
    <w:charset w:val="00"/>
    <w:family w:val="roman"/>
    <w:pitch w:val="default"/>
    <w:sig w:usb0="E00006FF" w:usb1="420024FF" w:usb2="02000000" w:usb3="00000000" w:csb0="2000019F" w:csb1="00000000"/>
    <w:embedRegular r:id="rId5" w:fontKey="{9B7876D7-D665-4E9C-8A88-8DD11F9C095E}"/>
  </w:font>
  <w:font w:name="Arial">
    <w:panose1 w:val="020B0604020202020204"/>
    <w:charset w:val="00"/>
    <w:family w:val="swiss"/>
    <w:pitch w:val="default"/>
    <w:sig w:usb0="E0002EFF" w:usb1="C000785B" w:usb2="00000009" w:usb3="00000000" w:csb0="400001FF" w:csb1="FFFF0000"/>
    <w:embedRegular r:id="rId6" w:fontKey="{0D97A868-6994-4D03-B075-AD110CDB72B8}"/>
  </w:font>
  <w:font w:name="Wingdings 2">
    <w:altName w:val="Wingdings"/>
    <w:panose1 w:val="05020102010507070707"/>
    <w:charset w:val="02"/>
    <w:family w:val="roman"/>
    <w:pitch w:val="default"/>
    <w:sig w:usb0="00000000" w:usb1="00000000" w:usb2="00000000" w:usb3="00000000" w:csb0="80000000" w:csb1="00000000"/>
    <w:embedRegular r:id="rId7" w:fontKey="{50E87522-D0FD-4019-93CE-DADB6C4DB3D9}"/>
  </w:font>
  <w:font w:name="微软雅黑">
    <w:panose1 w:val="020B0503020204020204"/>
    <w:charset w:val="86"/>
    <w:family w:val="swiss"/>
    <w:pitch w:val="default"/>
    <w:sig w:usb0="80000287" w:usb1="2ACF3C50" w:usb2="00000016" w:usb3="00000000" w:csb0="0004001F" w:csb1="00000000"/>
    <w:embedRegular r:id="rId8" w:fontKey="{AE1A8F72-91E9-4015-8CD5-A1AC14FE93CD}"/>
  </w:font>
  <w:font w:name="Segoe UI Symbol">
    <w:panose1 w:val="020B0502040204020203"/>
    <w:charset w:val="00"/>
    <w:family w:val="swiss"/>
    <w:pitch w:val="default"/>
    <w:sig w:usb0="800001E3" w:usb1="1200FFEF" w:usb2="00040000" w:usb3="04000000" w:csb0="00000001" w:csb1="40000000"/>
    <w:embedRegular r:id="rId9" w:fontKey="{157A8012-FEA0-475A-8FB3-749B3C4B6ED2}"/>
  </w:font>
  <w:font w:name="Wingdings">
    <w:panose1 w:val="05000000000000000000"/>
    <w:charset w:val="00"/>
    <w:family w:val="auto"/>
    <w:pitch w:val="default"/>
    <w:sig w:usb0="00000000" w:usb1="00000000" w:usb2="00000000" w:usb3="00000000" w:csb0="80000000" w:csb1="00000000"/>
  </w:font>
  <w:font w:name="Kingsoft UE">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D203E5"/>
    <w:multiLevelType w:val="multilevel"/>
    <w:tmpl w:val="1ED203E5"/>
    <w:lvl w:ilvl="0" w:tentative="0">
      <w:start w:val="1"/>
      <w:numFmt w:val="japaneseCounting"/>
      <w:lvlText w:val="%1、"/>
      <w:lvlJc w:val="left"/>
      <w:pPr>
        <w:ind w:left="1452" w:hanging="720"/>
      </w:pPr>
      <w:rPr>
        <w:rFonts w:hint="default"/>
      </w:rPr>
    </w:lvl>
    <w:lvl w:ilvl="1" w:tentative="0">
      <w:start w:val="1"/>
      <w:numFmt w:val="lowerLetter"/>
      <w:lvlText w:val="%2)"/>
      <w:lvlJc w:val="left"/>
      <w:pPr>
        <w:ind w:left="1612" w:hanging="440"/>
      </w:pPr>
    </w:lvl>
    <w:lvl w:ilvl="2" w:tentative="0">
      <w:start w:val="1"/>
      <w:numFmt w:val="lowerRoman"/>
      <w:lvlText w:val="%3."/>
      <w:lvlJc w:val="right"/>
      <w:pPr>
        <w:ind w:left="2052" w:hanging="440"/>
      </w:pPr>
    </w:lvl>
    <w:lvl w:ilvl="3" w:tentative="0">
      <w:start w:val="1"/>
      <w:numFmt w:val="decimal"/>
      <w:lvlText w:val="%4."/>
      <w:lvlJc w:val="left"/>
      <w:pPr>
        <w:ind w:left="2492" w:hanging="440"/>
      </w:pPr>
    </w:lvl>
    <w:lvl w:ilvl="4" w:tentative="0">
      <w:start w:val="1"/>
      <w:numFmt w:val="lowerLetter"/>
      <w:lvlText w:val="%5)"/>
      <w:lvlJc w:val="left"/>
      <w:pPr>
        <w:ind w:left="2932" w:hanging="440"/>
      </w:pPr>
    </w:lvl>
    <w:lvl w:ilvl="5" w:tentative="0">
      <w:start w:val="1"/>
      <w:numFmt w:val="lowerRoman"/>
      <w:lvlText w:val="%6."/>
      <w:lvlJc w:val="right"/>
      <w:pPr>
        <w:ind w:left="3372" w:hanging="440"/>
      </w:pPr>
    </w:lvl>
    <w:lvl w:ilvl="6" w:tentative="0">
      <w:start w:val="1"/>
      <w:numFmt w:val="decimal"/>
      <w:lvlText w:val="%7."/>
      <w:lvlJc w:val="left"/>
      <w:pPr>
        <w:ind w:left="3812" w:hanging="440"/>
      </w:pPr>
    </w:lvl>
    <w:lvl w:ilvl="7" w:tentative="0">
      <w:start w:val="1"/>
      <w:numFmt w:val="lowerLetter"/>
      <w:lvlText w:val="%8)"/>
      <w:lvlJc w:val="left"/>
      <w:pPr>
        <w:ind w:left="4252" w:hanging="440"/>
      </w:pPr>
    </w:lvl>
    <w:lvl w:ilvl="8" w:tentative="0">
      <w:start w:val="1"/>
      <w:numFmt w:val="lowerRoman"/>
      <w:lvlText w:val="%9."/>
      <w:lvlJc w:val="right"/>
      <w:pPr>
        <w:ind w:left="4692" w:hanging="440"/>
      </w:pPr>
    </w:lvl>
  </w:abstractNum>
  <w:abstractNum w:abstractNumId="1">
    <w:nsid w:val="78487C39"/>
    <w:multiLevelType w:val="singleLevel"/>
    <w:tmpl w:val="78487C39"/>
    <w:lvl w:ilvl="0" w:tentative="0">
      <w:start w:val="2"/>
      <w:numFmt w:val="decimal"/>
      <w:lvlText w:val="%1."/>
      <w:lvlJc w:val="left"/>
      <w:pPr>
        <w:tabs>
          <w:tab w:val="left" w:pos="312"/>
        </w:tabs>
      </w:pPr>
    </w:lvl>
  </w:abstractNum>
  <w:abstractNum w:abstractNumId="2">
    <w:nsid w:val="7B6D60D1"/>
    <w:multiLevelType w:val="singleLevel"/>
    <w:tmpl w:val="7B6D60D1"/>
    <w:lvl w:ilvl="0" w:tentative="0">
      <w:start w:val="2"/>
      <w:numFmt w:val="decimal"/>
      <w:lvlText w:val="%1."/>
      <w:lvlJc w:val="left"/>
      <w:pPr>
        <w:tabs>
          <w:tab w:val="left" w:pos="312"/>
        </w:tabs>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IzMjg5ZTk0ZmI5MWFhNTcyMmY3YTlmN2Y3NmI0YzkifQ=="/>
  </w:docVars>
  <w:rsids>
    <w:rsidRoot w:val="5DAD333C"/>
    <w:rsid w:val="001A2C6E"/>
    <w:rsid w:val="00210462"/>
    <w:rsid w:val="003F2B4F"/>
    <w:rsid w:val="00471CBF"/>
    <w:rsid w:val="006F12F1"/>
    <w:rsid w:val="00807719"/>
    <w:rsid w:val="008C6A9E"/>
    <w:rsid w:val="00932DD5"/>
    <w:rsid w:val="00BB09A7"/>
    <w:rsid w:val="00C52974"/>
    <w:rsid w:val="00D268E4"/>
    <w:rsid w:val="00D560F0"/>
    <w:rsid w:val="00E566B2"/>
    <w:rsid w:val="00ED4A63"/>
    <w:rsid w:val="20335FCE"/>
    <w:rsid w:val="251E7549"/>
    <w:rsid w:val="5DAD333C"/>
    <w:rsid w:val="5F9903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9"/>
    <w:pPr>
      <w:keepNext/>
      <w:keepLines/>
      <w:spacing w:before="260" w:after="260" w:line="416" w:lineRule="auto"/>
      <w:outlineLvl w:val="1"/>
    </w:pPr>
    <w:rPr>
      <w:rFonts w:ascii="Calibri Light" w:hAnsi="Calibri Light" w:eastAsia="宋体" w:cs="Times New Roman"/>
      <w:b/>
      <w:bCs/>
      <w:sz w:val="32"/>
      <w:szCs w:val="32"/>
    </w:rPr>
  </w:style>
  <w:style w:type="paragraph" w:styleId="3">
    <w:name w:val="heading 3"/>
    <w:basedOn w:val="1"/>
    <w:next w:val="1"/>
    <w:qFormat/>
    <w:uiPriority w:val="9"/>
    <w:pPr>
      <w:keepNext/>
      <w:keepLines/>
      <w:spacing w:before="260" w:after="260" w:line="416" w:lineRule="auto"/>
      <w:outlineLvl w:val="2"/>
    </w:pPr>
    <w:rPr>
      <w:rFonts w:eastAsia="宋体"/>
      <w:b/>
      <w:bCs/>
      <w:sz w:val="32"/>
      <w:szCs w:val="32"/>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9"/>
    <w:qFormat/>
    <w:uiPriority w:val="0"/>
    <w:pPr>
      <w:tabs>
        <w:tab w:val="center" w:pos="4153"/>
        <w:tab w:val="right" w:pos="8306"/>
      </w:tabs>
      <w:snapToGrid w:val="0"/>
      <w:jc w:val="left"/>
    </w:pPr>
    <w:rPr>
      <w:sz w:val="18"/>
      <w:szCs w:val="18"/>
    </w:rPr>
  </w:style>
  <w:style w:type="paragraph" w:styleId="5">
    <w:name w:val="header"/>
    <w:basedOn w:val="1"/>
    <w:link w:val="8"/>
    <w:qFormat/>
    <w:uiPriority w:val="0"/>
    <w:pPr>
      <w:tabs>
        <w:tab w:val="center" w:pos="4153"/>
        <w:tab w:val="right" w:pos="8306"/>
      </w:tabs>
      <w:snapToGrid w:val="0"/>
      <w:jc w:val="center"/>
    </w:pPr>
    <w:rPr>
      <w:sz w:val="18"/>
      <w:szCs w:val="18"/>
    </w:rPr>
  </w:style>
  <w:style w:type="character" w:customStyle="1" w:styleId="8">
    <w:name w:val="页眉 字符"/>
    <w:basedOn w:val="7"/>
    <w:link w:val="5"/>
    <w:qFormat/>
    <w:uiPriority w:val="0"/>
    <w:rPr>
      <w:kern w:val="2"/>
      <w:sz w:val="18"/>
      <w:szCs w:val="18"/>
    </w:rPr>
  </w:style>
  <w:style w:type="character" w:customStyle="1" w:styleId="9">
    <w:name w:val="页脚 字符"/>
    <w:basedOn w:val="7"/>
    <w:link w:val="4"/>
    <w:qFormat/>
    <w:uiPriority w:val="0"/>
    <w:rPr>
      <w:kern w:val="2"/>
      <w:sz w:val="18"/>
      <w:szCs w:val="18"/>
    </w:rPr>
  </w:style>
  <w:style w:type="paragraph" w:styleId="10">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21</Pages>
  <Words>2393</Words>
  <Characters>2423</Characters>
  <Lines>69</Lines>
  <Paragraphs>19</Paragraphs>
  <TotalTime>7</TotalTime>
  <ScaleCrop>false</ScaleCrop>
  <LinksUpToDate>false</LinksUpToDate>
  <CharactersWithSpaces>2496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2026-07-21T09:14:00Z</dcterms:created>
  <dc:creator>姜忠保</dc:creator>
  <cp:lastModifiedBy>dd</cp:lastModifiedBy>
  <dcterms:modified xsi:type="dcterms:W3CDTF">2026-08-17T01:47:36Z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CE4504FB34874B5B80A3FD09D1392145_11</vt:lpwstr>
  </property>
  <property fmtid="{D5CDD505-2E9C-101B-9397-08002B2CF9AE}" pid="4" name="KSOTemplateDocerSaveRecord">
    <vt:lpwstr>eyJoZGlkIjoiYzVlYmI3M2M4OWE3YWUyYTVmNWVhOGI1NmY0NTYxMTciLCJ1c2VySWQiOiIxNTM1ODk5ODk4In0=</vt:lpwstr>
  </property>
</Properties>
</file>