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03D7DD">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277D063D">
      <w:pPr>
        <w:pStyle w:val="3"/>
        <w:spacing w:before="0" w:after="0" w:line="360" w:lineRule="auto"/>
        <w:rPr>
          <w:rFonts w:hint="eastAsia"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02651A8C">
      <w:pPr>
        <w:pStyle w:val="3"/>
        <w:spacing w:before="0" w:after="0" w:line="360" w:lineRule="auto"/>
        <w:jc w:val="center"/>
        <w:rPr>
          <w:rFonts w:hint="eastAsia" w:ascii="宋体" w:hAnsi="宋体"/>
          <w:szCs w:val="28"/>
        </w:rPr>
      </w:pPr>
    </w:p>
    <w:p w14:paraId="7BB80BCD">
      <w:pPr>
        <w:pStyle w:val="3"/>
        <w:spacing w:before="0" w:after="0" w:line="360" w:lineRule="auto"/>
        <w:jc w:val="center"/>
        <w:rPr>
          <w:rFonts w:hint="eastAsia" w:ascii="宋体" w:hAnsi="宋体"/>
          <w:szCs w:val="28"/>
        </w:rPr>
      </w:pPr>
    </w:p>
    <w:p w14:paraId="5EA9B85A"/>
    <w:p w14:paraId="30122F6F">
      <w:pPr>
        <w:rPr>
          <w:rFonts w:hint="eastAsia" w:ascii="宋体" w:hAnsi="宋体"/>
          <w:szCs w:val="28"/>
        </w:rPr>
      </w:pPr>
    </w:p>
    <w:p w14:paraId="44B28DE4">
      <w:pPr>
        <w:jc w:val="center"/>
        <w:rPr>
          <w:rFonts w:hint="eastAsia"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10FA3222"/>
    <w:p w14:paraId="6961EEB5">
      <w:pPr>
        <w:ind w:firstLine="1044" w:firstLineChars="400"/>
        <w:rPr>
          <w:rFonts w:hint="eastAsia" w:ascii="仿宋" w:hAnsi="仿宋" w:eastAsia="仿宋" w:cs="仿宋"/>
          <w:b/>
          <w:bCs/>
          <w:kern w:val="0"/>
          <w:sz w:val="26"/>
          <w:szCs w:val="26"/>
          <w:shd w:val="clear" w:color="auto" w:fill="FFFFFF"/>
        </w:rPr>
      </w:pPr>
    </w:p>
    <w:p w14:paraId="6D0F83F9">
      <w:pPr>
        <w:ind w:firstLine="1044" w:firstLineChars="400"/>
        <w:rPr>
          <w:rFonts w:hint="eastAsia" w:ascii="仿宋" w:hAnsi="仿宋" w:eastAsia="仿宋" w:cs="仿宋"/>
          <w:b/>
          <w:bCs/>
          <w:kern w:val="0"/>
          <w:sz w:val="26"/>
          <w:szCs w:val="26"/>
          <w:shd w:val="clear" w:color="auto" w:fill="FFFFFF"/>
        </w:rPr>
      </w:pPr>
    </w:p>
    <w:p w14:paraId="0746C8B8">
      <w:pPr>
        <w:ind w:firstLine="1044" w:firstLineChars="400"/>
        <w:rPr>
          <w:rFonts w:hint="eastAsia" w:ascii="仿宋" w:hAnsi="仿宋" w:eastAsia="仿宋" w:cs="仿宋"/>
          <w:b/>
          <w:bCs/>
          <w:kern w:val="0"/>
          <w:sz w:val="26"/>
          <w:szCs w:val="26"/>
          <w:shd w:val="clear" w:color="auto" w:fill="FFFFFF"/>
        </w:rPr>
      </w:pPr>
    </w:p>
    <w:p w14:paraId="3B27E655">
      <w:pPr>
        <w:spacing w:line="720" w:lineRule="auto"/>
        <w:ind w:firstLine="2108" w:firstLineChars="659"/>
        <w:rPr>
          <w:rFonts w:hint="eastAsia" w:asciiTheme="minorEastAsia" w:hAnsiTheme="minorEastAsia" w:cstheme="minorEastAsia"/>
          <w:bCs/>
          <w:kern w:val="0"/>
          <w:sz w:val="30"/>
          <w:szCs w:val="30"/>
          <w:u w:val="single"/>
          <w:shd w:val="clear" w:color="auto" w:fill="FFFFFF"/>
        </w:rPr>
      </w:pPr>
      <w:r>
        <w:rPr>
          <w:rFonts w:hint="eastAsia" w:ascii="方正小标宋简体" w:hAnsi="方正小标宋简体" w:eastAsia="方正小标宋简体" w:cs="仿宋"/>
          <w:bCs/>
          <w:kern w:val="0"/>
          <w:sz w:val="32"/>
          <w:szCs w:val="32"/>
          <w:shd w:val="clear" w:color="auto" w:fill="FFFFFF"/>
        </w:rPr>
        <w:t>项目名称：</w:t>
      </w:r>
      <w:r>
        <w:rPr>
          <w:rFonts w:hint="eastAsia" w:asciiTheme="minorEastAsia" w:hAnsiTheme="minorEastAsia" w:cstheme="minorEastAsia"/>
          <w:bCs/>
          <w:kern w:val="0"/>
          <w:sz w:val="30"/>
          <w:szCs w:val="30"/>
          <w:u w:val="single"/>
          <w:shd w:val="clear" w:color="auto" w:fill="FFFFFF"/>
          <w:lang w:val="en-US" w:eastAsia="zh-CN"/>
        </w:rPr>
        <w:t>中国地质大学（武汉）</w:t>
      </w:r>
      <w:r>
        <w:rPr>
          <w:rFonts w:hint="eastAsia" w:asciiTheme="minorEastAsia" w:hAnsiTheme="minorEastAsia" w:cstheme="minorEastAsia"/>
          <w:bCs/>
          <w:kern w:val="0"/>
          <w:sz w:val="30"/>
          <w:szCs w:val="30"/>
          <w:u w:val="single"/>
          <w:shd w:val="clear" w:color="auto" w:fill="FFFFFF"/>
        </w:rPr>
        <w:t>生物</w:t>
      </w:r>
    </w:p>
    <w:p w14:paraId="418EE5A1">
      <w:pPr>
        <w:spacing w:line="720" w:lineRule="auto"/>
        <w:ind w:firstLine="1977" w:firstLineChars="659"/>
        <w:rPr>
          <w:rFonts w:hint="eastAsia" w:ascii="方正小标宋简体" w:hAnsi="方正小标宋简体" w:eastAsia="方正小标宋简体" w:cs="Calibri"/>
          <w:kern w:val="0"/>
          <w:sz w:val="30"/>
          <w:szCs w:val="30"/>
          <w:u w:val="single"/>
          <w:shd w:val="clear" w:color="auto" w:fill="FFFFFF"/>
        </w:rPr>
      </w:pPr>
      <w:r>
        <w:rPr>
          <w:rFonts w:hint="eastAsia" w:asciiTheme="minorEastAsia" w:hAnsiTheme="minorEastAsia" w:cstheme="minorEastAsia"/>
          <w:bCs/>
          <w:kern w:val="0"/>
          <w:sz w:val="30"/>
          <w:szCs w:val="30"/>
          <w:u w:val="single"/>
          <w:shd w:val="clear" w:color="auto" w:fill="FFFFFF"/>
        </w:rPr>
        <w:t>荧光及偏光显微镜等设备购置</w:t>
      </w:r>
      <w:r>
        <w:rPr>
          <w:rFonts w:hint="eastAsia" w:ascii="Cambria" w:hAnsi="Cambria" w:eastAsia="方正小标宋简体" w:cs="Cambria"/>
          <w:kern w:val="0"/>
          <w:sz w:val="30"/>
          <w:szCs w:val="30"/>
          <w:u w:val="single"/>
          <w:shd w:val="clear" w:color="auto" w:fill="FFFFFF"/>
        </w:rPr>
        <w:t xml:space="preserve">    </w:t>
      </w:r>
      <w:r>
        <w:rPr>
          <w:rFonts w:hint="eastAsia" w:ascii="Cambria" w:hAnsi="Cambria" w:eastAsia="方正小标宋简体" w:cs="Cambria"/>
          <w:kern w:val="0"/>
          <w:sz w:val="30"/>
          <w:szCs w:val="30"/>
          <w:u w:val="single"/>
          <w:shd w:val="clear" w:color="auto" w:fill="FFFFFF"/>
          <w:lang w:val="en-US" w:eastAsia="zh-CN"/>
        </w:rPr>
        <w:t xml:space="preserve">    </w:t>
      </w:r>
      <w:r>
        <w:rPr>
          <w:rFonts w:hint="eastAsia" w:ascii="Cambria" w:hAnsi="Cambria" w:eastAsia="方正小标宋简体" w:cs="Cambria"/>
          <w:kern w:val="0"/>
          <w:sz w:val="30"/>
          <w:szCs w:val="30"/>
          <w:u w:val="single"/>
          <w:shd w:val="clear" w:color="auto" w:fill="FFFFFF"/>
        </w:rPr>
        <w:t xml:space="preserve"> </w:t>
      </w:r>
    </w:p>
    <w:p w14:paraId="220C2077">
      <w:pPr>
        <w:spacing w:line="720" w:lineRule="auto"/>
        <w:ind w:firstLine="2108" w:firstLineChars="659"/>
        <w:rPr>
          <w:rFonts w:hint="eastAsia" w:ascii="方正小标宋简体" w:hAnsi="方正小标宋简体" w:eastAsia="方正小标宋简体" w:cs="Calibri"/>
          <w:kern w:val="0"/>
          <w:sz w:val="32"/>
          <w:szCs w:val="32"/>
          <w:u w:val="single"/>
          <w:shd w:val="clear" w:color="auto" w:fill="FFFFFF"/>
        </w:rPr>
      </w:pPr>
      <w:r>
        <w:rPr>
          <w:rFonts w:hint="eastAsia" w:ascii="方正小标宋简体" w:hAnsi="方正小标宋简体" w:eastAsia="方正小标宋简体" w:cs="仿宋"/>
          <w:bCs/>
          <w:kern w:val="0"/>
          <w:sz w:val="32"/>
          <w:szCs w:val="32"/>
          <w:shd w:val="clear" w:color="auto" w:fill="FFFFFF"/>
        </w:rPr>
        <w:t>用户单位：</w:t>
      </w:r>
      <w:r>
        <w:rPr>
          <w:rFonts w:ascii="Cambria" w:hAnsi="Cambria" w:eastAsia="方正小标宋简体" w:cs="Cambria"/>
          <w:kern w:val="0"/>
          <w:sz w:val="32"/>
          <w:szCs w:val="32"/>
          <w:u w:val="single"/>
          <w:shd w:val="clear" w:color="auto" w:fill="FFFFFF"/>
        </w:rPr>
        <w:t>  </w:t>
      </w:r>
      <w:r>
        <w:rPr>
          <w:rFonts w:hint="eastAsia" w:asciiTheme="minorEastAsia" w:hAnsiTheme="minorEastAsia" w:cstheme="minorEastAsia"/>
          <w:bCs/>
          <w:kern w:val="0"/>
          <w:sz w:val="30"/>
          <w:szCs w:val="30"/>
          <w:u w:val="single"/>
          <w:shd w:val="clear" w:color="auto" w:fill="FFFFFF"/>
        </w:rPr>
        <w:t xml:space="preserve">地球与行星科学学院  </w:t>
      </w:r>
      <w:r>
        <w:rPr>
          <w:rFonts w:hint="eastAsia" w:asciiTheme="minorEastAsia" w:hAnsiTheme="minorEastAsia" w:cstheme="minorEastAsia"/>
          <w:bCs/>
          <w:kern w:val="0"/>
          <w:sz w:val="30"/>
          <w:szCs w:val="30"/>
          <w:u w:val="single"/>
          <w:shd w:val="clear" w:color="auto" w:fill="FFFFFF"/>
          <w:lang w:val="en-US" w:eastAsia="zh-CN"/>
        </w:rPr>
        <w:t xml:space="preserve">  </w:t>
      </w:r>
      <w:r>
        <w:rPr>
          <w:rFonts w:ascii="Cambria" w:hAnsi="Cambria" w:eastAsia="方正小标宋简体" w:cs="Cambria"/>
          <w:kern w:val="0"/>
          <w:sz w:val="32"/>
          <w:szCs w:val="32"/>
          <w:u w:val="single"/>
          <w:shd w:val="clear" w:color="auto" w:fill="FFFFFF"/>
        </w:rPr>
        <w:t>  </w:t>
      </w:r>
    </w:p>
    <w:p w14:paraId="464639F1">
      <w:pPr>
        <w:spacing w:line="720" w:lineRule="auto"/>
        <w:ind w:firstLine="2108" w:firstLineChars="659"/>
        <w:rPr>
          <w:rFonts w:hint="eastAsia" w:ascii="方正小标宋简体" w:hAnsi="方正小标宋简体" w:eastAsia="方正小标宋简体" w:cs="Calibri"/>
          <w:kern w:val="0"/>
          <w:sz w:val="32"/>
          <w:szCs w:val="32"/>
          <w:u w:val="single"/>
          <w:shd w:val="clear" w:color="auto" w:fill="FFFFFF"/>
        </w:rPr>
      </w:pPr>
      <w:r>
        <w:rPr>
          <w:rFonts w:hint="eastAsia" w:ascii="方正小标宋简体" w:hAnsi="方正小标宋简体" w:eastAsia="方正小标宋简体" w:cs="仿宋"/>
          <w:bCs/>
          <w:kern w:val="0"/>
          <w:sz w:val="32"/>
          <w:szCs w:val="32"/>
          <w:shd w:val="clear" w:color="auto" w:fill="FFFFFF"/>
        </w:rPr>
        <w:t>编制时间：</w:t>
      </w:r>
      <w:r>
        <w:rPr>
          <w:rFonts w:ascii="Cambria" w:hAnsi="Cambria" w:eastAsia="方正小标宋简体" w:cs="Cambria"/>
          <w:kern w:val="0"/>
          <w:sz w:val="32"/>
          <w:szCs w:val="32"/>
          <w:u w:val="single"/>
          <w:shd w:val="clear" w:color="auto" w:fill="FFFFFF"/>
        </w:rPr>
        <w:t>   </w:t>
      </w:r>
      <w:r>
        <w:rPr>
          <w:rFonts w:hint="eastAsia" w:asciiTheme="minorEastAsia" w:hAnsiTheme="minorEastAsia" w:cstheme="minorEastAsia"/>
          <w:kern w:val="0"/>
          <w:sz w:val="32"/>
          <w:szCs w:val="32"/>
          <w:u w:val="single"/>
          <w:shd w:val="clear" w:color="auto" w:fill="FFFFFF"/>
        </w:rPr>
        <w:t xml:space="preserve">2026年7月26日 </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lang w:val="en-US" w:eastAsia="zh-CN"/>
        </w:rPr>
        <w:t xml:space="preserve">  </w:t>
      </w:r>
      <w:r>
        <w:rPr>
          <w:rFonts w:ascii="Cambria" w:hAnsi="Cambria" w:eastAsia="方正小标宋简体" w:cs="Cambria"/>
          <w:kern w:val="0"/>
          <w:sz w:val="32"/>
          <w:szCs w:val="32"/>
          <w:u w:val="single"/>
          <w:shd w:val="clear" w:color="auto" w:fill="FFFFFF"/>
        </w:rPr>
        <w:t> </w:t>
      </w:r>
      <w:r>
        <w:rPr>
          <w:rFonts w:hint="eastAsia" w:ascii="Cambria" w:hAnsi="Cambria" w:eastAsia="方正小标宋简体" w:cs="Cambria"/>
          <w:kern w:val="0"/>
          <w:sz w:val="32"/>
          <w:szCs w:val="32"/>
          <w:u w:val="single"/>
          <w:shd w:val="clear" w:color="auto" w:fill="FFFFFF"/>
        </w:rPr>
        <w:t xml:space="preserve"> </w:t>
      </w:r>
    </w:p>
    <w:p w14:paraId="0F299BAF">
      <w:pPr>
        <w:rPr>
          <w:rFonts w:hint="eastAsia" w:ascii="宋体" w:hAnsi="宋体"/>
          <w:sz w:val="28"/>
          <w:szCs w:val="28"/>
        </w:rPr>
      </w:pPr>
    </w:p>
    <w:p w14:paraId="4A4646D7">
      <w:pPr>
        <w:rPr>
          <w:rFonts w:hint="eastAsia" w:ascii="宋体" w:hAnsi="宋体"/>
          <w:sz w:val="28"/>
          <w:szCs w:val="28"/>
        </w:rPr>
      </w:pPr>
    </w:p>
    <w:p w14:paraId="05187DC7">
      <w:pPr>
        <w:rPr>
          <w:rFonts w:hint="eastAsia" w:ascii="宋体" w:hAnsi="宋体"/>
          <w:sz w:val="28"/>
          <w:szCs w:val="28"/>
        </w:rPr>
      </w:pPr>
    </w:p>
    <w:p w14:paraId="179DDC57">
      <w:pPr>
        <w:rPr>
          <w:rFonts w:hint="eastAsia" w:ascii="宋体" w:hAnsi="宋体"/>
          <w:sz w:val="28"/>
          <w:szCs w:val="28"/>
        </w:rPr>
      </w:pPr>
    </w:p>
    <w:p w14:paraId="1E1AAD0E">
      <w:pPr>
        <w:jc w:val="center"/>
        <w:rPr>
          <w:rFonts w:hint="eastAsia" w:ascii="方正小标宋简体" w:hAnsi="方正小标宋简体" w:eastAsia="方正小标宋简体" w:cs="仿宋"/>
          <w:kern w:val="0"/>
          <w:sz w:val="32"/>
          <w:szCs w:val="32"/>
          <w:shd w:val="clear" w:color="auto" w:fill="FFFFFF"/>
        </w:rPr>
      </w:pPr>
    </w:p>
    <w:p w14:paraId="006DB573">
      <w:pPr>
        <w:widowControl/>
        <w:jc w:val="left"/>
        <w:rPr>
          <w:rFonts w:hint="eastAsia" w:ascii="方正小标宋简体" w:hAnsi="方正小标宋简体" w:eastAsia="方正小标宋简体" w:cs="仿宋"/>
          <w:kern w:val="0"/>
          <w:sz w:val="32"/>
          <w:szCs w:val="32"/>
          <w:shd w:val="clear" w:color="auto" w:fill="FFFFFF"/>
        </w:rPr>
      </w:pPr>
      <w:r>
        <w:rPr>
          <w:rFonts w:ascii="方正小标宋简体" w:hAnsi="方正小标宋简体" w:eastAsia="方正小标宋简体" w:cs="仿宋"/>
          <w:kern w:val="0"/>
          <w:sz w:val="32"/>
          <w:szCs w:val="32"/>
          <w:shd w:val="clear" w:color="auto" w:fill="FFFFFF"/>
        </w:rPr>
        <w:br w:type="page"/>
      </w:r>
    </w:p>
    <w:p w14:paraId="0BD6BB92">
      <w:pPr>
        <w:jc w:val="center"/>
        <w:rPr>
          <w:rFonts w:hint="eastAsia" w:ascii="方正小标宋简体" w:hAnsi="方正小标宋简体" w:eastAsia="方正小标宋简体" w:cs="仿宋"/>
          <w:kern w:val="0"/>
          <w:sz w:val="32"/>
          <w:szCs w:val="32"/>
          <w:shd w:val="clear" w:color="auto" w:fill="FFFFFF"/>
        </w:rPr>
      </w:pPr>
      <w:r>
        <w:rPr>
          <w:rFonts w:hint="eastAsia" w:ascii="方正小标宋简体" w:hAnsi="方正小标宋简体" w:eastAsia="方正小标宋简体" w:cs="仿宋"/>
          <w:kern w:val="0"/>
          <w:sz w:val="32"/>
          <w:szCs w:val="32"/>
          <w:shd w:val="clear" w:color="auto" w:fill="FFFFFF"/>
        </w:rPr>
        <w:t>编制说明</w:t>
      </w:r>
    </w:p>
    <w:p w14:paraId="47E68BC2">
      <w:pPr>
        <w:widowControl/>
        <w:spacing w:line="560" w:lineRule="atLeast"/>
        <w:ind w:firstLine="640"/>
        <w:jc w:val="left"/>
        <w:rPr>
          <w:rFonts w:hint="eastAsia" w:ascii="宋体" w:hAnsi="宋体" w:cs="仿宋"/>
          <w:kern w:val="0"/>
          <w:sz w:val="28"/>
          <w:szCs w:val="28"/>
          <w:shd w:val="clear" w:color="auto" w:fill="FFFFFF"/>
        </w:rPr>
      </w:pPr>
    </w:p>
    <w:p w14:paraId="728C6DE6">
      <w:pPr>
        <w:widowControl/>
        <w:spacing w:line="560" w:lineRule="atLeast"/>
        <w:ind w:firstLine="640"/>
        <w:jc w:val="left"/>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一、用户单位依据咨询、论证、问卷等方式调查的具体情况自行编制采购需求书。</w:t>
      </w:r>
    </w:p>
    <w:p w14:paraId="1060FF9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二、编制的采购需求书应当符合《财政部关于印发政府采购需求管理办法的通知》（财库〔2021〕22号）要求及政府采购的相关规定。除单一来源采购外，标的物名称、指标要求等不能指向单一投标人。</w:t>
      </w:r>
    </w:p>
    <w:p w14:paraId="743A71E9">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三、斜体字部分属于提醒内容，编制时应删除。</w:t>
      </w:r>
    </w:p>
    <w:p w14:paraId="0130F5F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kern w:val="0"/>
          <w:sz w:val="28"/>
          <w:szCs w:val="28"/>
          <w:shd w:val="clear" w:color="auto" w:fill="FFFFFF"/>
        </w:rPr>
        <w:t>四、对不适用的内容应删除，并调整相应序号。</w:t>
      </w:r>
    </w:p>
    <w:p w14:paraId="4E5934E3"/>
    <w:p w14:paraId="4F4EC3BA">
      <w:pPr>
        <w:spacing w:line="360" w:lineRule="auto"/>
      </w:pPr>
    </w:p>
    <w:p w14:paraId="1BB7A504">
      <w:pPr>
        <w:widowControl/>
        <w:shd w:val="clear" w:color="auto" w:fill="FFFFFF"/>
        <w:spacing w:line="360" w:lineRule="auto"/>
        <w:ind w:firstLine="562" w:firstLineChars="200"/>
        <w:jc w:val="left"/>
        <w:rPr>
          <w:rFonts w:hint="eastAsia" w:ascii="宋体" w:hAnsi="宋体" w:cs="Arial"/>
          <w:b/>
          <w:kern w:val="0"/>
          <w:sz w:val="28"/>
          <w:szCs w:val="28"/>
        </w:rPr>
      </w:pPr>
    </w:p>
    <w:p w14:paraId="6F425A40">
      <w:pPr>
        <w:widowControl/>
        <w:shd w:val="clear" w:color="auto" w:fill="FFFFFF"/>
        <w:spacing w:line="360" w:lineRule="auto"/>
        <w:ind w:firstLine="562" w:firstLineChars="200"/>
        <w:jc w:val="left"/>
        <w:rPr>
          <w:rFonts w:hint="eastAsia" w:ascii="宋体" w:hAnsi="宋体" w:cs="Arial"/>
          <w:b/>
          <w:kern w:val="0"/>
          <w:sz w:val="28"/>
          <w:szCs w:val="28"/>
        </w:rPr>
      </w:pPr>
    </w:p>
    <w:p w14:paraId="5F8D343F">
      <w:pPr>
        <w:widowControl/>
        <w:shd w:val="clear" w:color="auto" w:fill="FFFFFF"/>
        <w:spacing w:line="360" w:lineRule="auto"/>
        <w:ind w:firstLine="562" w:firstLineChars="200"/>
        <w:jc w:val="left"/>
        <w:rPr>
          <w:rFonts w:hint="eastAsia" w:ascii="宋体" w:hAnsi="宋体" w:cs="Arial"/>
          <w:b/>
          <w:kern w:val="0"/>
          <w:sz w:val="28"/>
          <w:szCs w:val="28"/>
        </w:rPr>
      </w:pPr>
    </w:p>
    <w:p w14:paraId="471A3D69">
      <w:pPr>
        <w:widowControl/>
        <w:shd w:val="clear" w:color="auto" w:fill="FFFFFF"/>
        <w:spacing w:line="360" w:lineRule="auto"/>
        <w:ind w:firstLine="562" w:firstLineChars="200"/>
        <w:jc w:val="left"/>
        <w:rPr>
          <w:rFonts w:hint="eastAsia" w:ascii="宋体" w:hAnsi="宋体" w:cs="Arial"/>
          <w:b/>
          <w:kern w:val="0"/>
          <w:sz w:val="28"/>
          <w:szCs w:val="28"/>
        </w:rPr>
      </w:pPr>
    </w:p>
    <w:p w14:paraId="54B2CDE5">
      <w:pPr>
        <w:widowControl/>
        <w:shd w:val="clear" w:color="auto" w:fill="FFFFFF"/>
        <w:spacing w:line="360" w:lineRule="auto"/>
        <w:ind w:firstLine="562" w:firstLineChars="200"/>
        <w:jc w:val="left"/>
        <w:rPr>
          <w:rFonts w:hint="eastAsia" w:ascii="宋体" w:hAnsi="宋体" w:cs="Arial"/>
          <w:b/>
          <w:kern w:val="0"/>
          <w:sz w:val="28"/>
          <w:szCs w:val="28"/>
        </w:rPr>
      </w:pPr>
    </w:p>
    <w:p w14:paraId="6A91A17B">
      <w:pPr>
        <w:widowControl/>
        <w:shd w:val="clear" w:color="auto" w:fill="FFFFFF"/>
        <w:spacing w:line="360" w:lineRule="auto"/>
        <w:ind w:firstLine="562" w:firstLineChars="200"/>
        <w:jc w:val="left"/>
        <w:rPr>
          <w:rFonts w:hint="eastAsia" w:ascii="宋体" w:hAnsi="宋体" w:cs="Arial"/>
          <w:b/>
          <w:kern w:val="0"/>
          <w:sz w:val="28"/>
          <w:szCs w:val="28"/>
        </w:rPr>
      </w:pPr>
    </w:p>
    <w:p w14:paraId="6FECDCF9">
      <w:pPr>
        <w:widowControl/>
        <w:shd w:val="clear" w:color="auto" w:fill="FFFFFF"/>
        <w:spacing w:line="360" w:lineRule="auto"/>
        <w:ind w:firstLine="562" w:firstLineChars="200"/>
        <w:jc w:val="left"/>
        <w:rPr>
          <w:rFonts w:hint="eastAsia" w:ascii="宋体" w:hAnsi="宋体" w:cs="Arial"/>
          <w:b/>
          <w:kern w:val="0"/>
          <w:sz w:val="28"/>
          <w:szCs w:val="28"/>
        </w:rPr>
      </w:pPr>
    </w:p>
    <w:p w14:paraId="6CE62EDF">
      <w:pPr>
        <w:widowControl/>
        <w:shd w:val="clear" w:color="auto" w:fill="FFFFFF"/>
        <w:spacing w:line="360" w:lineRule="auto"/>
        <w:ind w:firstLine="562" w:firstLineChars="200"/>
        <w:jc w:val="left"/>
        <w:rPr>
          <w:rFonts w:hint="eastAsia" w:ascii="宋体" w:hAnsi="宋体" w:cs="Arial"/>
          <w:b/>
          <w:kern w:val="0"/>
          <w:sz w:val="28"/>
          <w:szCs w:val="28"/>
        </w:rPr>
      </w:pPr>
    </w:p>
    <w:p w14:paraId="55A108F0">
      <w:pPr>
        <w:widowControl/>
        <w:shd w:val="clear" w:color="auto" w:fill="FFFFFF"/>
        <w:spacing w:line="360" w:lineRule="auto"/>
        <w:ind w:firstLine="562" w:firstLineChars="200"/>
        <w:jc w:val="left"/>
        <w:rPr>
          <w:rFonts w:hint="eastAsia" w:ascii="宋体" w:hAnsi="宋体" w:cs="Arial"/>
          <w:b/>
          <w:kern w:val="0"/>
          <w:sz w:val="28"/>
          <w:szCs w:val="28"/>
        </w:rPr>
      </w:pPr>
    </w:p>
    <w:p w14:paraId="1DE0B6A2">
      <w:pPr>
        <w:widowControl/>
        <w:shd w:val="clear" w:color="auto" w:fill="FFFFFF"/>
        <w:spacing w:line="360" w:lineRule="auto"/>
        <w:ind w:firstLine="562" w:firstLineChars="200"/>
        <w:jc w:val="left"/>
        <w:rPr>
          <w:rFonts w:hint="eastAsia" w:ascii="宋体" w:hAnsi="宋体" w:cs="Arial"/>
          <w:b/>
          <w:kern w:val="0"/>
          <w:sz w:val="28"/>
          <w:szCs w:val="28"/>
        </w:rPr>
      </w:pPr>
    </w:p>
    <w:p w14:paraId="50CB175A">
      <w:pPr>
        <w:widowControl/>
        <w:shd w:val="clear" w:color="auto" w:fill="FFFFFF"/>
        <w:spacing w:line="360" w:lineRule="auto"/>
        <w:jc w:val="left"/>
        <w:rPr>
          <w:rFonts w:hint="eastAsia" w:ascii="宋体" w:hAnsi="宋体" w:cs="Arial"/>
          <w:b/>
          <w:kern w:val="0"/>
          <w:sz w:val="28"/>
          <w:szCs w:val="28"/>
        </w:rPr>
      </w:pPr>
    </w:p>
    <w:p w14:paraId="1A4BC1DF">
      <w:pPr>
        <w:widowControl/>
        <w:ind w:firstLine="482" w:firstLineChars="200"/>
        <w:jc w:val="left"/>
        <w:rPr>
          <w:rFonts w:ascii="仿宋_GB2312" w:hAnsi="宋体" w:eastAsia="仿宋_GB2312" w:cs="仿宋"/>
          <w:b/>
          <w:kern w:val="0"/>
          <w:sz w:val="32"/>
          <w:szCs w:val="28"/>
          <w:shd w:val="clear" w:color="auto" w:fill="FFFFFF"/>
        </w:rPr>
      </w:pPr>
      <w:r>
        <w:rPr>
          <w:rFonts w:ascii="宋体" w:hAnsi="宋体" w:cs="Arial"/>
          <w:b/>
          <w:kern w:val="0"/>
          <w:sz w:val="24"/>
          <w:szCs w:val="24"/>
        </w:rPr>
        <w:br w:type="page"/>
      </w:r>
      <w:r>
        <w:rPr>
          <w:rFonts w:hint="eastAsia" w:ascii="宋体" w:hAnsi="宋体" w:cs="Arial"/>
          <w:b/>
          <w:kern w:val="0"/>
          <w:sz w:val="24"/>
          <w:szCs w:val="24"/>
        </w:rPr>
        <w:t xml:space="preserve">  </w:t>
      </w:r>
      <w:r>
        <w:rPr>
          <w:rFonts w:hint="eastAsia" w:ascii="仿宋_GB2312" w:hAnsi="宋体" w:eastAsia="仿宋_GB2312" w:cs="仿宋"/>
          <w:b/>
          <w:kern w:val="0"/>
          <w:sz w:val="32"/>
          <w:szCs w:val="28"/>
          <w:shd w:val="clear" w:color="auto" w:fill="FFFFFF"/>
        </w:rPr>
        <w:t>一、项目概况</w:t>
      </w:r>
    </w:p>
    <w:p w14:paraId="6782429A">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项目背景</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中国地质大学（武汉）地球与行星科学学院是国家地质学理科基础科学研究和教学人才培养基地，地质学一级学科在历次教育部高校学科评估中均排名全国第一，2017年获</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A+</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学科，并入选国家“双一流”建设学科。学院聚焦矿物岩石学、地球化学、行星地质学、沉积演化等前沿方向，坚持培养具备国际视野、创新思维和实践能力的拔尖地学人才，覆盖本、硕、博全层次人才培养现阶段我校地质学相关专业教学、科研对显微观测设备需求多元</w:t>
      </w:r>
      <w:r>
        <w:rPr>
          <w:rFonts w:hint="eastAsia" w:ascii="仿宋_GB2312" w:hAnsi="宋体" w:eastAsia="仿宋_GB2312" w:cs="仿宋"/>
          <w:bCs/>
          <w:kern w:val="0"/>
          <w:sz w:val="28"/>
          <w:szCs w:val="28"/>
          <w:shd w:val="clear" w:color="auto" w:fill="FFFFFF"/>
        </w:rPr>
        <w:t>，比如</w:t>
      </w:r>
      <w:r>
        <w:rPr>
          <w:rFonts w:ascii="仿宋_GB2312" w:hAnsi="宋体" w:eastAsia="仿宋_GB2312" w:cs="仿宋"/>
          <w:bCs/>
          <w:kern w:val="0"/>
          <w:sz w:val="28"/>
          <w:szCs w:val="28"/>
          <w:shd w:val="clear" w:color="auto" w:fill="FFFFFF"/>
        </w:rPr>
        <w:t>常规课堂互动教学需要可联网交互的显微设备，大批量地质薄片需要自动化数字化归档设备，流体包裹体相关实验研究需要温控观测设备。现有老旧偏光显微镜使用年限久、功能单一，缺少互动型</w:t>
      </w:r>
      <w:r>
        <w:rPr>
          <w:rFonts w:hint="eastAsia" w:ascii="仿宋_GB2312" w:hAnsi="宋体" w:eastAsia="仿宋_GB2312" w:cs="仿宋"/>
          <w:bCs/>
          <w:kern w:val="0"/>
          <w:sz w:val="28"/>
          <w:szCs w:val="28"/>
          <w:shd w:val="clear" w:color="auto" w:fill="FFFFFF"/>
        </w:rPr>
        <w:t>生物</w:t>
      </w:r>
      <w:r>
        <w:rPr>
          <w:rFonts w:ascii="仿宋_GB2312" w:hAnsi="宋体" w:eastAsia="仿宋_GB2312" w:cs="仿宋"/>
          <w:bCs/>
          <w:kern w:val="0"/>
          <w:sz w:val="28"/>
          <w:szCs w:val="28"/>
          <w:shd w:val="clear" w:color="auto" w:fill="FFFFFF"/>
        </w:rPr>
        <w:t>荧光</w:t>
      </w:r>
      <w:r>
        <w:rPr>
          <w:rFonts w:hint="eastAsia" w:ascii="仿宋_GB2312" w:hAnsi="宋体" w:eastAsia="仿宋_GB2312" w:cs="仿宋"/>
          <w:bCs/>
          <w:kern w:val="0"/>
          <w:sz w:val="28"/>
          <w:szCs w:val="28"/>
          <w:shd w:val="clear" w:color="auto" w:fill="FFFFFF"/>
        </w:rPr>
        <w:t>显微镜</w:t>
      </w:r>
      <w:r>
        <w:rPr>
          <w:rFonts w:ascii="仿宋_GB2312" w:hAnsi="宋体" w:eastAsia="仿宋_GB2312" w:cs="仿宋"/>
          <w:bCs/>
          <w:kern w:val="0"/>
          <w:sz w:val="28"/>
          <w:szCs w:val="28"/>
          <w:shd w:val="clear" w:color="auto" w:fill="FFFFFF"/>
        </w:rPr>
        <w:t>、全自动薄片扫描</w:t>
      </w:r>
      <w:r>
        <w:rPr>
          <w:rFonts w:hint="eastAsia" w:ascii="仿宋_GB2312" w:hAnsi="宋体" w:eastAsia="仿宋_GB2312" w:cs="仿宋"/>
          <w:bCs/>
          <w:kern w:val="0"/>
          <w:sz w:val="28"/>
          <w:szCs w:val="28"/>
          <w:shd w:val="clear" w:color="auto" w:fill="FFFFFF"/>
        </w:rPr>
        <w:t>显微镜</w:t>
      </w:r>
      <w:r>
        <w:rPr>
          <w:rFonts w:ascii="仿宋_GB2312" w:hAnsi="宋体" w:eastAsia="仿宋_GB2312" w:cs="仿宋"/>
          <w:bCs/>
          <w:kern w:val="0"/>
          <w:sz w:val="28"/>
          <w:szCs w:val="28"/>
          <w:shd w:val="clear" w:color="auto" w:fill="FFFFFF"/>
        </w:rPr>
        <w:t>、热台</w:t>
      </w:r>
      <w:r>
        <w:rPr>
          <w:rFonts w:hint="eastAsia" w:ascii="仿宋_GB2312" w:hAnsi="宋体" w:eastAsia="仿宋_GB2312" w:cs="仿宋"/>
          <w:bCs/>
          <w:kern w:val="0"/>
          <w:sz w:val="28"/>
          <w:szCs w:val="28"/>
          <w:shd w:val="clear" w:color="auto" w:fill="FFFFFF"/>
        </w:rPr>
        <w:t>显微镜</w:t>
      </w:r>
      <w:r>
        <w:rPr>
          <w:rFonts w:ascii="仿宋_GB2312" w:hAnsi="宋体" w:eastAsia="仿宋_GB2312" w:cs="仿宋"/>
          <w:bCs/>
          <w:kern w:val="0"/>
          <w:sz w:val="28"/>
          <w:szCs w:val="28"/>
          <w:shd w:val="clear" w:color="auto" w:fill="FFFFFF"/>
        </w:rPr>
        <w:t>三类专用设备，制约数字化课堂建设、岩石样品数据库搭建、热液成矿</w:t>
      </w:r>
      <w:r>
        <w:rPr>
          <w:rFonts w:hint="eastAsia" w:ascii="仿宋_GB2312" w:hAnsi="宋体" w:eastAsia="仿宋_GB2312" w:cs="仿宋"/>
          <w:bCs/>
          <w:kern w:val="0"/>
          <w:sz w:val="28"/>
          <w:szCs w:val="28"/>
          <w:shd w:val="clear" w:color="auto" w:fill="FFFFFF"/>
        </w:rPr>
        <w:t>等</w:t>
      </w:r>
      <w:r>
        <w:rPr>
          <w:rFonts w:ascii="仿宋_GB2312" w:hAnsi="宋体" w:eastAsia="仿宋_GB2312" w:cs="仿宋"/>
          <w:bCs/>
          <w:kern w:val="0"/>
          <w:sz w:val="28"/>
          <w:szCs w:val="28"/>
          <w:shd w:val="clear" w:color="auto" w:fill="FFFFFF"/>
        </w:rPr>
        <w:t>相关实验开展；三类设备功能互补，统一采购可补齐显微实验硬件短板，支撑双一流学科教学与科研建设。</w:t>
      </w:r>
    </w:p>
    <w:p w14:paraId="0B42077C">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立项目的</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采购生物荧光显微镜、全自动薄片扫描显微镜、热台偏光显微镜三类设备</w:t>
      </w:r>
      <w:r>
        <w:rPr>
          <w:rFonts w:hint="eastAsia" w:ascii="仿宋_GB2312" w:hAnsi="宋体" w:eastAsia="仿宋_GB2312" w:cs="仿宋"/>
          <w:bCs/>
          <w:kern w:val="0"/>
          <w:sz w:val="28"/>
          <w:szCs w:val="28"/>
          <w:shd w:val="clear" w:color="auto" w:fill="FFFFFF"/>
        </w:rPr>
        <w:t>，在</w:t>
      </w:r>
      <w:r>
        <w:rPr>
          <w:rFonts w:ascii="仿宋_GB2312" w:hAnsi="宋体" w:eastAsia="仿宋_GB2312" w:cs="仿宋"/>
          <w:bCs/>
          <w:kern w:val="0"/>
          <w:sz w:val="28"/>
          <w:szCs w:val="28"/>
          <w:shd w:val="clear" w:color="auto" w:fill="FFFFFF"/>
        </w:rPr>
        <w:t>教学上，支撑岩石学、矿相学、流体包裹体地质学等本硕核心课程实验，打造可远程交互的显微课堂、数字化薄片资源库，增设温控显微实操实验，提升学生实操能力与教学效率；</w:t>
      </w:r>
      <w:r>
        <w:rPr>
          <w:rFonts w:hint="eastAsia" w:ascii="仿宋_GB2312" w:hAnsi="宋体" w:eastAsia="仿宋_GB2312" w:cs="仿宋"/>
          <w:bCs/>
          <w:kern w:val="0"/>
          <w:sz w:val="28"/>
          <w:szCs w:val="28"/>
          <w:shd w:val="clear" w:color="auto" w:fill="FFFFFF"/>
        </w:rPr>
        <w:t>在</w:t>
      </w:r>
      <w:r>
        <w:rPr>
          <w:rFonts w:ascii="仿宋_GB2312" w:hAnsi="宋体" w:eastAsia="仿宋_GB2312" w:cs="仿宋"/>
          <w:bCs/>
          <w:kern w:val="0"/>
          <w:sz w:val="28"/>
          <w:szCs w:val="28"/>
          <w:shd w:val="clear" w:color="auto" w:fill="FFFFFF"/>
        </w:rPr>
        <w:t>科研上，搭建数字岩石数据库、获取流体包裹体温度等关键成矿参数，支撑矿物智能鉴定、热液成矿、油气成藏等方向研究，提升实验效率与数据复用能力。</w:t>
      </w:r>
    </w:p>
    <w:p w14:paraId="7F25C4FC">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现有环境和条件</w:t>
      </w:r>
      <w:r>
        <w:rPr>
          <w:rFonts w:hint="eastAsia" w:ascii="仿宋_GB2312" w:hAnsi="宋体" w:eastAsia="仿宋_GB2312" w:cs="仿宋"/>
          <w:bCs/>
          <w:kern w:val="0"/>
          <w:sz w:val="28"/>
          <w:szCs w:val="28"/>
          <w:shd w:val="clear" w:color="auto" w:fill="FFFFFF"/>
        </w:rPr>
        <w:t>：</w:t>
      </w:r>
      <w:r>
        <w:rPr>
          <w:rFonts w:ascii="仿宋_GB2312" w:hAnsi="宋体" w:eastAsia="仿宋_GB2312" w:cs="仿宋"/>
          <w:bCs/>
          <w:kern w:val="0"/>
          <w:sz w:val="28"/>
          <w:szCs w:val="28"/>
          <w:shd w:val="clear" w:color="auto" w:fill="FFFFFF"/>
        </w:rPr>
        <w:t>生物荧光显微镜可部署于现有70㎡教室，水电、桌椅完备，可直接改造为显微互动教室；全自动薄片扫描显微镜可利用现有实验室场地、供电及校内存储服务器部署；热台偏光显微镜计划安置在东校区国重实验室115室（面积30㎡），已有标准实验台、适配供电，原有普通偏光显微镜可配合开展常规岩矿鉴定</w:t>
      </w:r>
      <w:r>
        <w:rPr>
          <w:rFonts w:hint="eastAsia" w:ascii="仿宋_GB2312" w:hAnsi="宋体" w:eastAsia="仿宋_GB2312" w:cs="仿宋"/>
          <w:bCs/>
          <w:kern w:val="0"/>
          <w:sz w:val="28"/>
          <w:szCs w:val="28"/>
          <w:shd w:val="clear" w:color="auto" w:fill="FFFFFF"/>
        </w:rPr>
        <w:t>。综上，</w:t>
      </w:r>
      <w:r>
        <w:rPr>
          <w:rFonts w:ascii="仿宋_GB2312" w:hAnsi="宋体" w:eastAsia="仿宋_GB2312" w:cs="仿宋"/>
          <w:bCs/>
          <w:kern w:val="0"/>
          <w:sz w:val="28"/>
          <w:szCs w:val="28"/>
          <w:shd w:val="clear" w:color="auto" w:fill="FFFFFF"/>
        </w:rPr>
        <w:t>现有场地基础设施均可满足三类设备安装、运行条件。</w:t>
      </w:r>
    </w:p>
    <w:p w14:paraId="6702E670">
      <w:pPr>
        <w:widowControl/>
        <w:ind w:firstLine="562" w:firstLineChars="200"/>
        <w:jc w:val="left"/>
        <w:rPr>
          <w:rFonts w:ascii="仿宋_GB2312" w:hAnsi="宋体" w:eastAsia="仿宋_GB2312" w:cs="仿宋"/>
          <w:bCs/>
          <w:kern w:val="0"/>
          <w:sz w:val="28"/>
          <w:szCs w:val="28"/>
          <w:shd w:val="clear" w:color="auto" w:fill="FFFFFF"/>
        </w:rPr>
      </w:pPr>
      <w:r>
        <w:rPr>
          <w:rFonts w:ascii="仿宋_GB2312" w:hAnsi="宋体" w:eastAsia="仿宋_GB2312" w:cs="仿宋"/>
          <w:b/>
          <w:kern w:val="0"/>
          <w:sz w:val="28"/>
          <w:szCs w:val="28"/>
          <w:shd w:val="clear" w:color="auto" w:fill="FFFFFF"/>
        </w:rPr>
        <w:t>需要与其他项目配合情况</w:t>
      </w:r>
      <w:r>
        <w:rPr>
          <w:rFonts w:hint="eastAsia" w:ascii="仿宋_GB2312" w:hAnsi="宋体" w:eastAsia="仿宋_GB2312" w:cs="仿宋"/>
          <w:b/>
          <w:kern w:val="0"/>
          <w:sz w:val="28"/>
          <w:szCs w:val="28"/>
          <w:shd w:val="clear" w:color="auto" w:fill="FFFFFF"/>
        </w:rPr>
        <w:t>：</w:t>
      </w:r>
      <w:r>
        <w:rPr>
          <w:rFonts w:ascii="仿宋_GB2312" w:hAnsi="宋体" w:eastAsia="仿宋_GB2312" w:cs="仿宋"/>
          <w:bCs/>
          <w:kern w:val="0"/>
          <w:sz w:val="28"/>
          <w:szCs w:val="28"/>
          <w:shd w:val="clear" w:color="auto" w:fill="FFFFFF"/>
        </w:rPr>
        <w:t>本项目设备采购、安装调试依托现有场地及校内已有网络、存储资源即可完成，无需配合其他项目实施。</w:t>
      </w:r>
    </w:p>
    <w:p w14:paraId="754F504B">
      <w:pPr>
        <w:widowControl/>
        <w:jc w:val="left"/>
        <w:rPr>
          <w:rFonts w:ascii="仿宋_GB2312" w:hAnsi="宋体" w:eastAsia="仿宋_GB2312" w:cs="仿宋"/>
          <w:bCs/>
          <w:i/>
          <w:iCs/>
          <w:kern w:val="0"/>
          <w:sz w:val="28"/>
          <w:szCs w:val="28"/>
          <w:shd w:val="clear" w:color="auto" w:fill="FFFFFF"/>
        </w:rPr>
      </w:pPr>
    </w:p>
    <w:p w14:paraId="7EC845E1">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二、主要标的</w:t>
      </w:r>
    </w:p>
    <w:p w14:paraId="642DB3A9">
      <w:pPr>
        <w:spacing w:after="156" w:after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货物：</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780"/>
        <w:gridCol w:w="949"/>
        <w:gridCol w:w="710"/>
        <w:gridCol w:w="567"/>
        <w:gridCol w:w="3118"/>
        <w:gridCol w:w="566"/>
        <w:gridCol w:w="1042"/>
      </w:tblGrid>
      <w:tr w14:paraId="626BD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pct"/>
            <w:vAlign w:val="center"/>
          </w:tcPr>
          <w:p w14:paraId="48523C07">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458" w:type="pct"/>
            <w:vAlign w:val="center"/>
          </w:tcPr>
          <w:p w14:paraId="15D5A606">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货物</w:t>
            </w:r>
          </w:p>
          <w:p w14:paraId="404EE09D">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名称</w:t>
            </w:r>
          </w:p>
        </w:tc>
        <w:tc>
          <w:tcPr>
            <w:tcW w:w="557" w:type="pct"/>
            <w:vAlign w:val="center"/>
          </w:tcPr>
          <w:p w14:paraId="2D0BB5D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是否接受进口产品</w:t>
            </w:r>
          </w:p>
        </w:tc>
        <w:tc>
          <w:tcPr>
            <w:tcW w:w="417" w:type="pct"/>
            <w:vAlign w:val="center"/>
          </w:tcPr>
          <w:p w14:paraId="354C960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单位</w:t>
            </w:r>
          </w:p>
        </w:tc>
        <w:tc>
          <w:tcPr>
            <w:tcW w:w="333" w:type="pct"/>
            <w:vAlign w:val="center"/>
          </w:tcPr>
          <w:p w14:paraId="56258ED2">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数量</w:t>
            </w:r>
          </w:p>
        </w:tc>
        <w:tc>
          <w:tcPr>
            <w:tcW w:w="1830" w:type="pct"/>
            <w:vAlign w:val="center"/>
          </w:tcPr>
          <w:p w14:paraId="79E4F22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主要规格/性能</w:t>
            </w:r>
          </w:p>
        </w:tc>
        <w:tc>
          <w:tcPr>
            <w:tcW w:w="332" w:type="pct"/>
            <w:vAlign w:val="center"/>
          </w:tcPr>
          <w:p w14:paraId="5F2B3A54">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交货期</w:t>
            </w:r>
          </w:p>
        </w:tc>
        <w:tc>
          <w:tcPr>
            <w:tcW w:w="611" w:type="pct"/>
            <w:vAlign w:val="center"/>
          </w:tcPr>
          <w:p w14:paraId="1869992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是否为</w:t>
            </w:r>
          </w:p>
          <w:p w14:paraId="2624876B">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核心产品</w:t>
            </w:r>
          </w:p>
        </w:tc>
      </w:tr>
      <w:tr w14:paraId="4C3E3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pct"/>
            <w:vAlign w:val="center"/>
          </w:tcPr>
          <w:p w14:paraId="5DB41D04">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458" w:type="pct"/>
            <w:vAlign w:val="center"/>
          </w:tcPr>
          <w:p w14:paraId="61CA182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生物荧光显微镜</w:t>
            </w:r>
          </w:p>
        </w:tc>
        <w:tc>
          <w:tcPr>
            <w:tcW w:w="557" w:type="pct"/>
            <w:vAlign w:val="center"/>
          </w:tcPr>
          <w:p w14:paraId="210DEAD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417" w:type="pct"/>
            <w:vAlign w:val="center"/>
          </w:tcPr>
          <w:p w14:paraId="2DF5E21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套</w:t>
            </w:r>
          </w:p>
        </w:tc>
        <w:tc>
          <w:tcPr>
            <w:tcW w:w="333" w:type="pct"/>
            <w:vAlign w:val="center"/>
          </w:tcPr>
          <w:p w14:paraId="4CEF4C7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33</w:t>
            </w:r>
          </w:p>
        </w:tc>
        <w:tc>
          <w:tcPr>
            <w:tcW w:w="1830" w:type="pct"/>
          </w:tcPr>
          <w:p w14:paraId="13566A33">
            <w:pPr>
              <w:adjustRightInd w:val="0"/>
              <w:snapToGrid w:val="0"/>
              <w:spacing w:line="360" w:lineRule="exact"/>
              <w:jc w:val="left"/>
              <w:rPr>
                <w:rFonts w:hint="eastAsia" w:ascii="仿宋_GB2312" w:hAnsi="宋体" w:eastAsia="仿宋_GB2312"/>
                <w:sz w:val="24"/>
                <w:szCs w:val="24"/>
              </w:rPr>
            </w:pPr>
            <w:r>
              <w:rPr>
                <w:rFonts w:hint="eastAsia" w:ascii="仿宋_GB2312" w:hAnsi="宋体" w:eastAsia="仿宋_GB2312"/>
                <w:sz w:val="24"/>
                <w:szCs w:val="24"/>
              </w:rPr>
              <w:t>1、物镜：</w:t>
            </w:r>
          </w:p>
          <w:p w14:paraId="7534D3A2">
            <w:pPr>
              <w:adjustRightInd w:val="0"/>
              <w:snapToGrid w:val="0"/>
              <w:spacing w:line="360" w:lineRule="exact"/>
              <w:jc w:val="left"/>
              <w:rPr>
                <w:rFonts w:hint="eastAsia" w:ascii="仿宋_GB2312" w:hAnsi="宋体" w:eastAsia="仿宋_GB2312"/>
                <w:sz w:val="24"/>
                <w:szCs w:val="24"/>
              </w:rPr>
            </w:pPr>
            <w:r>
              <w:rPr>
                <w:rFonts w:hint="eastAsia" w:ascii="仿宋_GB2312" w:hAnsi="宋体" w:eastAsia="仿宋_GB2312"/>
                <w:sz w:val="24"/>
                <w:szCs w:val="24"/>
              </w:rPr>
              <w:t>荧光物镜：4X NA.0.13\10X NA.0.30\20X NA.0.50\40X NA.0.75\100X NA.1.30</w:t>
            </w:r>
          </w:p>
          <w:p w14:paraId="06A7D508">
            <w:pPr>
              <w:adjustRightInd w:val="0"/>
              <w:snapToGrid w:val="0"/>
              <w:spacing w:line="360" w:lineRule="exact"/>
              <w:jc w:val="left"/>
              <w:rPr>
                <w:rFonts w:hint="eastAsia" w:ascii="仿宋_GB2312" w:hAnsi="宋体" w:eastAsia="仿宋_GB2312"/>
                <w:sz w:val="24"/>
                <w:szCs w:val="24"/>
              </w:rPr>
            </w:pPr>
            <w:r>
              <w:rPr>
                <w:rFonts w:hint="eastAsia" w:ascii="仿宋_GB2312" w:hAnsi="宋体" w:eastAsia="仿宋_GB2312"/>
                <w:sz w:val="24"/>
                <w:szCs w:val="24"/>
              </w:rPr>
              <w:t>2、激发块：DAPI\FITC\TRITC激发块</w:t>
            </w:r>
          </w:p>
          <w:p w14:paraId="6FA44C06">
            <w:pPr>
              <w:adjustRightInd w:val="0"/>
              <w:snapToGrid w:val="0"/>
              <w:spacing w:line="360" w:lineRule="exact"/>
              <w:jc w:val="left"/>
              <w:rPr>
                <w:rFonts w:hint="eastAsia" w:ascii="仿宋_GB2312" w:hAnsi="宋体" w:eastAsia="仿宋_GB2312"/>
                <w:sz w:val="24"/>
                <w:szCs w:val="24"/>
              </w:rPr>
            </w:pPr>
            <w:r>
              <w:rPr>
                <w:rFonts w:hint="eastAsia" w:ascii="仿宋_GB2312" w:hAnsi="宋体" w:eastAsia="仿宋_GB2312"/>
                <w:sz w:val="24"/>
                <w:szCs w:val="24"/>
              </w:rPr>
              <w:t>3、光源：100W明场光源和3万小时以上寿命LED荧光光源，即开即关，明场与荧光一键切换。</w:t>
            </w:r>
          </w:p>
          <w:p w14:paraId="0D058442">
            <w:pPr>
              <w:widowControl/>
              <w:adjustRightInd w:val="0"/>
              <w:snapToGrid w:val="0"/>
              <w:spacing w:line="360" w:lineRule="exact"/>
              <w:jc w:val="left"/>
              <w:rPr>
                <w:rFonts w:hint="eastAsia" w:ascii="仿宋_GB2312" w:hAnsi="宋体" w:eastAsia="仿宋_GB2312"/>
                <w:sz w:val="24"/>
                <w:szCs w:val="24"/>
              </w:rPr>
            </w:pPr>
            <w:r>
              <w:rPr>
                <w:rFonts w:hint="eastAsia" w:ascii="仿宋_GB2312" w:hAnsi="宋体" w:eastAsia="仿宋_GB2312"/>
                <w:sz w:val="24"/>
                <w:szCs w:val="24"/>
              </w:rPr>
              <w:t>4、摄像系统：全局快门、1.1英寸、灵敏度：2058MV WITH 1/30S、制冷-42度</w:t>
            </w:r>
          </w:p>
          <w:p w14:paraId="27AF980B">
            <w:pPr>
              <w:widowControl/>
              <w:spacing w:line="360" w:lineRule="exact"/>
              <w:jc w:val="left"/>
              <w:rPr>
                <w:rFonts w:ascii="仿宋_GB2312" w:hAnsi="宋体" w:eastAsia="仿宋_GB2312"/>
                <w:sz w:val="24"/>
                <w:szCs w:val="24"/>
              </w:rPr>
            </w:pPr>
            <w:r>
              <w:rPr>
                <w:rFonts w:hint="eastAsia" w:ascii="仿宋_GB2312" w:hAnsi="宋体" w:eastAsia="仿宋_GB2312"/>
                <w:sz w:val="24"/>
                <w:szCs w:val="24"/>
              </w:rPr>
              <w:t>5、支持无线数码显微互动教学系统。</w:t>
            </w:r>
          </w:p>
        </w:tc>
        <w:tc>
          <w:tcPr>
            <w:tcW w:w="332" w:type="pct"/>
            <w:vAlign w:val="center"/>
          </w:tcPr>
          <w:p w14:paraId="16689D17">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90天</w:t>
            </w:r>
          </w:p>
        </w:tc>
        <w:tc>
          <w:tcPr>
            <w:tcW w:w="611" w:type="pct"/>
            <w:vAlign w:val="center"/>
          </w:tcPr>
          <w:p w14:paraId="465F2C9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是</w:t>
            </w:r>
          </w:p>
        </w:tc>
      </w:tr>
      <w:tr w14:paraId="0C95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pct"/>
            <w:vAlign w:val="center"/>
          </w:tcPr>
          <w:p w14:paraId="09CE2A65">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458" w:type="pct"/>
            <w:vAlign w:val="center"/>
          </w:tcPr>
          <w:p w14:paraId="453D27AD">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全自动薄片扫描显微镜</w:t>
            </w:r>
          </w:p>
        </w:tc>
        <w:tc>
          <w:tcPr>
            <w:tcW w:w="557" w:type="pct"/>
            <w:vAlign w:val="center"/>
          </w:tcPr>
          <w:p w14:paraId="56280085">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417" w:type="pct"/>
            <w:vAlign w:val="center"/>
          </w:tcPr>
          <w:p w14:paraId="57A8E50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套</w:t>
            </w:r>
          </w:p>
        </w:tc>
        <w:tc>
          <w:tcPr>
            <w:tcW w:w="333" w:type="pct"/>
            <w:vAlign w:val="center"/>
          </w:tcPr>
          <w:p w14:paraId="0566266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830" w:type="pct"/>
          </w:tcPr>
          <w:p w14:paraId="3ADC7C30">
            <w:pPr>
              <w:widowControl/>
              <w:spacing w:line="360" w:lineRule="exact"/>
              <w:jc w:val="left"/>
              <w:rPr>
                <w:rFonts w:ascii="仿宋_GB2312" w:hAnsi="宋体" w:eastAsia="仿宋_GB2312"/>
                <w:sz w:val="24"/>
                <w:szCs w:val="24"/>
              </w:rPr>
            </w:pPr>
            <w:r>
              <w:rPr>
                <w:rFonts w:hint="eastAsia" w:ascii="仿宋_GB2312" w:hAnsi="宋体" w:eastAsia="仿宋_GB2312"/>
                <w:sz w:val="24"/>
                <w:szCs w:val="24"/>
              </w:rPr>
              <w:t>科研级全自动偏光显微镜，放大倍率范围不低于25x-1000x，配置75x50mm全自动扫描载物台、薄片扫描专用相机及自动拼图软件模块可实现各个倍率的大视野扫描成像。</w:t>
            </w:r>
          </w:p>
        </w:tc>
        <w:tc>
          <w:tcPr>
            <w:tcW w:w="332" w:type="pct"/>
            <w:vAlign w:val="center"/>
          </w:tcPr>
          <w:p w14:paraId="37950273">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90天</w:t>
            </w:r>
          </w:p>
        </w:tc>
        <w:tc>
          <w:tcPr>
            <w:tcW w:w="611" w:type="pct"/>
            <w:vAlign w:val="center"/>
          </w:tcPr>
          <w:p w14:paraId="6A8BB46A">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r w14:paraId="5655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61" w:type="pct"/>
            <w:vAlign w:val="center"/>
          </w:tcPr>
          <w:p w14:paraId="54EC0F9E">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458" w:type="pct"/>
            <w:vAlign w:val="center"/>
          </w:tcPr>
          <w:p w14:paraId="7F200014">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热台偏光显微镜</w:t>
            </w:r>
          </w:p>
        </w:tc>
        <w:tc>
          <w:tcPr>
            <w:tcW w:w="557" w:type="pct"/>
            <w:vAlign w:val="center"/>
          </w:tcPr>
          <w:p w14:paraId="09AFFDC0">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c>
          <w:tcPr>
            <w:tcW w:w="417" w:type="pct"/>
            <w:vAlign w:val="center"/>
          </w:tcPr>
          <w:p w14:paraId="3FA6533E">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套</w:t>
            </w:r>
          </w:p>
        </w:tc>
        <w:tc>
          <w:tcPr>
            <w:tcW w:w="333" w:type="pct"/>
            <w:vAlign w:val="center"/>
          </w:tcPr>
          <w:p w14:paraId="6AD4369B">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830" w:type="pct"/>
          </w:tcPr>
          <w:p w14:paraId="6A3FC447">
            <w:pPr>
              <w:widowControl/>
              <w:spacing w:line="360" w:lineRule="exact"/>
              <w:jc w:val="left"/>
              <w:rPr>
                <w:rFonts w:ascii="仿宋_GB2312" w:hAnsi="宋体" w:eastAsia="仿宋_GB2312"/>
                <w:sz w:val="24"/>
                <w:szCs w:val="24"/>
              </w:rPr>
            </w:pPr>
            <w:r>
              <w:rPr>
                <w:rFonts w:hint="eastAsia" w:ascii="仿宋_GB2312" w:hAnsi="宋体" w:eastAsia="仿宋_GB2312"/>
                <w:sz w:val="24"/>
                <w:szCs w:val="24"/>
              </w:rPr>
              <w:t>科研级偏光显微镜，放大倍率范围不低于50x-500x，其中20x及50x要求配置热台专用长焦物镜，采用不小于6孔均可对中调节物镜转换器，包裹体专用冷热台，温度范围不低于</w:t>
            </w:r>
            <w:r>
              <w:rPr>
                <w:rFonts w:ascii="宋体" w:eastAsia="宋体" w:cs="宋体"/>
                <w:spacing w:val="-3"/>
              </w:rPr>
              <w:t>-195</w:t>
            </w:r>
            <w:r>
              <w:rPr>
                <w:rFonts w:hint="eastAsia" w:ascii="宋体" w:eastAsia="宋体" w:cs="宋体"/>
                <w:spacing w:val="-3"/>
              </w:rPr>
              <w:t>到</w:t>
            </w:r>
            <w:r>
              <w:rPr>
                <w:rFonts w:ascii="宋体" w:eastAsia="宋体" w:cs="宋体"/>
                <w:spacing w:val="-3"/>
              </w:rPr>
              <w:t>600</w:t>
            </w:r>
            <w:r>
              <w:rPr>
                <w:rFonts w:hint="eastAsia" w:ascii="宋体" w:eastAsia="宋体" w:cs="宋体"/>
                <w:spacing w:val="-3"/>
              </w:rPr>
              <w:t>℃。</w:t>
            </w:r>
          </w:p>
        </w:tc>
        <w:tc>
          <w:tcPr>
            <w:tcW w:w="332" w:type="pct"/>
            <w:vAlign w:val="center"/>
          </w:tcPr>
          <w:p w14:paraId="2B59CE42">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90天</w:t>
            </w:r>
          </w:p>
        </w:tc>
        <w:tc>
          <w:tcPr>
            <w:tcW w:w="611" w:type="pct"/>
            <w:vAlign w:val="center"/>
          </w:tcPr>
          <w:p w14:paraId="2F4A741F">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rPr>
              <w:t>否</w:t>
            </w:r>
          </w:p>
        </w:tc>
      </w:tr>
    </w:tbl>
    <w:p w14:paraId="3447E0EA">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三、技术要求</w:t>
      </w:r>
    </w:p>
    <w:p w14:paraId="5209BC11">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（一）（生物荧光显微镜）（33套）</w:t>
      </w:r>
    </w:p>
    <w:p w14:paraId="4622FF6C">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1.功能要求：用于开展</w:t>
      </w:r>
      <w:r>
        <w:rPr>
          <w:rFonts w:hint="eastAsia" w:ascii="仿宋_GB2312" w:hAnsi="宋体" w:eastAsia="仿宋_GB2312"/>
          <w:sz w:val="24"/>
          <w:szCs w:val="24"/>
          <w:lang w:val="en"/>
        </w:rPr>
        <w:t>地质学、岩石矿物、古生物学、微生物学、材料科学</w:t>
      </w:r>
      <w:r>
        <w:rPr>
          <w:rFonts w:hint="eastAsia" w:ascii="仿宋_GB2312" w:hAnsi="宋体" w:eastAsia="仿宋_GB2312"/>
          <w:sz w:val="24"/>
          <w:szCs w:val="24"/>
        </w:rPr>
        <w:t>等实验教学课程；实现透反两用的明场、荧光的显微观察功能及数码互动教学功能；能在显微镜和摄像头下清晰的观察到样本的形貌，满足以上课程的教学需求。</w:t>
      </w:r>
    </w:p>
    <w:p w14:paraId="47ADBE48">
      <w:pPr>
        <w:pStyle w:val="4"/>
        <w:wordWrap w:val="0"/>
        <w:ind w:firstLine="480" w:firstLineChars="200"/>
        <w:rPr>
          <w:rFonts w:ascii="仿宋_GB2312" w:hAnsi="宋体" w:eastAsia="仿宋_GB2312"/>
          <w:sz w:val="24"/>
        </w:rPr>
      </w:pPr>
      <w:r>
        <w:rPr>
          <w:rFonts w:hint="eastAsia" w:ascii="仿宋_GB2312" w:hAnsi="宋体" w:eastAsia="仿宋_GB2312"/>
          <w:sz w:val="24"/>
        </w:rPr>
        <w:t>2.应遵循的相关国家标准、行业标准、地方标准等标准、规范：</w:t>
      </w:r>
      <w:r>
        <w:rPr>
          <w:rFonts w:hint="eastAsia" w:ascii="仿宋_GB2312" w:hAnsi="宋体" w:eastAsia="仿宋_GB2312" w:cstheme="minorBidi"/>
          <w:sz w:val="24"/>
        </w:rPr>
        <w:t xml:space="preserve"> GB/T 2985-2008《生物显微镜》、JB/T 5479-1999《荧光生物显微镜》等。</w:t>
      </w:r>
    </w:p>
    <w:p w14:paraId="4DE23EAD">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4A5EF06B">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安装调试：中标人负责设备到货后的现场安装、调试及验收测试，验收标准依据投标技术参数及国家相关标准执行；安装调试完成后，需出具设备性能验收报告，经采购人确认签字后方视为验收合格。</w:t>
      </w:r>
    </w:p>
    <w:p w14:paraId="373A1209">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运维服务：投标人需提供</w:t>
      </w:r>
      <w:r>
        <w:rPr>
          <w:rFonts w:hint="eastAsia" w:ascii="仿宋_GB2312" w:hAnsi="宋体" w:eastAsia="仿宋_GB2312"/>
          <w:sz w:val="24"/>
          <w:szCs w:val="24"/>
        </w:rPr>
        <w:t>3</w:t>
      </w:r>
      <w:r>
        <w:rPr>
          <w:rFonts w:ascii="仿宋_GB2312" w:hAnsi="宋体" w:eastAsia="仿宋_GB2312"/>
          <w:sz w:val="24"/>
          <w:szCs w:val="24"/>
        </w:rPr>
        <w:t>年整机质保，质保期内每半年开展1次现场巡检；提供原厂操作培训</w:t>
      </w:r>
      <w:r>
        <w:rPr>
          <w:rFonts w:hint="eastAsia" w:ascii="仿宋_GB2312" w:hAnsi="宋体" w:eastAsia="仿宋_GB2312"/>
          <w:sz w:val="24"/>
          <w:szCs w:val="24"/>
        </w:rPr>
        <w:t>，不限人次，根据客户需要延长培训时间，</w:t>
      </w:r>
      <w:r>
        <w:rPr>
          <w:rFonts w:ascii="仿宋_GB2312" w:hAnsi="宋体" w:eastAsia="仿宋_GB2312"/>
          <w:sz w:val="24"/>
          <w:szCs w:val="24"/>
        </w:rPr>
        <w:t>确保操作人员独立掌握设备使用及基础维护技能</w:t>
      </w:r>
      <w:r>
        <w:rPr>
          <w:rFonts w:hint="eastAsia" w:ascii="仿宋_GB2312" w:hAnsi="宋体" w:eastAsia="仿宋_GB2312"/>
          <w:sz w:val="24"/>
          <w:szCs w:val="24"/>
        </w:rPr>
        <w:t>，针对疑难问题，邀请资深应用专家提供解决方案。</w:t>
      </w:r>
    </w:p>
    <w:p w14:paraId="49D2C2F4">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升级更新：设备软件终身升级，硬件支持后续功能扩展，投标人需在新技术推出后30日内告知用户升级方案</w:t>
      </w:r>
      <w:r>
        <w:rPr>
          <w:rFonts w:hint="eastAsia" w:ascii="仿宋_GB2312" w:hAnsi="宋体" w:eastAsia="仿宋_GB2312"/>
          <w:sz w:val="24"/>
          <w:szCs w:val="24"/>
        </w:rPr>
        <w:t>，并完成后续实施。</w:t>
      </w:r>
    </w:p>
    <w:p w14:paraId="358DE2C2">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备品备件：质保期外提供全生命周期备件供应保障（承诺供应周期≥</w:t>
      </w:r>
      <w:r>
        <w:rPr>
          <w:rFonts w:hint="eastAsia" w:ascii="仿宋_GB2312" w:hAnsi="宋体" w:eastAsia="仿宋_GB2312"/>
          <w:sz w:val="24"/>
          <w:szCs w:val="24"/>
        </w:rPr>
        <w:t>5</w:t>
      </w:r>
      <w:r>
        <w:rPr>
          <w:rFonts w:ascii="仿宋_GB2312" w:hAnsi="宋体" w:eastAsia="仿宋_GB2312"/>
          <w:sz w:val="24"/>
          <w:szCs w:val="24"/>
        </w:rPr>
        <w:t>年），常用备件需在用户提出需求后</w:t>
      </w:r>
      <w:r>
        <w:rPr>
          <w:rFonts w:hint="eastAsia" w:ascii="仿宋_GB2312" w:hAnsi="宋体" w:eastAsia="仿宋_GB2312"/>
          <w:sz w:val="24"/>
          <w:szCs w:val="24"/>
        </w:rPr>
        <w:t>15</w:t>
      </w:r>
      <w:r>
        <w:rPr>
          <w:rFonts w:ascii="仿宋_GB2312" w:hAnsi="宋体" w:eastAsia="仿宋_GB2312"/>
          <w:sz w:val="24"/>
          <w:szCs w:val="24"/>
        </w:rPr>
        <w:t>个工作日内到货；提供备件价格清单，确保价格不高于市场同期水平。</w:t>
      </w:r>
    </w:p>
    <w:p w14:paraId="433E3239">
      <w:pPr>
        <w:widowControl/>
        <w:shd w:val="clear" w:color="auto" w:fill="FFFFFF"/>
        <w:spacing w:line="360" w:lineRule="auto"/>
        <w:ind w:left="525" w:leftChars="250"/>
        <w:jc w:val="left"/>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281"/>
        <w:gridCol w:w="457"/>
        <w:gridCol w:w="5647"/>
        <w:gridCol w:w="872"/>
      </w:tblGrid>
      <w:tr w14:paraId="4B3D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419913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287" w:type="dxa"/>
            <w:vAlign w:val="center"/>
          </w:tcPr>
          <w:p w14:paraId="23E5DDE1">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425" w:type="dxa"/>
            <w:vAlign w:val="center"/>
          </w:tcPr>
          <w:p w14:paraId="447DB8DC">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5670" w:type="dxa"/>
            <w:vAlign w:val="center"/>
          </w:tcPr>
          <w:p w14:paraId="2629ABA3">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875" w:type="dxa"/>
            <w:vAlign w:val="center"/>
          </w:tcPr>
          <w:p w14:paraId="27AA4C4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18588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03CAB97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w:t>
            </w:r>
          </w:p>
        </w:tc>
        <w:tc>
          <w:tcPr>
            <w:tcW w:w="1287" w:type="dxa"/>
            <w:vAlign w:val="center"/>
          </w:tcPr>
          <w:p w14:paraId="133A642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观察筒</w:t>
            </w:r>
          </w:p>
        </w:tc>
        <w:tc>
          <w:tcPr>
            <w:tcW w:w="425" w:type="dxa"/>
            <w:vAlign w:val="center"/>
          </w:tcPr>
          <w:p w14:paraId="421FDB3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5B28D026">
            <w:pPr>
              <w:pStyle w:val="4"/>
              <w:spacing w:line="360" w:lineRule="auto"/>
              <w:rPr>
                <w:rFonts w:ascii="仿宋" w:hAnsi="仿宋" w:eastAsia="仿宋" w:cs="宋体"/>
                <w:spacing w:val="-3"/>
                <w:sz w:val="24"/>
              </w:rPr>
            </w:pPr>
            <w:r>
              <w:rPr>
                <w:rFonts w:hint="eastAsia" w:ascii="仿宋" w:hAnsi="仿宋" w:eastAsia="仿宋" w:cs="宋体"/>
                <w:spacing w:val="-3"/>
                <w:sz w:val="24"/>
              </w:rPr>
              <w:t>需配备符合</w:t>
            </w:r>
            <w:r>
              <w:rPr>
                <w:rFonts w:ascii="Courier New" w:hAnsi="Courier New" w:eastAsia="仿宋" w:cs="Courier New"/>
                <w:spacing w:val="-3"/>
                <w:sz w:val="24"/>
              </w:rPr>
              <w:t>‌</w:t>
            </w:r>
            <w:r>
              <w:rPr>
                <w:rFonts w:hint="eastAsia" w:ascii="仿宋" w:hAnsi="仿宋" w:eastAsia="仿宋" w:cs="宋体"/>
                <w:spacing w:val="-3"/>
                <w:sz w:val="24"/>
              </w:rPr>
              <w:t>人机工程学设计</w:t>
            </w:r>
            <w:r>
              <w:rPr>
                <w:rFonts w:ascii="Courier New" w:hAnsi="Courier New" w:eastAsia="仿宋" w:cs="Courier New"/>
                <w:spacing w:val="-3"/>
                <w:sz w:val="24"/>
              </w:rPr>
              <w:t>‌</w:t>
            </w:r>
            <w:r>
              <w:rPr>
                <w:rFonts w:hint="eastAsia" w:ascii="仿宋" w:hAnsi="仿宋" w:eastAsia="仿宋" w:cs="宋体"/>
                <w:spacing w:val="-3"/>
                <w:sz w:val="24"/>
              </w:rPr>
              <w:t>且</w:t>
            </w:r>
            <w:r>
              <w:rPr>
                <w:rFonts w:ascii="Courier New" w:hAnsi="Courier New" w:eastAsia="仿宋" w:cs="Courier New"/>
                <w:spacing w:val="-3"/>
                <w:sz w:val="24"/>
              </w:rPr>
              <w:t>‌</w:t>
            </w:r>
            <w:r>
              <w:rPr>
                <w:rFonts w:hint="eastAsia" w:ascii="仿宋" w:hAnsi="仿宋" w:eastAsia="仿宋" w:cs="宋体"/>
                <w:spacing w:val="-3"/>
                <w:sz w:val="24"/>
              </w:rPr>
              <w:t>视野数（Field Number, FN）≥23mm</w:t>
            </w:r>
            <w:r>
              <w:rPr>
                <w:rFonts w:ascii="Courier New" w:hAnsi="Courier New" w:eastAsia="仿宋" w:cs="Courier New"/>
                <w:spacing w:val="-3"/>
                <w:sz w:val="24"/>
              </w:rPr>
              <w:t>‌</w:t>
            </w:r>
            <w:r>
              <w:rPr>
                <w:rFonts w:hint="eastAsia" w:ascii="仿宋" w:hAnsi="仿宋" w:eastAsia="仿宋" w:cs="宋体"/>
                <w:spacing w:val="-3"/>
                <w:sz w:val="24"/>
              </w:rPr>
              <w:t>的显微镜三目镜筒，倾斜角30°，瞳距调节范围≥55-75mm，双目屈光度可调，光路分光模式至少支持三档切换(100:0,20:80,0:100)。</w:t>
            </w:r>
          </w:p>
        </w:tc>
        <w:tc>
          <w:tcPr>
            <w:tcW w:w="875" w:type="dxa"/>
            <w:vAlign w:val="center"/>
          </w:tcPr>
          <w:p w14:paraId="47C62A7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2D58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1659F8C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w:t>
            </w:r>
          </w:p>
        </w:tc>
        <w:tc>
          <w:tcPr>
            <w:tcW w:w="1287" w:type="dxa"/>
            <w:vAlign w:val="center"/>
          </w:tcPr>
          <w:p w14:paraId="14A9B5F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物镜转换器</w:t>
            </w:r>
          </w:p>
        </w:tc>
        <w:tc>
          <w:tcPr>
            <w:tcW w:w="425" w:type="dxa"/>
            <w:vAlign w:val="center"/>
          </w:tcPr>
          <w:p w14:paraId="4DB6D67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7A4E783B">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内嵌编码物镜转换器，物镜安装孔位≥6孔，具备物镜倍率自动识别功能，联动摄像系统比例尺适配切换，可将当前使用物镜信息传输至软件端显示。</w:t>
            </w:r>
          </w:p>
        </w:tc>
        <w:tc>
          <w:tcPr>
            <w:tcW w:w="875" w:type="dxa"/>
            <w:vAlign w:val="center"/>
          </w:tcPr>
          <w:p w14:paraId="2F6769F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F523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282EFB0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w:t>
            </w:r>
          </w:p>
        </w:tc>
        <w:tc>
          <w:tcPr>
            <w:tcW w:w="1287" w:type="dxa"/>
            <w:vAlign w:val="center"/>
          </w:tcPr>
          <w:p w14:paraId="2D615C4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物镜</w:t>
            </w:r>
          </w:p>
        </w:tc>
        <w:tc>
          <w:tcPr>
            <w:tcW w:w="425" w:type="dxa"/>
            <w:vAlign w:val="center"/>
          </w:tcPr>
          <w:p w14:paraId="0B1D67E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0228FD64">
            <w:pPr>
              <w:pStyle w:val="4"/>
              <w:spacing w:line="360" w:lineRule="auto"/>
              <w:rPr>
                <w:rFonts w:ascii="仿宋" w:hAnsi="仿宋" w:eastAsia="仿宋" w:cs="宋体"/>
                <w:spacing w:val="-3"/>
                <w:sz w:val="24"/>
              </w:rPr>
            </w:pPr>
            <w:r>
              <w:rPr>
                <w:rFonts w:hint="eastAsia" w:ascii="仿宋" w:hAnsi="仿宋" w:eastAsia="仿宋" w:cs="宋体"/>
                <w:spacing w:val="-3"/>
                <w:sz w:val="24"/>
              </w:rPr>
              <w:t>半复消色差平场荧光物镜（Plan Fluor），数值必须满足以下要求：</w:t>
            </w:r>
          </w:p>
          <w:p w14:paraId="798D9654">
            <w:pPr>
              <w:pStyle w:val="4"/>
              <w:spacing w:line="360" w:lineRule="auto"/>
              <w:rPr>
                <w:rFonts w:ascii="仿宋" w:hAnsi="仿宋" w:eastAsia="仿宋" w:cs="宋体"/>
                <w:spacing w:val="-3"/>
                <w:sz w:val="24"/>
              </w:rPr>
            </w:pPr>
            <w:r>
              <w:rPr>
                <w:rFonts w:hint="eastAsia" w:ascii="仿宋" w:hAnsi="仿宋" w:eastAsia="仿宋" w:cs="宋体"/>
                <w:spacing w:val="-3"/>
                <w:sz w:val="24"/>
              </w:rPr>
              <w:t>2X：NA≥0.05，工作距离≥7.2mm；</w:t>
            </w:r>
          </w:p>
          <w:p w14:paraId="47CD0CC7">
            <w:pPr>
              <w:pStyle w:val="4"/>
              <w:spacing w:line="360" w:lineRule="auto"/>
              <w:rPr>
                <w:rFonts w:ascii="仿宋" w:hAnsi="仿宋" w:eastAsia="仿宋" w:cs="宋体"/>
                <w:spacing w:val="-3"/>
                <w:sz w:val="24"/>
              </w:rPr>
            </w:pPr>
            <w:r>
              <w:rPr>
                <w:rFonts w:hint="eastAsia" w:ascii="仿宋" w:hAnsi="仿宋" w:eastAsia="仿宋" w:cs="宋体"/>
                <w:spacing w:val="-3"/>
                <w:sz w:val="24"/>
              </w:rPr>
              <w:t>4X：NA≥0.13，工作距离≥17.3mm；</w:t>
            </w:r>
          </w:p>
          <w:p w14:paraId="20700D3B">
            <w:pPr>
              <w:pStyle w:val="4"/>
              <w:spacing w:line="360" w:lineRule="auto"/>
              <w:rPr>
                <w:rFonts w:ascii="仿宋" w:hAnsi="仿宋" w:eastAsia="仿宋" w:cs="宋体"/>
                <w:spacing w:val="-3"/>
                <w:sz w:val="24"/>
              </w:rPr>
            </w:pPr>
            <w:r>
              <w:rPr>
                <w:rFonts w:hint="eastAsia" w:ascii="仿宋" w:hAnsi="仿宋" w:eastAsia="仿宋" w:cs="宋体"/>
                <w:spacing w:val="-3"/>
                <w:sz w:val="24"/>
              </w:rPr>
              <w:t>10X：NA≥0.30，工作距离≥11.7mm；</w:t>
            </w:r>
          </w:p>
          <w:p w14:paraId="05B8493C">
            <w:pPr>
              <w:pStyle w:val="4"/>
              <w:spacing w:line="360" w:lineRule="auto"/>
              <w:rPr>
                <w:rFonts w:ascii="仿宋" w:hAnsi="仿宋" w:eastAsia="仿宋" w:cs="宋体"/>
                <w:spacing w:val="-3"/>
                <w:sz w:val="24"/>
              </w:rPr>
            </w:pPr>
            <w:r>
              <w:rPr>
                <w:rFonts w:hint="eastAsia" w:ascii="仿宋" w:hAnsi="仿宋" w:eastAsia="仿宋" w:cs="宋体"/>
                <w:spacing w:val="-3"/>
                <w:sz w:val="24"/>
              </w:rPr>
              <w:t>20X：NA≥0.50，工作距离≥2.2mm；</w:t>
            </w:r>
          </w:p>
          <w:p w14:paraId="09DE2A23">
            <w:pPr>
              <w:pStyle w:val="4"/>
              <w:spacing w:line="360" w:lineRule="auto"/>
              <w:rPr>
                <w:rFonts w:ascii="仿宋" w:hAnsi="仿宋" w:eastAsia="仿宋" w:cs="宋体"/>
                <w:spacing w:val="-3"/>
                <w:sz w:val="24"/>
              </w:rPr>
            </w:pPr>
            <w:r>
              <w:rPr>
                <w:rFonts w:hint="eastAsia" w:ascii="仿宋" w:hAnsi="仿宋" w:eastAsia="仿宋" w:cs="宋体"/>
                <w:spacing w:val="-3"/>
                <w:sz w:val="24"/>
              </w:rPr>
              <w:t>40X：NA≥0.75，工作距离≥0.7mm；</w:t>
            </w:r>
          </w:p>
          <w:p w14:paraId="2B03420E">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100X 油浸物镜：NA≥1.30，工作距离≥0.13mm</w:t>
            </w:r>
          </w:p>
        </w:tc>
        <w:tc>
          <w:tcPr>
            <w:tcW w:w="875" w:type="dxa"/>
            <w:vAlign w:val="center"/>
          </w:tcPr>
          <w:p w14:paraId="3709D58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5E42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08C7E1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4</w:t>
            </w:r>
          </w:p>
        </w:tc>
        <w:tc>
          <w:tcPr>
            <w:tcW w:w="1287" w:type="dxa"/>
            <w:vAlign w:val="center"/>
          </w:tcPr>
          <w:p w14:paraId="08CD44F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载物台</w:t>
            </w:r>
          </w:p>
        </w:tc>
        <w:tc>
          <w:tcPr>
            <w:tcW w:w="425" w:type="dxa"/>
            <w:vAlign w:val="center"/>
          </w:tcPr>
          <w:p w14:paraId="45DB9C0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14FECD9C">
            <w:pPr>
              <w:pStyle w:val="4"/>
              <w:spacing w:line="360" w:lineRule="auto"/>
              <w:rPr>
                <w:rFonts w:ascii="仿宋" w:hAnsi="仿宋" w:eastAsia="仿宋" w:cs="宋体"/>
                <w:spacing w:val="-3"/>
                <w:sz w:val="24"/>
              </w:rPr>
            </w:pPr>
            <w:r>
              <w:rPr>
                <w:rFonts w:hint="eastAsia" w:ascii="仿宋" w:hAnsi="仿宋" w:eastAsia="仿宋" w:cs="宋体"/>
                <w:spacing w:val="-3"/>
                <w:sz w:val="24"/>
              </w:rPr>
              <w:t>双片夹钢丝载物台工作区域有硬质阳极氧化表面处理，抗刮及耐化学腐蚀，尺寸≥220(W)×170(D)mm，X轴行程≥80mm，Y轴行程≥55mm。载物台需自带荧光遮光挡板，降低杂散光反射干扰。需提供载物台自带荧光挡板实物图片和现场演示证明。</w:t>
            </w:r>
          </w:p>
        </w:tc>
        <w:tc>
          <w:tcPr>
            <w:tcW w:w="875" w:type="dxa"/>
            <w:vAlign w:val="center"/>
          </w:tcPr>
          <w:p w14:paraId="0E228B3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5BCE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B5DAC8D">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5</w:t>
            </w:r>
          </w:p>
        </w:tc>
        <w:tc>
          <w:tcPr>
            <w:tcW w:w="1287" w:type="dxa"/>
            <w:vAlign w:val="center"/>
          </w:tcPr>
          <w:p w14:paraId="63B1881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主动光强管理系统</w:t>
            </w:r>
          </w:p>
        </w:tc>
        <w:tc>
          <w:tcPr>
            <w:tcW w:w="425" w:type="dxa"/>
            <w:vAlign w:val="center"/>
          </w:tcPr>
          <w:p w14:paraId="2CBDF52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0E71BD9F">
            <w:pPr>
              <w:widowControl/>
              <w:spacing w:line="360" w:lineRule="auto"/>
              <w:jc w:val="left"/>
              <w:rPr>
                <w:rFonts w:ascii="仿宋" w:hAnsi="仿宋" w:eastAsia="仿宋" w:cs="宋体"/>
                <w:spacing w:val="-3"/>
                <w:sz w:val="24"/>
                <w:szCs w:val="24"/>
              </w:rPr>
            </w:pPr>
            <w:r>
              <w:rPr>
                <w:rFonts w:ascii="仿宋" w:hAnsi="仿宋" w:eastAsia="仿宋" w:cs="宋体"/>
                <w:spacing w:val="-3"/>
                <w:sz w:val="24"/>
                <w:szCs w:val="24"/>
              </w:rPr>
              <w:t>具备光源亮度</w:t>
            </w:r>
            <w:r>
              <w:rPr>
                <w:rFonts w:hint="eastAsia" w:ascii="仿宋" w:hAnsi="仿宋" w:eastAsia="仿宋" w:cs="宋体"/>
                <w:spacing w:val="-3"/>
                <w:sz w:val="24"/>
                <w:szCs w:val="24"/>
              </w:rPr>
              <w:t>指示器</w:t>
            </w:r>
            <w:r>
              <w:rPr>
                <w:rFonts w:ascii="仿宋" w:hAnsi="仿宋" w:eastAsia="仿宋" w:cs="宋体"/>
                <w:spacing w:val="-3"/>
                <w:sz w:val="24"/>
                <w:szCs w:val="24"/>
              </w:rPr>
              <w:t>，可存储≥10 组不同亮度预设方案，适配全部物镜档位调用</w:t>
            </w:r>
            <w:r>
              <w:rPr>
                <w:rFonts w:hint="eastAsia" w:ascii="仿宋" w:hAnsi="仿宋" w:eastAsia="仿宋" w:cs="宋体"/>
                <w:spacing w:val="-3"/>
                <w:sz w:val="24"/>
                <w:szCs w:val="24"/>
              </w:rPr>
              <w:t>。需提供实物图片和现场演示证明。</w:t>
            </w:r>
          </w:p>
        </w:tc>
        <w:tc>
          <w:tcPr>
            <w:tcW w:w="875" w:type="dxa"/>
            <w:vAlign w:val="center"/>
          </w:tcPr>
          <w:p w14:paraId="3C842CF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187E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2BA4429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6</w:t>
            </w:r>
          </w:p>
        </w:tc>
        <w:tc>
          <w:tcPr>
            <w:tcW w:w="1287" w:type="dxa"/>
            <w:vAlign w:val="center"/>
          </w:tcPr>
          <w:p w14:paraId="579B0BD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ECO节能照明系统</w:t>
            </w:r>
          </w:p>
        </w:tc>
        <w:tc>
          <w:tcPr>
            <w:tcW w:w="425" w:type="dxa"/>
            <w:vAlign w:val="center"/>
          </w:tcPr>
          <w:p w14:paraId="72233743">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C0BE998">
            <w:pPr>
              <w:autoSpaceDE w:val="0"/>
              <w:autoSpaceDN w:val="0"/>
              <w:adjustRightInd w:val="0"/>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系统具备节能休眠功能开关：可通过机身前端的传感器检测显微镜使用状态实现光源休眠；当机身前端的传感器检测到显微镜前有人员使用设备时，自动唤醒并恢复预设光源参数；支持手动开启/关闭节能模式。需提供实物图片和现场演示证明。</w:t>
            </w:r>
          </w:p>
        </w:tc>
        <w:tc>
          <w:tcPr>
            <w:tcW w:w="875" w:type="dxa"/>
            <w:vAlign w:val="center"/>
          </w:tcPr>
          <w:p w14:paraId="000D479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168D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5AAAE77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7</w:t>
            </w:r>
          </w:p>
        </w:tc>
        <w:tc>
          <w:tcPr>
            <w:tcW w:w="1287" w:type="dxa"/>
            <w:vAlign w:val="center"/>
          </w:tcPr>
          <w:p w14:paraId="697EA39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亮度记忆功能</w:t>
            </w:r>
          </w:p>
        </w:tc>
        <w:tc>
          <w:tcPr>
            <w:tcW w:w="425" w:type="dxa"/>
            <w:vAlign w:val="center"/>
          </w:tcPr>
          <w:p w14:paraId="3A573DB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3FE839A0">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具备物镜联动亮度记忆功能开关：可对不同物镜分别保存光源亮度；切换物镜时自动调取对应预设亮度；支持开启/关闭该联动功能，需提供实物图片和现场演示证明。</w:t>
            </w:r>
          </w:p>
        </w:tc>
        <w:tc>
          <w:tcPr>
            <w:tcW w:w="875" w:type="dxa"/>
            <w:vAlign w:val="center"/>
          </w:tcPr>
          <w:p w14:paraId="4AF7914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9CE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61E5BA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8</w:t>
            </w:r>
          </w:p>
        </w:tc>
        <w:tc>
          <w:tcPr>
            <w:tcW w:w="1287" w:type="dxa"/>
            <w:vAlign w:val="center"/>
          </w:tcPr>
          <w:p w14:paraId="15AFA6E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柯拉/</w:t>
            </w:r>
            <w:r>
              <w:rPr>
                <w:rFonts w:ascii="仿宋" w:hAnsi="仿宋" w:eastAsia="仿宋" w:cs="宋体"/>
                <w:spacing w:val="-3"/>
                <w:sz w:val="24"/>
                <w:szCs w:val="24"/>
              </w:rPr>
              <w:t>柯勒</w:t>
            </w:r>
            <w:r>
              <w:rPr>
                <w:rFonts w:hint="eastAsia" w:ascii="仿宋" w:hAnsi="仿宋" w:eastAsia="仿宋" w:cs="宋体"/>
                <w:spacing w:val="-3"/>
                <w:sz w:val="24"/>
                <w:szCs w:val="24"/>
              </w:rPr>
              <w:t>/科勒</w:t>
            </w:r>
            <w:r>
              <w:rPr>
                <w:rFonts w:ascii="仿宋" w:hAnsi="仿宋" w:eastAsia="仿宋" w:cs="宋体"/>
                <w:spacing w:val="-3"/>
                <w:sz w:val="24"/>
                <w:szCs w:val="24"/>
              </w:rPr>
              <w:t>照明系统</w:t>
            </w:r>
          </w:p>
        </w:tc>
        <w:tc>
          <w:tcPr>
            <w:tcW w:w="425" w:type="dxa"/>
            <w:vAlign w:val="center"/>
          </w:tcPr>
          <w:p w14:paraId="0EA3E35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054284A">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 xml:space="preserve">内置LBD滤色片，ND25检光片及ND6检光片、12V100W卤素灯，卤素灯及10WLED灯用户可以直接进行照明切换，提供LED灯可直接在卤素灯底座上进行切换的国家权威机构出具的证书证明。 </w:t>
            </w:r>
          </w:p>
        </w:tc>
        <w:tc>
          <w:tcPr>
            <w:tcW w:w="875" w:type="dxa"/>
            <w:vAlign w:val="center"/>
          </w:tcPr>
          <w:p w14:paraId="779A698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D2E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066EF36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9</w:t>
            </w:r>
          </w:p>
        </w:tc>
        <w:tc>
          <w:tcPr>
            <w:tcW w:w="1287" w:type="dxa"/>
            <w:vAlign w:val="center"/>
          </w:tcPr>
          <w:p w14:paraId="697C65F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荧光照明系统和荧光装置</w:t>
            </w:r>
          </w:p>
        </w:tc>
        <w:tc>
          <w:tcPr>
            <w:tcW w:w="425" w:type="dxa"/>
            <w:vAlign w:val="center"/>
          </w:tcPr>
          <w:p w14:paraId="6461CE9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173F405D">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①需配备同显微镜品牌超高亮度</w:t>
            </w:r>
            <w:r>
              <w:rPr>
                <w:rFonts w:ascii="仿宋" w:hAnsi="仿宋" w:eastAsia="仿宋" w:cs="宋体"/>
                <w:spacing w:val="-3"/>
                <w:sz w:val="24"/>
                <w:szCs w:val="24"/>
              </w:rPr>
              <w:t>LED荧光光源，支持瞬时启动无需预热；光源使用寿命≥20000小时；具备光源亮度分级控制管理功能</w:t>
            </w:r>
            <w:r>
              <w:rPr>
                <w:rFonts w:hint="eastAsia" w:ascii="仿宋" w:hAnsi="仿宋" w:eastAsia="仿宋" w:cs="宋体"/>
                <w:spacing w:val="-3"/>
                <w:sz w:val="24"/>
                <w:szCs w:val="24"/>
              </w:rPr>
              <w:t>。</w:t>
            </w:r>
          </w:p>
          <w:p w14:paraId="7094EA87">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②需配备同显微镜品牌≥6位荧光滤色块转塔（荧光转盘、滤色块转盘或其他不同名称但同等功能装置）（至少5个荧光通道位置+1个明场位置）；配置至少三套滤色组件，分别适配DAPI/Hoechst、FITC/EGFP、TRITC/Cy3通道观测。</w:t>
            </w:r>
          </w:p>
        </w:tc>
        <w:tc>
          <w:tcPr>
            <w:tcW w:w="875" w:type="dxa"/>
            <w:vAlign w:val="center"/>
          </w:tcPr>
          <w:p w14:paraId="1BF6267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101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0EC84773">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10</w:t>
            </w:r>
          </w:p>
        </w:tc>
        <w:tc>
          <w:tcPr>
            <w:tcW w:w="1287" w:type="dxa"/>
            <w:vAlign w:val="center"/>
          </w:tcPr>
          <w:p w14:paraId="3469D21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智能调光旋钮</w:t>
            </w:r>
          </w:p>
        </w:tc>
        <w:tc>
          <w:tcPr>
            <w:tcW w:w="425" w:type="dxa"/>
            <w:vAlign w:val="center"/>
          </w:tcPr>
          <w:p w14:paraId="5AAD382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2505024">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需</w:t>
            </w:r>
            <w:r>
              <w:rPr>
                <w:rFonts w:ascii="仿宋" w:hAnsi="仿宋" w:eastAsia="仿宋" w:cs="宋体"/>
                <w:spacing w:val="-3"/>
                <w:sz w:val="24"/>
                <w:szCs w:val="24"/>
              </w:rPr>
              <w:t>具备一体化光源控制旋钮，支持连续调节光源亮度；支持</w:t>
            </w:r>
            <w:r>
              <w:rPr>
                <w:rFonts w:hint="eastAsia" w:ascii="仿宋" w:hAnsi="仿宋" w:eastAsia="仿宋" w:cs="宋体"/>
                <w:spacing w:val="-3"/>
                <w:sz w:val="24"/>
                <w:szCs w:val="24"/>
              </w:rPr>
              <w:t>点击调光旋钮</w:t>
            </w:r>
            <w:r>
              <w:rPr>
                <w:rFonts w:ascii="仿宋" w:hAnsi="仿宋" w:eastAsia="仿宋" w:cs="宋体"/>
                <w:spacing w:val="-3"/>
                <w:sz w:val="24"/>
                <w:szCs w:val="24"/>
              </w:rPr>
              <w:t>切换明场光路与荧光光路。(</w:t>
            </w:r>
            <w:r>
              <w:rPr>
                <w:rFonts w:hint="eastAsia" w:ascii="仿宋" w:hAnsi="仿宋" w:eastAsia="仿宋" w:cs="宋体"/>
                <w:spacing w:val="-3"/>
                <w:sz w:val="24"/>
                <w:szCs w:val="24"/>
              </w:rPr>
              <w:t>提供原厂彩页及现场演示证明</w:t>
            </w:r>
            <w:r>
              <w:rPr>
                <w:rFonts w:ascii="仿宋" w:hAnsi="仿宋" w:eastAsia="仿宋" w:cs="宋体"/>
                <w:spacing w:val="-3"/>
                <w:sz w:val="24"/>
                <w:szCs w:val="24"/>
              </w:rPr>
              <w:t>)</w:t>
            </w:r>
          </w:p>
        </w:tc>
        <w:tc>
          <w:tcPr>
            <w:tcW w:w="875" w:type="dxa"/>
            <w:vAlign w:val="center"/>
          </w:tcPr>
          <w:p w14:paraId="1E1F475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72CF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103A3B6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11</w:t>
            </w:r>
          </w:p>
        </w:tc>
        <w:tc>
          <w:tcPr>
            <w:tcW w:w="1287" w:type="dxa"/>
            <w:vAlign w:val="center"/>
          </w:tcPr>
          <w:p w14:paraId="2506B9B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微分干涉装置</w:t>
            </w:r>
          </w:p>
        </w:tc>
        <w:tc>
          <w:tcPr>
            <w:tcW w:w="425" w:type="dxa"/>
            <w:vAlign w:val="center"/>
          </w:tcPr>
          <w:p w14:paraId="0E0F514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7CAE3302">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配备DIC插片以及起偏器、检偏器，物镜及光学系统支持微分干涉观察。提供实物图片证明。</w:t>
            </w:r>
          </w:p>
        </w:tc>
        <w:tc>
          <w:tcPr>
            <w:tcW w:w="875" w:type="dxa"/>
            <w:vAlign w:val="center"/>
          </w:tcPr>
          <w:p w14:paraId="41E7DD9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182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125E04A4">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12</w:t>
            </w:r>
          </w:p>
        </w:tc>
        <w:tc>
          <w:tcPr>
            <w:tcW w:w="1287" w:type="dxa"/>
            <w:vAlign w:val="center"/>
          </w:tcPr>
          <w:p w14:paraId="3BE4B98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电动调焦机构</w:t>
            </w:r>
          </w:p>
        </w:tc>
        <w:tc>
          <w:tcPr>
            <w:tcW w:w="425" w:type="dxa"/>
            <w:vAlign w:val="center"/>
          </w:tcPr>
          <w:p w14:paraId="50AF5C5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72767B0D">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显微镜机身调焦机构行程范围≥29mm，实时电动/手动调焦，粗调和微调手轮粗调≥17mm/转，微调≤0.1mm/转，上限位，松紧调节环。5相步进电机，长交叉滚轮系统，精度≤0.01mm，重复精度≤0.5mm,最大速度≥1.4mm/sec. 支持自动景深叠加。</w:t>
            </w:r>
            <w:r>
              <w:rPr>
                <w:rFonts w:ascii="仿宋" w:hAnsi="仿宋" w:eastAsia="仿宋" w:cs="宋体"/>
                <w:spacing w:val="-3"/>
                <w:sz w:val="24"/>
                <w:szCs w:val="24"/>
              </w:rPr>
              <w:t>(</w:t>
            </w:r>
            <w:r>
              <w:rPr>
                <w:rFonts w:hint="eastAsia" w:ascii="仿宋" w:hAnsi="仿宋" w:eastAsia="仿宋" w:cs="宋体"/>
                <w:spacing w:val="-3"/>
                <w:sz w:val="24"/>
                <w:szCs w:val="24"/>
              </w:rPr>
              <w:t>提供原厂彩页证明</w:t>
            </w:r>
            <w:r>
              <w:rPr>
                <w:rFonts w:ascii="仿宋" w:hAnsi="仿宋" w:eastAsia="仿宋" w:cs="宋体"/>
                <w:spacing w:val="-3"/>
                <w:sz w:val="24"/>
                <w:szCs w:val="24"/>
              </w:rPr>
              <w:t>)</w:t>
            </w:r>
            <w:r>
              <w:rPr>
                <w:rFonts w:hint="eastAsia" w:ascii="仿宋" w:hAnsi="仿宋" w:eastAsia="仿宋" w:cs="宋体"/>
                <w:spacing w:val="-3"/>
                <w:sz w:val="24"/>
                <w:szCs w:val="24"/>
              </w:rPr>
              <w:t>。</w:t>
            </w:r>
          </w:p>
        </w:tc>
        <w:tc>
          <w:tcPr>
            <w:tcW w:w="875" w:type="dxa"/>
            <w:vAlign w:val="center"/>
          </w:tcPr>
          <w:p w14:paraId="465B8ED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D4F5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53022ED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13</w:t>
            </w:r>
          </w:p>
        </w:tc>
        <w:tc>
          <w:tcPr>
            <w:tcW w:w="1287" w:type="dxa"/>
            <w:vAlign w:val="center"/>
          </w:tcPr>
          <w:p w14:paraId="15CBA98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显微成像系统硬件</w:t>
            </w:r>
          </w:p>
        </w:tc>
        <w:tc>
          <w:tcPr>
            <w:tcW w:w="425" w:type="dxa"/>
            <w:vAlign w:val="center"/>
          </w:tcPr>
          <w:p w14:paraId="4133551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69544445">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全局快门；芯片尺寸≥1.1英寸；像素点尺寸≥4.5</w:t>
            </w:r>
            <w:r>
              <w:rPr>
                <w:rFonts w:ascii="Calibri" w:hAnsi="Calibri" w:eastAsia="仿宋" w:cs="Calibri"/>
                <w:spacing w:val="-3"/>
                <w:sz w:val="24"/>
                <w:szCs w:val="24"/>
              </w:rPr>
              <w:t>µ</w:t>
            </w:r>
            <w:r>
              <w:rPr>
                <w:rFonts w:hint="eastAsia" w:ascii="仿宋" w:hAnsi="仿宋" w:eastAsia="仿宋" w:cs="宋体"/>
                <w:spacing w:val="-3"/>
                <w:sz w:val="24"/>
                <w:szCs w:val="24"/>
              </w:rPr>
              <w:t>mx4.5</w:t>
            </w:r>
            <w:r>
              <w:rPr>
                <w:rFonts w:ascii="Calibri" w:hAnsi="Calibri" w:eastAsia="仿宋" w:cs="Calibri"/>
                <w:spacing w:val="-3"/>
                <w:sz w:val="24"/>
                <w:szCs w:val="24"/>
              </w:rPr>
              <w:t>µ</w:t>
            </w:r>
            <w:r>
              <w:rPr>
                <w:rFonts w:hint="eastAsia" w:ascii="仿宋" w:hAnsi="仿宋" w:eastAsia="仿宋" w:cs="宋体"/>
                <w:spacing w:val="-3"/>
                <w:sz w:val="24"/>
                <w:szCs w:val="24"/>
              </w:rPr>
              <w:t>m；1/30s工况下灵敏度≥2000mV；芯片制冷温度≤-40℃；分辨率≥3200×2200 时帧率≥33fps；开放所有操作系统的SDK，并配套显微镜同品牌分析软件。（提供原厂彩页证明）。</w:t>
            </w:r>
          </w:p>
        </w:tc>
        <w:tc>
          <w:tcPr>
            <w:tcW w:w="875" w:type="dxa"/>
            <w:vAlign w:val="center"/>
          </w:tcPr>
          <w:p w14:paraId="60CC010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643D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827AC08">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14</w:t>
            </w:r>
          </w:p>
        </w:tc>
        <w:tc>
          <w:tcPr>
            <w:tcW w:w="1287" w:type="dxa"/>
            <w:vAlign w:val="center"/>
          </w:tcPr>
          <w:p w14:paraId="64FF702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兼容性要求</w:t>
            </w:r>
          </w:p>
        </w:tc>
        <w:tc>
          <w:tcPr>
            <w:tcW w:w="425" w:type="dxa"/>
            <w:vAlign w:val="center"/>
          </w:tcPr>
          <w:p w14:paraId="367F037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1B541B4">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显微镜、摄像系统、图像处理软件、无线互动控制软件必须为同一品牌。需提供厂家盖章承诺和图像处理软件、无线互动控制软件的计算机软件著作权登记证书复印件。</w:t>
            </w:r>
          </w:p>
        </w:tc>
        <w:tc>
          <w:tcPr>
            <w:tcW w:w="875" w:type="dxa"/>
            <w:vAlign w:val="center"/>
          </w:tcPr>
          <w:p w14:paraId="61A65CD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CE1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4261884">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15</w:t>
            </w:r>
          </w:p>
        </w:tc>
        <w:tc>
          <w:tcPr>
            <w:tcW w:w="1287" w:type="dxa"/>
            <w:vAlign w:val="center"/>
          </w:tcPr>
          <w:p w14:paraId="3487603D">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图像处理功能</w:t>
            </w:r>
          </w:p>
        </w:tc>
        <w:tc>
          <w:tcPr>
            <w:tcW w:w="425" w:type="dxa"/>
            <w:vAlign w:val="center"/>
          </w:tcPr>
          <w:p w14:paraId="4883C74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02817EDD">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① 提供双图比较功能，含固定照片和动态照片；提供马赛克、石版画等后期处理功能；可实现图像合并及3D化显示。</w:t>
            </w:r>
          </w:p>
          <w:p w14:paraId="3CEC8601">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② 配套去模糊多层聚焦模块：去模糊多焦面合成：将不同焦面的图像合成得到清晰完整的整幅图像,支持多种图像输入格式多层聚焦功能。</w:t>
            </w:r>
          </w:p>
          <w:p w14:paraId="58DDA42A">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③ 全景拍照模式：可以移动载物台X、Y轴将切片进行移动（可左右、上下进行），图像移动扫描进行识别组合，拍摄下全景的大图片。</w:t>
            </w:r>
          </w:p>
        </w:tc>
        <w:tc>
          <w:tcPr>
            <w:tcW w:w="875" w:type="dxa"/>
            <w:vAlign w:val="center"/>
          </w:tcPr>
          <w:p w14:paraId="49EFBAE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BB14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BF543E1">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16</w:t>
            </w:r>
          </w:p>
        </w:tc>
        <w:tc>
          <w:tcPr>
            <w:tcW w:w="1287" w:type="dxa"/>
            <w:vAlign w:val="center"/>
          </w:tcPr>
          <w:p w14:paraId="1B39E5F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比例尺功能</w:t>
            </w:r>
          </w:p>
        </w:tc>
        <w:tc>
          <w:tcPr>
            <w:tcW w:w="425" w:type="dxa"/>
            <w:vAlign w:val="center"/>
          </w:tcPr>
          <w:p w14:paraId="1737ABF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DCCF2E7">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必须实时添加动态比例尺并能保存含有比例尺的图像，同时需提供显微玻片定位器：方格总数：1100格；线宽：20um；单个方格面积：1mm*1mm。需提供玻片定位器实物照片证明。</w:t>
            </w:r>
          </w:p>
        </w:tc>
        <w:tc>
          <w:tcPr>
            <w:tcW w:w="875" w:type="dxa"/>
            <w:vAlign w:val="center"/>
          </w:tcPr>
          <w:p w14:paraId="4A8F6F6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DA3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5B61D04B">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17</w:t>
            </w:r>
          </w:p>
        </w:tc>
        <w:tc>
          <w:tcPr>
            <w:tcW w:w="1287" w:type="dxa"/>
            <w:vAlign w:val="center"/>
          </w:tcPr>
          <w:p w14:paraId="5280B95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视频捕捉功能</w:t>
            </w:r>
          </w:p>
        </w:tc>
        <w:tc>
          <w:tcPr>
            <w:tcW w:w="425" w:type="dxa"/>
            <w:vAlign w:val="center"/>
          </w:tcPr>
          <w:p w14:paraId="2F54291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AB9E878">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可以进行拍照、自动拍照、触发拍照、录像。以上所拍照片、所录视频均可带有时间戳（需提供软件截图和现场演示证明）。</w:t>
            </w:r>
          </w:p>
        </w:tc>
        <w:tc>
          <w:tcPr>
            <w:tcW w:w="875" w:type="dxa"/>
            <w:vAlign w:val="center"/>
          </w:tcPr>
          <w:p w14:paraId="5918208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FE96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98" w:type="dxa"/>
            <w:vAlign w:val="center"/>
          </w:tcPr>
          <w:p w14:paraId="6196918B">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18</w:t>
            </w:r>
          </w:p>
        </w:tc>
        <w:tc>
          <w:tcPr>
            <w:tcW w:w="1287" w:type="dxa"/>
            <w:vAlign w:val="center"/>
          </w:tcPr>
          <w:p w14:paraId="685A5F1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软件控制显微镜功能</w:t>
            </w:r>
          </w:p>
        </w:tc>
        <w:tc>
          <w:tcPr>
            <w:tcW w:w="425" w:type="dxa"/>
            <w:vAlign w:val="center"/>
          </w:tcPr>
          <w:p w14:paraId="6DFE7D7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571F6FEE">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① 在软件上可显示当前使用物镜的倍率和所使用的激发块。也可以通过入软件切换所使用的透反射光源。</w:t>
            </w:r>
          </w:p>
          <w:p w14:paraId="6C15DE7E">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② 在软件上可控制亮度记忆开关和节能时间，并且在软件上能够调节光源亮度强度。</w:t>
            </w:r>
          </w:p>
          <w:p w14:paraId="1E056A3B">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需提供软件截图证明及样机演示。</w:t>
            </w:r>
          </w:p>
        </w:tc>
        <w:tc>
          <w:tcPr>
            <w:tcW w:w="875" w:type="dxa"/>
            <w:vAlign w:val="center"/>
          </w:tcPr>
          <w:p w14:paraId="50C926FC">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1A9D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8C6A6C4">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19</w:t>
            </w:r>
          </w:p>
        </w:tc>
        <w:tc>
          <w:tcPr>
            <w:tcW w:w="1287" w:type="dxa"/>
            <w:vAlign w:val="center"/>
          </w:tcPr>
          <w:p w14:paraId="07F88AB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荧光拍图模块</w:t>
            </w:r>
          </w:p>
        </w:tc>
        <w:tc>
          <w:tcPr>
            <w:tcW w:w="425" w:type="dxa"/>
            <w:vAlign w:val="center"/>
          </w:tcPr>
          <w:p w14:paraId="64EE5C5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2758F828">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①支持对实时图像进行动态范围调节。需提供软件截图和现场演示证明。</w:t>
            </w:r>
          </w:p>
          <w:p w14:paraId="1B34D0C1">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② 支持明场、各色荧光自动融合，拍照后仍然可调节图片动态范围。需提供软件截图和现场演示证明。</w:t>
            </w:r>
          </w:p>
        </w:tc>
        <w:tc>
          <w:tcPr>
            <w:tcW w:w="875" w:type="dxa"/>
            <w:vAlign w:val="center"/>
          </w:tcPr>
          <w:p w14:paraId="543934C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1E0A4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5C80EFE3">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20</w:t>
            </w:r>
          </w:p>
        </w:tc>
        <w:tc>
          <w:tcPr>
            <w:tcW w:w="1287" w:type="dxa"/>
            <w:vAlign w:val="center"/>
          </w:tcPr>
          <w:p w14:paraId="597FBF8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荧光定量功能</w:t>
            </w:r>
          </w:p>
        </w:tc>
        <w:tc>
          <w:tcPr>
            <w:tcW w:w="425" w:type="dxa"/>
            <w:vAlign w:val="center"/>
          </w:tcPr>
          <w:p w14:paraId="14E3F67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0871F059">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通过灰度值进行荧光定量。需提供软件截图证明。</w:t>
            </w:r>
          </w:p>
        </w:tc>
        <w:tc>
          <w:tcPr>
            <w:tcW w:w="875" w:type="dxa"/>
            <w:vAlign w:val="center"/>
          </w:tcPr>
          <w:p w14:paraId="161E28A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67BE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0BB20A71">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21</w:t>
            </w:r>
          </w:p>
        </w:tc>
        <w:tc>
          <w:tcPr>
            <w:tcW w:w="1287" w:type="dxa"/>
            <w:vAlign w:val="center"/>
          </w:tcPr>
          <w:p w14:paraId="4847563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跨平台解决方案</w:t>
            </w:r>
          </w:p>
        </w:tc>
        <w:tc>
          <w:tcPr>
            <w:tcW w:w="425" w:type="dxa"/>
            <w:vAlign w:val="center"/>
          </w:tcPr>
          <w:p w14:paraId="73C3223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2003A412">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客户端软件支持 Windows、Android、iOS、鸿蒙主流操作系统，各类品牌移动终端均可接入；提供软件著作权登记证书。（软著申请表中需包含支持IOS、Android、Windows、鸿蒙等操作系统）</w:t>
            </w:r>
          </w:p>
        </w:tc>
        <w:tc>
          <w:tcPr>
            <w:tcW w:w="875" w:type="dxa"/>
            <w:vAlign w:val="center"/>
          </w:tcPr>
          <w:p w14:paraId="46B9FA2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7784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24F7A1CC">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22</w:t>
            </w:r>
          </w:p>
        </w:tc>
        <w:tc>
          <w:tcPr>
            <w:tcW w:w="1287" w:type="dxa"/>
            <w:vAlign w:val="center"/>
          </w:tcPr>
          <w:p w14:paraId="4B06DE1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控制学生端功能</w:t>
            </w:r>
          </w:p>
        </w:tc>
        <w:tc>
          <w:tcPr>
            <w:tcW w:w="425" w:type="dxa"/>
            <w:vAlign w:val="center"/>
          </w:tcPr>
          <w:p w14:paraId="6182B6B3">
            <w:pPr>
              <w:widowControl/>
              <w:spacing w:line="360" w:lineRule="auto"/>
              <w:jc w:val="center"/>
              <w:rPr>
                <w:rFonts w:ascii="仿宋" w:hAnsi="仿宋" w:eastAsia="仿宋" w:cs="宋体"/>
                <w:spacing w:val="-3"/>
                <w:sz w:val="24"/>
                <w:szCs w:val="24"/>
              </w:rPr>
            </w:pPr>
          </w:p>
        </w:tc>
        <w:tc>
          <w:tcPr>
            <w:tcW w:w="5670" w:type="dxa"/>
            <w:vAlign w:val="center"/>
          </w:tcPr>
          <w:p w14:paraId="6EA7E085">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单独放大缩小任一学生图像，多屏或单屏及全部显示学生端镜下图像和屏幕图像，可一键完成，一键恢复。</w:t>
            </w:r>
          </w:p>
        </w:tc>
        <w:tc>
          <w:tcPr>
            <w:tcW w:w="875" w:type="dxa"/>
            <w:vAlign w:val="center"/>
          </w:tcPr>
          <w:p w14:paraId="395D32F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否</w:t>
            </w:r>
          </w:p>
        </w:tc>
      </w:tr>
      <w:tr w14:paraId="6F71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C150C67">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23</w:t>
            </w:r>
          </w:p>
        </w:tc>
        <w:tc>
          <w:tcPr>
            <w:tcW w:w="1287" w:type="dxa"/>
            <w:vAlign w:val="center"/>
          </w:tcPr>
          <w:p w14:paraId="7E89CB7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宏观实验记录功能</w:t>
            </w:r>
          </w:p>
        </w:tc>
        <w:tc>
          <w:tcPr>
            <w:tcW w:w="425" w:type="dxa"/>
            <w:vAlign w:val="center"/>
          </w:tcPr>
          <w:p w14:paraId="074FA4C5">
            <w:pPr>
              <w:widowControl/>
              <w:spacing w:line="360" w:lineRule="auto"/>
              <w:jc w:val="center"/>
              <w:rPr>
                <w:rFonts w:ascii="仿宋" w:hAnsi="仿宋" w:eastAsia="仿宋" w:cs="宋体"/>
                <w:spacing w:val="-3"/>
                <w:sz w:val="24"/>
                <w:szCs w:val="24"/>
              </w:rPr>
            </w:pPr>
          </w:p>
        </w:tc>
        <w:tc>
          <w:tcPr>
            <w:tcW w:w="5670" w:type="dxa"/>
            <w:vAlign w:val="center"/>
          </w:tcPr>
          <w:p w14:paraId="1570DBE2">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智能手机或 Pad 随时拍照记录实验过程。根据设定的实验步骤提交实验报告。提供软件截图证明。</w:t>
            </w:r>
          </w:p>
        </w:tc>
        <w:tc>
          <w:tcPr>
            <w:tcW w:w="875" w:type="dxa"/>
            <w:vAlign w:val="center"/>
          </w:tcPr>
          <w:p w14:paraId="25B0171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1D37B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72A8DCF6">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24</w:t>
            </w:r>
          </w:p>
        </w:tc>
        <w:tc>
          <w:tcPr>
            <w:tcW w:w="1287" w:type="dxa"/>
            <w:vAlign w:val="center"/>
          </w:tcPr>
          <w:p w14:paraId="5331B4E3">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微观宏观双通道功能</w:t>
            </w:r>
          </w:p>
        </w:tc>
        <w:tc>
          <w:tcPr>
            <w:tcW w:w="425" w:type="dxa"/>
            <w:vAlign w:val="center"/>
          </w:tcPr>
          <w:p w14:paraId="34F55B7B">
            <w:pPr>
              <w:widowControl/>
              <w:spacing w:line="360" w:lineRule="auto"/>
              <w:jc w:val="center"/>
              <w:rPr>
                <w:rFonts w:ascii="仿宋" w:hAnsi="仿宋" w:eastAsia="仿宋" w:cs="宋体"/>
                <w:spacing w:val="-3"/>
                <w:sz w:val="24"/>
                <w:szCs w:val="24"/>
              </w:rPr>
            </w:pPr>
          </w:p>
        </w:tc>
        <w:tc>
          <w:tcPr>
            <w:tcW w:w="5670" w:type="dxa"/>
            <w:vAlign w:val="center"/>
          </w:tcPr>
          <w:p w14:paraId="43C3508E">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教师端可实时观察到所有终端显微镜下（微观）和手机或平板摄像头下（宏观）的实时动态图像。（需提供软件截图和现场演示证明）。</w:t>
            </w:r>
          </w:p>
        </w:tc>
        <w:tc>
          <w:tcPr>
            <w:tcW w:w="875" w:type="dxa"/>
            <w:vAlign w:val="center"/>
          </w:tcPr>
          <w:p w14:paraId="36F62D6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22D0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7E177E5B">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25</w:t>
            </w:r>
          </w:p>
        </w:tc>
        <w:tc>
          <w:tcPr>
            <w:tcW w:w="1287" w:type="dxa"/>
            <w:vAlign w:val="center"/>
          </w:tcPr>
          <w:p w14:paraId="66576FC7">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彩信功能</w:t>
            </w:r>
          </w:p>
        </w:tc>
        <w:tc>
          <w:tcPr>
            <w:tcW w:w="425" w:type="dxa"/>
            <w:vAlign w:val="center"/>
          </w:tcPr>
          <w:p w14:paraId="436815E9">
            <w:pPr>
              <w:widowControl/>
              <w:spacing w:line="360" w:lineRule="auto"/>
              <w:jc w:val="center"/>
              <w:rPr>
                <w:rFonts w:ascii="仿宋" w:hAnsi="仿宋" w:eastAsia="仿宋" w:cs="宋体"/>
                <w:spacing w:val="-3"/>
                <w:sz w:val="24"/>
                <w:szCs w:val="24"/>
              </w:rPr>
            </w:pPr>
          </w:p>
        </w:tc>
        <w:tc>
          <w:tcPr>
            <w:tcW w:w="5670" w:type="dxa"/>
            <w:vAlign w:val="center"/>
          </w:tcPr>
          <w:p w14:paraId="0B1D65B6">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学生与教师之间可以互发彩信，彩信内容可以图片，文字，标注。</w:t>
            </w:r>
          </w:p>
        </w:tc>
        <w:tc>
          <w:tcPr>
            <w:tcW w:w="875" w:type="dxa"/>
            <w:vAlign w:val="center"/>
          </w:tcPr>
          <w:p w14:paraId="01D3B75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否</w:t>
            </w:r>
          </w:p>
        </w:tc>
      </w:tr>
      <w:tr w14:paraId="413D2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042207A3">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26</w:t>
            </w:r>
          </w:p>
        </w:tc>
        <w:tc>
          <w:tcPr>
            <w:tcW w:w="1287" w:type="dxa"/>
            <w:vAlign w:val="center"/>
          </w:tcPr>
          <w:p w14:paraId="288BAA0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实验报告批改功能</w:t>
            </w:r>
          </w:p>
        </w:tc>
        <w:tc>
          <w:tcPr>
            <w:tcW w:w="425" w:type="dxa"/>
            <w:vAlign w:val="center"/>
          </w:tcPr>
          <w:p w14:paraId="110739D2">
            <w:pPr>
              <w:widowControl/>
              <w:spacing w:line="360" w:lineRule="auto"/>
              <w:jc w:val="center"/>
              <w:rPr>
                <w:rFonts w:ascii="仿宋" w:hAnsi="仿宋" w:eastAsia="仿宋" w:cs="宋体"/>
                <w:spacing w:val="-3"/>
                <w:sz w:val="24"/>
                <w:szCs w:val="24"/>
              </w:rPr>
            </w:pPr>
          </w:p>
        </w:tc>
        <w:tc>
          <w:tcPr>
            <w:tcW w:w="5670" w:type="dxa"/>
            <w:vAlign w:val="center"/>
          </w:tcPr>
          <w:p w14:paraId="5D41EE40">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对学生提交的作业和实验报告批改评分，导出excel、word等可编辑版格式的学生评测成绩。</w:t>
            </w:r>
          </w:p>
        </w:tc>
        <w:tc>
          <w:tcPr>
            <w:tcW w:w="875" w:type="dxa"/>
            <w:vAlign w:val="center"/>
          </w:tcPr>
          <w:p w14:paraId="455DF99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否</w:t>
            </w:r>
          </w:p>
        </w:tc>
      </w:tr>
      <w:tr w14:paraId="2B941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34423ED">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27</w:t>
            </w:r>
          </w:p>
        </w:tc>
        <w:tc>
          <w:tcPr>
            <w:tcW w:w="1287" w:type="dxa"/>
            <w:vAlign w:val="center"/>
          </w:tcPr>
          <w:p w14:paraId="4823192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一键截屏按钮和听课反馈功能</w:t>
            </w:r>
          </w:p>
        </w:tc>
        <w:tc>
          <w:tcPr>
            <w:tcW w:w="425" w:type="dxa"/>
            <w:vAlign w:val="center"/>
          </w:tcPr>
          <w:p w14:paraId="0588059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E4C5730">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学生可以使用一键截屏按钮在相册中保存课件知识要点。如果学生没听懂可以通过点击听课反馈按钮让老师了解学生的掌握程度。（需提供软件截图和现场演示证明）。</w:t>
            </w:r>
          </w:p>
        </w:tc>
        <w:tc>
          <w:tcPr>
            <w:tcW w:w="875" w:type="dxa"/>
            <w:vAlign w:val="center"/>
          </w:tcPr>
          <w:p w14:paraId="61B9AFA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51A5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AB539F3">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28</w:t>
            </w:r>
          </w:p>
        </w:tc>
        <w:tc>
          <w:tcPr>
            <w:tcW w:w="1287" w:type="dxa"/>
            <w:vAlign w:val="center"/>
          </w:tcPr>
          <w:p w14:paraId="457D1C5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设备故障报修功能</w:t>
            </w:r>
          </w:p>
        </w:tc>
        <w:tc>
          <w:tcPr>
            <w:tcW w:w="425" w:type="dxa"/>
            <w:vAlign w:val="center"/>
          </w:tcPr>
          <w:p w14:paraId="6BB4C8C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1187B40B">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学生端软件提供一键记录设备状态。（需提供软件截图和现场演示证明）。</w:t>
            </w:r>
          </w:p>
        </w:tc>
        <w:tc>
          <w:tcPr>
            <w:tcW w:w="875" w:type="dxa"/>
            <w:vAlign w:val="center"/>
          </w:tcPr>
          <w:p w14:paraId="1E12C89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4377D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369DDB2">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29</w:t>
            </w:r>
          </w:p>
        </w:tc>
        <w:tc>
          <w:tcPr>
            <w:tcW w:w="1287" w:type="dxa"/>
            <w:vAlign w:val="center"/>
          </w:tcPr>
          <w:p w14:paraId="4F6AD4F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教师端学生端同一个界面要求</w:t>
            </w:r>
          </w:p>
        </w:tc>
        <w:tc>
          <w:tcPr>
            <w:tcW w:w="425" w:type="dxa"/>
            <w:vAlign w:val="center"/>
          </w:tcPr>
          <w:p w14:paraId="5079301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5436E82D">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①互动软件教师端图像和学生端微观图像以及宏观图像需在同一个界面内，方便老师操作。（需提供软件截图和现场演示证明）。</w:t>
            </w:r>
          </w:p>
          <w:p w14:paraId="5975EFEC">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②在互动系统中任何一台学生机可随时切换为教师机。（需提供软件截图和现场演示证明）。</w:t>
            </w:r>
          </w:p>
        </w:tc>
        <w:tc>
          <w:tcPr>
            <w:tcW w:w="875" w:type="dxa"/>
            <w:vAlign w:val="center"/>
          </w:tcPr>
          <w:p w14:paraId="1C8207F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6339C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8C9E71E">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30</w:t>
            </w:r>
          </w:p>
        </w:tc>
        <w:tc>
          <w:tcPr>
            <w:tcW w:w="1287" w:type="dxa"/>
            <w:vAlign w:val="center"/>
          </w:tcPr>
          <w:p w14:paraId="24B4516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监控功能</w:t>
            </w:r>
          </w:p>
        </w:tc>
        <w:tc>
          <w:tcPr>
            <w:tcW w:w="425" w:type="dxa"/>
            <w:vAlign w:val="center"/>
          </w:tcPr>
          <w:p w14:paraId="34A2A3CC">
            <w:pPr>
              <w:widowControl/>
              <w:spacing w:line="360" w:lineRule="auto"/>
              <w:jc w:val="center"/>
              <w:rPr>
                <w:rFonts w:ascii="仿宋" w:hAnsi="仿宋" w:eastAsia="仿宋" w:cs="宋体"/>
                <w:spacing w:val="-3"/>
                <w:sz w:val="24"/>
                <w:szCs w:val="24"/>
              </w:rPr>
            </w:pPr>
          </w:p>
        </w:tc>
        <w:tc>
          <w:tcPr>
            <w:tcW w:w="5670" w:type="dxa"/>
            <w:vAlign w:val="center"/>
          </w:tcPr>
          <w:p w14:paraId="5E728D5E">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互动软件教师端可以实施监控学生手机、平板、电脑等终端的实时界面。</w:t>
            </w:r>
          </w:p>
        </w:tc>
        <w:tc>
          <w:tcPr>
            <w:tcW w:w="875" w:type="dxa"/>
            <w:vAlign w:val="center"/>
          </w:tcPr>
          <w:p w14:paraId="6BA63B3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否</w:t>
            </w:r>
          </w:p>
        </w:tc>
      </w:tr>
      <w:tr w14:paraId="0104C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A270806">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31</w:t>
            </w:r>
          </w:p>
        </w:tc>
        <w:tc>
          <w:tcPr>
            <w:tcW w:w="1287" w:type="dxa"/>
            <w:vAlign w:val="center"/>
          </w:tcPr>
          <w:p w14:paraId="066BB1B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分组讨论功能</w:t>
            </w:r>
          </w:p>
        </w:tc>
        <w:tc>
          <w:tcPr>
            <w:tcW w:w="425" w:type="dxa"/>
            <w:vAlign w:val="center"/>
          </w:tcPr>
          <w:p w14:paraId="6C8C68C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619D85B2">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具备小组划分功能，各小组通过语音、图片独自讨论交流，互不干扰。（需提供软件截图和现场演示证明）。</w:t>
            </w:r>
          </w:p>
        </w:tc>
        <w:tc>
          <w:tcPr>
            <w:tcW w:w="875" w:type="dxa"/>
            <w:vAlign w:val="center"/>
          </w:tcPr>
          <w:p w14:paraId="731ED60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274D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2EE4B87F">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32</w:t>
            </w:r>
          </w:p>
        </w:tc>
        <w:tc>
          <w:tcPr>
            <w:tcW w:w="1287" w:type="dxa"/>
            <w:vAlign w:val="center"/>
          </w:tcPr>
          <w:p w14:paraId="1786B4C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多模块功能</w:t>
            </w:r>
          </w:p>
        </w:tc>
        <w:tc>
          <w:tcPr>
            <w:tcW w:w="425" w:type="dxa"/>
            <w:vAlign w:val="center"/>
          </w:tcPr>
          <w:p w14:paraId="25D331E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322ED5DB">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可灵活组合各种模块，适应不同的教学环境（手机版、大屏版、网络版、IP摄像头版、演示版、分光计版）。（需提供软件截图和现场演示证明）。</w:t>
            </w:r>
          </w:p>
        </w:tc>
        <w:tc>
          <w:tcPr>
            <w:tcW w:w="875" w:type="dxa"/>
            <w:vAlign w:val="center"/>
          </w:tcPr>
          <w:p w14:paraId="49CF0DB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19DD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D76D402">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33</w:t>
            </w:r>
          </w:p>
        </w:tc>
        <w:tc>
          <w:tcPr>
            <w:tcW w:w="1287" w:type="dxa"/>
            <w:vAlign w:val="center"/>
          </w:tcPr>
          <w:p w14:paraId="02B0353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教师端学生视窗功能</w:t>
            </w:r>
          </w:p>
        </w:tc>
        <w:tc>
          <w:tcPr>
            <w:tcW w:w="425" w:type="dxa"/>
            <w:vAlign w:val="center"/>
          </w:tcPr>
          <w:p w14:paraId="3CF5FC0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3D3A212">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双击互动软件学生窗口即可充满屏幕或者缩小，点击学生窗口录像按钮即可实时录像。（需提供软件截图和现场演示证明）。</w:t>
            </w:r>
          </w:p>
        </w:tc>
        <w:tc>
          <w:tcPr>
            <w:tcW w:w="875" w:type="dxa"/>
            <w:vAlign w:val="center"/>
          </w:tcPr>
          <w:p w14:paraId="28FD561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288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70EC9C2">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34</w:t>
            </w:r>
          </w:p>
        </w:tc>
        <w:tc>
          <w:tcPr>
            <w:tcW w:w="1287" w:type="dxa"/>
            <w:vAlign w:val="center"/>
          </w:tcPr>
          <w:p w14:paraId="3D5F077F">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云互动功能</w:t>
            </w:r>
          </w:p>
        </w:tc>
        <w:tc>
          <w:tcPr>
            <w:tcW w:w="425" w:type="dxa"/>
            <w:vAlign w:val="center"/>
          </w:tcPr>
          <w:p w14:paraId="01AF5BD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3F62421C">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支持云互动，所有上课照片和视频可同步上传云端，确保教学过程不中断、不丢失（需提供云互动软件截图证明）</w:t>
            </w:r>
          </w:p>
        </w:tc>
        <w:tc>
          <w:tcPr>
            <w:tcW w:w="875" w:type="dxa"/>
            <w:vAlign w:val="center"/>
          </w:tcPr>
          <w:p w14:paraId="378EF63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881A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736AD99">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35</w:t>
            </w:r>
          </w:p>
        </w:tc>
        <w:tc>
          <w:tcPr>
            <w:tcW w:w="1287" w:type="dxa"/>
            <w:vAlign w:val="center"/>
          </w:tcPr>
          <w:p w14:paraId="47AE935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远程控制教师端软件功能</w:t>
            </w:r>
          </w:p>
        </w:tc>
        <w:tc>
          <w:tcPr>
            <w:tcW w:w="425" w:type="dxa"/>
            <w:vAlign w:val="center"/>
          </w:tcPr>
          <w:p w14:paraId="0F562E8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78445319">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用户可在移动终端（如支持</w:t>
            </w:r>
            <w:r>
              <w:rPr>
                <w:rFonts w:ascii="仿宋" w:hAnsi="仿宋" w:eastAsia="仿宋" w:cs="宋体"/>
                <w:spacing w:val="-3"/>
                <w:sz w:val="24"/>
                <w:szCs w:val="24"/>
              </w:rPr>
              <w:t xml:space="preserve">ios </w:t>
            </w:r>
            <w:r>
              <w:rPr>
                <w:rFonts w:hint="eastAsia" w:ascii="仿宋" w:hAnsi="仿宋" w:eastAsia="仿宋" w:cs="宋体"/>
                <w:spacing w:val="-3"/>
                <w:sz w:val="24"/>
                <w:szCs w:val="24"/>
              </w:rPr>
              <w:t>或安卓等系统的平板或手机）上远程操作教师端互动软件（需提供软件截图和现场演示证明）。</w:t>
            </w:r>
          </w:p>
        </w:tc>
        <w:tc>
          <w:tcPr>
            <w:tcW w:w="875" w:type="dxa"/>
            <w:vAlign w:val="center"/>
          </w:tcPr>
          <w:p w14:paraId="7034E6A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68C3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623852B7">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36</w:t>
            </w:r>
          </w:p>
        </w:tc>
        <w:tc>
          <w:tcPr>
            <w:tcW w:w="1287" w:type="dxa"/>
            <w:vAlign w:val="center"/>
          </w:tcPr>
          <w:p w14:paraId="25CA33E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无线</w:t>
            </w:r>
            <w:r>
              <w:rPr>
                <w:rFonts w:ascii="仿宋" w:hAnsi="仿宋" w:eastAsia="仿宋" w:cs="宋体"/>
                <w:spacing w:val="-3"/>
                <w:sz w:val="24"/>
                <w:szCs w:val="24"/>
              </w:rPr>
              <w:t>AP</w:t>
            </w:r>
            <w:r>
              <w:rPr>
                <w:rFonts w:hint="eastAsia" w:ascii="仿宋" w:hAnsi="仿宋" w:eastAsia="仿宋" w:cs="宋体"/>
                <w:spacing w:val="-3"/>
                <w:sz w:val="24"/>
                <w:szCs w:val="24"/>
              </w:rPr>
              <w:t>系统</w:t>
            </w:r>
          </w:p>
        </w:tc>
        <w:tc>
          <w:tcPr>
            <w:tcW w:w="425" w:type="dxa"/>
            <w:vAlign w:val="center"/>
          </w:tcPr>
          <w:p w14:paraId="59364E0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135C6153">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无线</w:t>
            </w:r>
            <w:r>
              <w:rPr>
                <w:rFonts w:ascii="仿宋" w:hAnsi="仿宋" w:eastAsia="仿宋" w:cs="宋体"/>
                <w:spacing w:val="-3"/>
                <w:sz w:val="24"/>
                <w:szCs w:val="24"/>
              </w:rPr>
              <w:t>AP</w:t>
            </w:r>
            <w:r>
              <w:rPr>
                <w:rFonts w:hint="eastAsia" w:ascii="仿宋" w:hAnsi="仿宋" w:eastAsia="仿宋" w:cs="宋体"/>
                <w:spacing w:val="-3"/>
                <w:sz w:val="24"/>
                <w:szCs w:val="24"/>
              </w:rPr>
              <w:t xml:space="preserve">系统需支持 </w:t>
            </w:r>
            <w:r>
              <w:rPr>
                <w:rFonts w:ascii="仿宋" w:hAnsi="仿宋" w:eastAsia="仿宋" w:cs="宋体"/>
                <w:spacing w:val="-3"/>
                <w:sz w:val="24"/>
                <w:szCs w:val="24"/>
              </w:rPr>
              <w:t>Wi-Fi 6</w:t>
            </w:r>
            <w:r>
              <w:rPr>
                <w:rFonts w:hint="eastAsia" w:ascii="仿宋" w:hAnsi="仿宋" w:eastAsia="仿宋" w:cs="宋体"/>
                <w:spacing w:val="-3"/>
                <w:sz w:val="24"/>
                <w:szCs w:val="24"/>
              </w:rPr>
              <w:t>（</w:t>
            </w:r>
            <w:r>
              <w:rPr>
                <w:rFonts w:ascii="仿宋" w:hAnsi="仿宋" w:eastAsia="仿宋" w:cs="宋体"/>
                <w:spacing w:val="-3"/>
                <w:sz w:val="24"/>
                <w:szCs w:val="24"/>
              </w:rPr>
              <w:t>802.11ax</w:t>
            </w:r>
            <w:r>
              <w:rPr>
                <w:rFonts w:hint="eastAsia" w:ascii="仿宋" w:hAnsi="仿宋" w:eastAsia="仿宋" w:cs="宋体"/>
                <w:spacing w:val="-3"/>
                <w:sz w:val="24"/>
                <w:szCs w:val="24"/>
              </w:rPr>
              <w:t>）或更高标准，满足以下性能：单</w:t>
            </w:r>
            <w:r>
              <w:rPr>
                <w:rFonts w:ascii="仿宋" w:hAnsi="仿宋" w:eastAsia="仿宋" w:cs="宋体"/>
                <w:spacing w:val="-3"/>
                <w:sz w:val="24"/>
                <w:szCs w:val="24"/>
              </w:rPr>
              <w:t>AP</w:t>
            </w:r>
            <w:r>
              <w:rPr>
                <w:rFonts w:hint="eastAsia" w:ascii="仿宋" w:hAnsi="仿宋" w:eastAsia="仿宋" w:cs="宋体"/>
                <w:spacing w:val="-3"/>
                <w:sz w:val="24"/>
                <w:szCs w:val="24"/>
              </w:rPr>
              <w:t>带机量≥3</w:t>
            </w:r>
            <w:r>
              <w:rPr>
                <w:rFonts w:ascii="仿宋" w:hAnsi="仿宋" w:eastAsia="仿宋" w:cs="宋体"/>
                <w:spacing w:val="-3"/>
                <w:sz w:val="24"/>
                <w:szCs w:val="24"/>
              </w:rPr>
              <w:t xml:space="preserve">0 </w:t>
            </w:r>
            <w:r>
              <w:rPr>
                <w:rFonts w:hint="eastAsia" w:ascii="仿宋" w:hAnsi="仿宋" w:eastAsia="仿宋" w:cs="宋体"/>
                <w:spacing w:val="-3"/>
                <w:sz w:val="24"/>
                <w:szCs w:val="24"/>
              </w:rPr>
              <w:t>台，网络延迟≤</w:t>
            </w:r>
            <w:r>
              <w:rPr>
                <w:rFonts w:ascii="仿宋" w:hAnsi="仿宋" w:eastAsia="仿宋" w:cs="宋体"/>
                <w:spacing w:val="-3"/>
                <w:sz w:val="24"/>
                <w:szCs w:val="24"/>
              </w:rPr>
              <w:t>50ms</w:t>
            </w:r>
            <w:r>
              <w:rPr>
                <w:rFonts w:hint="eastAsia" w:ascii="仿宋" w:hAnsi="仿宋" w:eastAsia="仿宋" w:cs="宋体"/>
                <w:spacing w:val="-3"/>
                <w:sz w:val="24"/>
                <w:szCs w:val="24"/>
              </w:rPr>
              <w:t>（需提供摄像头和无线AP发出的信号是Wi-Fi 6信号的实物照片证明）</w:t>
            </w:r>
          </w:p>
        </w:tc>
        <w:tc>
          <w:tcPr>
            <w:tcW w:w="875" w:type="dxa"/>
            <w:vAlign w:val="center"/>
          </w:tcPr>
          <w:p w14:paraId="5A0E6D84">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3EE5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7CE36D7A">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37</w:t>
            </w:r>
          </w:p>
        </w:tc>
        <w:tc>
          <w:tcPr>
            <w:tcW w:w="1287" w:type="dxa"/>
            <w:vAlign w:val="center"/>
          </w:tcPr>
          <w:p w14:paraId="3BEBC9B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系统稳定性证明</w:t>
            </w:r>
          </w:p>
        </w:tc>
        <w:tc>
          <w:tcPr>
            <w:tcW w:w="425" w:type="dxa"/>
            <w:vAlign w:val="center"/>
          </w:tcPr>
          <w:p w14:paraId="5FA58C8D">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6D0DE3B9">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投标人需提供视频演示1套包含60个点以上的无线智能互动系统正常运行的真实场景。</w:t>
            </w:r>
          </w:p>
        </w:tc>
        <w:tc>
          <w:tcPr>
            <w:tcW w:w="875" w:type="dxa"/>
            <w:vAlign w:val="center"/>
          </w:tcPr>
          <w:p w14:paraId="48E61CA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67BFB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770AC10C">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38</w:t>
            </w:r>
          </w:p>
        </w:tc>
        <w:tc>
          <w:tcPr>
            <w:tcW w:w="1287" w:type="dxa"/>
            <w:vAlign w:val="center"/>
          </w:tcPr>
          <w:p w14:paraId="729CEA0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学生端</w:t>
            </w:r>
            <w:r>
              <w:rPr>
                <w:rFonts w:ascii="仿宋" w:hAnsi="仿宋" w:eastAsia="仿宋" w:cs="宋体"/>
                <w:spacing w:val="-3"/>
                <w:sz w:val="24"/>
                <w:szCs w:val="24"/>
              </w:rPr>
              <w:t>APP</w:t>
            </w:r>
            <w:r>
              <w:rPr>
                <w:rFonts w:hint="eastAsia" w:ascii="仿宋" w:hAnsi="仿宋" w:eastAsia="仿宋" w:cs="宋体"/>
                <w:spacing w:val="-3"/>
                <w:sz w:val="24"/>
                <w:szCs w:val="24"/>
              </w:rPr>
              <w:t>功能</w:t>
            </w:r>
          </w:p>
        </w:tc>
        <w:tc>
          <w:tcPr>
            <w:tcW w:w="425" w:type="dxa"/>
            <w:vAlign w:val="center"/>
          </w:tcPr>
          <w:p w14:paraId="08CA4A49">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53909A3A">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微观图像、宏观图像、课堂交互、教学求助等功能；（需提供软件截图和现场演示证明）。</w:t>
            </w:r>
          </w:p>
        </w:tc>
        <w:tc>
          <w:tcPr>
            <w:tcW w:w="875" w:type="dxa"/>
            <w:vAlign w:val="center"/>
          </w:tcPr>
          <w:p w14:paraId="6D797663">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5E05D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4058A867">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39</w:t>
            </w:r>
          </w:p>
        </w:tc>
        <w:tc>
          <w:tcPr>
            <w:tcW w:w="1287" w:type="dxa"/>
            <w:vAlign w:val="center"/>
          </w:tcPr>
          <w:p w14:paraId="2441526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激光笔功能</w:t>
            </w:r>
          </w:p>
        </w:tc>
        <w:tc>
          <w:tcPr>
            <w:tcW w:w="425" w:type="dxa"/>
            <w:vAlign w:val="center"/>
          </w:tcPr>
          <w:p w14:paraId="790240B5">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6679480D">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IOS和安卓学生端均有激光笔功能，红点随着指尖移动。（需提供软件截图和现场演示证明）。</w:t>
            </w:r>
          </w:p>
        </w:tc>
        <w:tc>
          <w:tcPr>
            <w:tcW w:w="875" w:type="dxa"/>
            <w:vAlign w:val="center"/>
          </w:tcPr>
          <w:p w14:paraId="55CE14E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4C17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205A92B4">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40</w:t>
            </w:r>
          </w:p>
        </w:tc>
        <w:tc>
          <w:tcPr>
            <w:tcW w:w="1287" w:type="dxa"/>
            <w:vAlign w:val="center"/>
          </w:tcPr>
          <w:p w14:paraId="4DBADA02">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重力感应功能</w:t>
            </w:r>
          </w:p>
        </w:tc>
        <w:tc>
          <w:tcPr>
            <w:tcW w:w="425" w:type="dxa"/>
            <w:vAlign w:val="center"/>
          </w:tcPr>
          <w:p w14:paraId="144A57A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031205E7">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支持实时图像与显示双画面切换，双画面为静态图片与实时图像进行对比。（需提供软件截图和现场演示证明）。</w:t>
            </w:r>
          </w:p>
        </w:tc>
        <w:tc>
          <w:tcPr>
            <w:tcW w:w="875" w:type="dxa"/>
            <w:vAlign w:val="center"/>
          </w:tcPr>
          <w:p w14:paraId="65792D0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093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DBEF2A7">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41</w:t>
            </w:r>
          </w:p>
        </w:tc>
        <w:tc>
          <w:tcPr>
            <w:tcW w:w="1287" w:type="dxa"/>
            <w:vAlign w:val="center"/>
          </w:tcPr>
          <w:p w14:paraId="616FC4D0">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缓存清理功能</w:t>
            </w:r>
          </w:p>
        </w:tc>
        <w:tc>
          <w:tcPr>
            <w:tcW w:w="425" w:type="dxa"/>
            <w:vAlign w:val="center"/>
          </w:tcPr>
          <w:p w14:paraId="17DE38B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3331741">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 xml:space="preserve">安卓学生端自带缓存清理功能，防止 </w:t>
            </w:r>
            <w:r>
              <w:rPr>
                <w:rFonts w:ascii="仿宋" w:hAnsi="仿宋" w:eastAsia="仿宋" w:cs="宋体"/>
                <w:spacing w:val="-3"/>
                <w:sz w:val="24"/>
                <w:szCs w:val="24"/>
              </w:rPr>
              <w:t xml:space="preserve">APP </w:t>
            </w:r>
            <w:r>
              <w:rPr>
                <w:rFonts w:hint="eastAsia" w:ascii="仿宋" w:hAnsi="仿宋" w:eastAsia="仿宋" w:cs="宋体"/>
                <w:spacing w:val="-3"/>
                <w:sz w:val="24"/>
                <w:szCs w:val="24"/>
              </w:rPr>
              <w:t>缓存数据滚雪球式增加。（需提供软件截图和现场演示证明）。</w:t>
            </w:r>
          </w:p>
        </w:tc>
        <w:tc>
          <w:tcPr>
            <w:tcW w:w="875" w:type="dxa"/>
            <w:vAlign w:val="center"/>
          </w:tcPr>
          <w:p w14:paraId="1A0FF0BB">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05EA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52920A77">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42</w:t>
            </w:r>
          </w:p>
        </w:tc>
        <w:tc>
          <w:tcPr>
            <w:tcW w:w="1287" w:type="dxa"/>
            <w:vAlign w:val="center"/>
          </w:tcPr>
          <w:p w14:paraId="47A8635A">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模块选择</w:t>
            </w:r>
          </w:p>
        </w:tc>
        <w:tc>
          <w:tcPr>
            <w:tcW w:w="425" w:type="dxa"/>
            <w:vAlign w:val="center"/>
          </w:tcPr>
          <w:p w14:paraId="21F851A8">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w:t>
            </w:r>
          </w:p>
        </w:tc>
        <w:tc>
          <w:tcPr>
            <w:tcW w:w="5670" w:type="dxa"/>
            <w:vAlign w:val="center"/>
          </w:tcPr>
          <w:p w14:paraId="4E616B54">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学生端软件具备模块选择功能，可打开或关闭以下模块：投射屏幕、屏幕清晰度、截图快捷方式、推流服务、激光笔示教、物理实验教学、云互动、教学示范倒转、考试系统、WI-FI配置、大课模式、有线连接、登录模块功能。（需提供软件截图和现场演示证明）。</w:t>
            </w:r>
          </w:p>
        </w:tc>
        <w:tc>
          <w:tcPr>
            <w:tcW w:w="875" w:type="dxa"/>
            <w:vAlign w:val="center"/>
          </w:tcPr>
          <w:p w14:paraId="0A5F526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7572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7D6BFFD6">
            <w:pPr>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43</w:t>
            </w:r>
          </w:p>
        </w:tc>
        <w:tc>
          <w:tcPr>
            <w:tcW w:w="1287" w:type="dxa"/>
            <w:vAlign w:val="center"/>
          </w:tcPr>
          <w:p w14:paraId="3342B8B1">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其他软件功能</w:t>
            </w:r>
          </w:p>
        </w:tc>
        <w:tc>
          <w:tcPr>
            <w:tcW w:w="425" w:type="dxa"/>
            <w:vAlign w:val="center"/>
          </w:tcPr>
          <w:p w14:paraId="21B43332">
            <w:pPr>
              <w:widowControl/>
              <w:spacing w:line="360" w:lineRule="auto"/>
              <w:jc w:val="center"/>
              <w:rPr>
                <w:rFonts w:ascii="仿宋" w:hAnsi="仿宋" w:eastAsia="仿宋" w:cs="宋体"/>
                <w:spacing w:val="-3"/>
                <w:sz w:val="24"/>
                <w:szCs w:val="24"/>
              </w:rPr>
            </w:pPr>
          </w:p>
        </w:tc>
        <w:tc>
          <w:tcPr>
            <w:tcW w:w="5670" w:type="dxa"/>
            <w:vAlign w:val="center"/>
          </w:tcPr>
          <w:p w14:paraId="191CD74A">
            <w:pPr>
              <w:widowControl/>
              <w:numPr>
                <w:ilvl w:val="0"/>
                <w:numId w:val="1"/>
              </w:numPr>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软件分为“ 引导模式 ”和“考核模式 ”可自行选择：引导模式：以教学讲解为目的，包含有详细的知识点说明和操作提示说明，部分知识点配有原理视频解说。考核模式：以验证学习效果为目的，实验中关键知识点提示会被隐藏。退出实验时将自动统计成绩并提交至平台管理系统。</w:t>
            </w:r>
          </w:p>
          <w:p w14:paraId="027BE85C">
            <w:pPr>
              <w:widowControl/>
              <w:numPr>
                <w:ilvl w:val="0"/>
                <w:numId w:val="1"/>
              </w:numPr>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界面实时显示实验名称、实验进度、当前所在步骤。步骤管理功能：实验按照多个步骤划分，点击步骤按钮可弹出全部步骤菜单界面。步骤菜单中实时显示当前实验完成情况包括已完成、未完成、进行中。步骤菜单中有跳转功能，点击可跳转至该步骤。文字提示框：主要提示的文字包括引导操作提示、知识点讲解等。</w:t>
            </w:r>
          </w:p>
          <w:p w14:paraId="668DC6EB">
            <w:pPr>
              <w:widowControl/>
              <w:numPr>
                <w:ilvl w:val="0"/>
                <w:numId w:val="1"/>
              </w:numPr>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时间统计功能：项目操作时间统计进管理后台，老师可通过后台进行查看。选择题功能：支持加入选择题。当操作错误超过一定次数，会给出正确答案和问题解析。知识点表现形式：用文字、3D 模型、图片、选择题、视频、动画、等画面表现形式，结合鼠标点击、键盘输入等交互方式模拟整个实验流程。</w:t>
            </w:r>
          </w:p>
          <w:p w14:paraId="681519BC">
            <w:pPr>
              <w:widowControl/>
              <w:numPr>
                <w:ilvl w:val="0"/>
                <w:numId w:val="1"/>
              </w:numPr>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该实验包含：光学显微镜的结构识别、光学显微镜的使用、显微镜的结构和使用三个模块。光学显微镜的结构识别：交互模拟进行光学显微镜结构的识别和学习。光学显微镜的使用：在 3D 场景中交互进行光学显微镜使用的学习。显微镜的结构和使用：配有详细的操作视频进行显微镜的结构讲解和使用方法的学习。</w:t>
            </w:r>
          </w:p>
          <w:p w14:paraId="0C893584">
            <w:pPr>
              <w:widowControl/>
              <w:numPr>
                <w:ilvl w:val="0"/>
                <w:numId w:val="1"/>
              </w:numPr>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要求具有过程形成性评价系统，软件能记录操作者实验操作完成度、实验设置每一步对错、最终成绩等数据，该数据能被平台监控、记录、统计。</w:t>
            </w:r>
          </w:p>
        </w:tc>
        <w:tc>
          <w:tcPr>
            <w:tcW w:w="875" w:type="dxa"/>
            <w:vAlign w:val="center"/>
          </w:tcPr>
          <w:p w14:paraId="06D6B1DE">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是</w:t>
            </w:r>
          </w:p>
        </w:tc>
      </w:tr>
      <w:tr w14:paraId="2B115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98" w:type="dxa"/>
            <w:vAlign w:val="center"/>
          </w:tcPr>
          <w:p w14:paraId="3CD562A8">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44</w:t>
            </w:r>
          </w:p>
        </w:tc>
        <w:tc>
          <w:tcPr>
            <w:tcW w:w="1287" w:type="dxa"/>
            <w:vAlign w:val="center"/>
          </w:tcPr>
          <w:p w14:paraId="6136AD28">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工作站</w:t>
            </w:r>
          </w:p>
        </w:tc>
        <w:tc>
          <w:tcPr>
            <w:tcW w:w="425" w:type="dxa"/>
            <w:vAlign w:val="center"/>
          </w:tcPr>
          <w:p w14:paraId="099DC77A">
            <w:pPr>
              <w:widowControl/>
              <w:spacing w:line="360" w:lineRule="auto"/>
              <w:jc w:val="left"/>
              <w:rPr>
                <w:rFonts w:ascii="仿宋" w:hAnsi="仿宋" w:eastAsia="仿宋" w:cs="宋体"/>
                <w:spacing w:val="-3"/>
                <w:sz w:val="24"/>
                <w:szCs w:val="24"/>
              </w:rPr>
            </w:pPr>
          </w:p>
        </w:tc>
        <w:tc>
          <w:tcPr>
            <w:tcW w:w="5670" w:type="dxa"/>
            <w:vAlign w:val="center"/>
          </w:tcPr>
          <w:p w14:paraId="04FA5509">
            <w:pPr>
              <w:widowControl/>
              <w:spacing w:line="360" w:lineRule="auto"/>
              <w:jc w:val="left"/>
              <w:rPr>
                <w:rFonts w:ascii="仿宋" w:hAnsi="仿宋" w:eastAsia="仿宋" w:cs="宋体"/>
                <w:spacing w:val="-3"/>
                <w:sz w:val="24"/>
                <w:szCs w:val="24"/>
              </w:rPr>
            </w:pPr>
            <w:r>
              <w:rPr>
                <w:rFonts w:hint="eastAsia" w:ascii="仿宋" w:hAnsi="仿宋" w:eastAsia="仿宋" w:cs="宋体"/>
                <w:spacing w:val="-3"/>
                <w:sz w:val="24"/>
                <w:szCs w:val="24"/>
              </w:rPr>
              <w:t>处理器性能不低于Intel i7 14代同等水平；内存≥16GB；固态硬盘≥1TB；配备≥27英寸4K显示器。</w:t>
            </w:r>
          </w:p>
        </w:tc>
        <w:tc>
          <w:tcPr>
            <w:tcW w:w="875" w:type="dxa"/>
            <w:vAlign w:val="center"/>
          </w:tcPr>
          <w:p w14:paraId="129CF936">
            <w:pPr>
              <w:widowControl/>
              <w:spacing w:line="360" w:lineRule="auto"/>
              <w:jc w:val="center"/>
              <w:rPr>
                <w:rFonts w:ascii="仿宋" w:hAnsi="仿宋" w:eastAsia="仿宋" w:cs="宋体"/>
                <w:spacing w:val="-3"/>
                <w:sz w:val="24"/>
                <w:szCs w:val="24"/>
              </w:rPr>
            </w:pPr>
            <w:r>
              <w:rPr>
                <w:rFonts w:hint="eastAsia" w:ascii="仿宋" w:hAnsi="仿宋" w:eastAsia="仿宋" w:cs="宋体"/>
                <w:spacing w:val="-3"/>
                <w:sz w:val="24"/>
                <w:szCs w:val="24"/>
              </w:rPr>
              <w:t>否</w:t>
            </w:r>
          </w:p>
        </w:tc>
      </w:tr>
    </w:tbl>
    <w:p w14:paraId="66AD9644">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（二）（全自动薄片扫描显微镜）（1套）</w:t>
      </w:r>
    </w:p>
    <w:p w14:paraId="2C6AADC8">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w:t>
      </w:r>
      <w:r>
        <w:rPr>
          <w:rFonts w:ascii="仿宋_GB2312" w:hAnsi="宋体" w:eastAsia="仿宋_GB2312"/>
          <w:sz w:val="24"/>
          <w:szCs w:val="24"/>
        </w:rPr>
        <w:t>该设备投入使用后，将实现岩石、矿物及探针片等地质样品从扫描、到拼接的全流程自动化，支持明场、偏光、正交及反射光等多种成像模式，大幅降低人工操作强度并成倍提升图像采集效率；所生成的高分辨率全域数字图像可长期保存、随时调阅和网络共享，有效解决实物薄片易损耗、难复用的痛点，为建立“数字岩石”标本库奠定基础；同时，高质量的结构化图像数据可无缝对接后续矿物自动识别、颗粒定量统计和岩性智能分类等分析流程，使传统岩相学观察升级为可量化、可挖掘的数字分析，从而有力支撑矿产勘探、油气储层评价等科研课题，并为实验教学提供丰富、可重复的数字化案例，推动地质学相关课程的教学模式革新。</w:t>
      </w:r>
    </w:p>
    <w:p w14:paraId="1399ADE5">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09B0F4AC">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主要遵循的国家和行业标准包括：</w:t>
      </w:r>
    </w:p>
    <w:p w14:paraId="64A73317">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整机要求：符合 GB/T 24665-2009《偏光显微镜》 国家标准。</w:t>
      </w:r>
    </w:p>
    <w:p w14:paraId="7D5FD391">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偏光系统：符合 GB/T 22061-2008《显微镜 偏光显微术的参考系统》。</w:t>
      </w:r>
    </w:p>
    <w:p w14:paraId="60445630">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岩矿鉴定应用：符合 DZ/T 0275.4-2015《岩矿鉴定技术规范》 系列标准。</w:t>
      </w:r>
    </w:p>
    <w:p w14:paraId="38AB5AA9">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教学用途：符合JY 0001-2003《教学仪器一般质量要求》等。</w:t>
      </w:r>
    </w:p>
    <w:p w14:paraId="20C1DC77">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48337741">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安装调试：中标人负责设备到货后的现场安装、调试及验收测试，验收标准依据投标技术参数及国家相关标准执行；安装调试完成后，需出具设备性能验收报告，经采购人确认签字后方视为验收合格。</w:t>
      </w:r>
    </w:p>
    <w:p w14:paraId="7972D107">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运维服务：投标人需提供</w:t>
      </w:r>
      <w:r>
        <w:rPr>
          <w:rFonts w:hint="eastAsia" w:ascii="仿宋_GB2312" w:hAnsi="宋体" w:eastAsia="仿宋_GB2312"/>
          <w:sz w:val="24"/>
          <w:szCs w:val="24"/>
        </w:rPr>
        <w:t>3</w:t>
      </w:r>
      <w:r>
        <w:rPr>
          <w:rFonts w:ascii="仿宋_GB2312" w:hAnsi="宋体" w:eastAsia="仿宋_GB2312"/>
          <w:sz w:val="24"/>
          <w:szCs w:val="24"/>
        </w:rPr>
        <w:t>年整机质保，质保期内每半年开展1次现场巡检；提供原厂操作培训</w:t>
      </w:r>
      <w:r>
        <w:rPr>
          <w:rFonts w:hint="eastAsia" w:ascii="仿宋_GB2312" w:hAnsi="宋体" w:eastAsia="仿宋_GB2312"/>
          <w:sz w:val="24"/>
          <w:szCs w:val="24"/>
        </w:rPr>
        <w:t>，不限人次，根据客户需要延长培训时间，</w:t>
      </w:r>
      <w:r>
        <w:rPr>
          <w:rFonts w:ascii="仿宋_GB2312" w:hAnsi="宋体" w:eastAsia="仿宋_GB2312"/>
          <w:sz w:val="24"/>
          <w:szCs w:val="24"/>
        </w:rPr>
        <w:t>确保操作人员独立掌握设备使用及基础维护技能</w:t>
      </w:r>
      <w:r>
        <w:rPr>
          <w:rFonts w:hint="eastAsia" w:ascii="仿宋_GB2312" w:hAnsi="宋体" w:eastAsia="仿宋_GB2312"/>
          <w:sz w:val="24"/>
          <w:szCs w:val="24"/>
        </w:rPr>
        <w:t>，针对疑难问题，邀请资深应用专家提供解决方案。</w:t>
      </w:r>
    </w:p>
    <w:p w14:paraId="44C9E045">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升级更新：设备软件终身升级，硬件支持后续功能扩展，投标人需在新技术推出后30日内告知用户升级方案</w:t>
      </w:r>
      <w:r>
        <w:rPr>
          <w:rFonts w:hint="eastAsia" w:ascii="仿宋_GB2312" w:hAnsi="宋体" w:eastAsia="仿宋_GB2312"/>
          <w:sz w:val="24"/>
          <w:szCs w:val="24"/>
        </w:rPr>
        <w:t>，并完成后续实施。</w:t>
      </w:r>
    </w:p>
    <w:p w14:paraId="0FAD921C">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备品备件：质保期外提供全生命周期备件供应保障（承诺供应周期≥</w:t>
      </w:r>
      <w:r>
        <w:rPr>
          <w:rFonts w:hint="eastAsia" w:ascii="仿宋_GB2312" w:hAnsi="宋体" w:eastAsia="仿宋_GB2312"/>
          <w:sz w:val="24"/>
          <w:szCs w:val="24"/>
        </w:rPr>
        <w:t>5</w:t>
      </w:r>
      <w:r>
        <w:rPr>
          <w:rFonts w:ascii="仿宋_GB2312" w:hAnsi="宋体" w:eastAsia="仿宋_GB2312"/>
          <w:sz w:val="24"/>
          <w:szCs w:val="24"/>
        </w:rPr>
        <w:t>年），常用备件需在用户提出需求后</w:t>
      </w:r>
      <w:r>
        <w:rPr>
          <w:rFonts w:hint="eastAsia" w:ascii="仿宋_GB2312" w:hAnsi="宋体" w:eastAsia="仿宋_GB2312"/>
          <w:sz w:val="24"/>
          <w:szCs w:val="24"/>
        </w:rPr>
        <w:t>15</w:t>
      </w:r>
      <w:r>
        <w:rPr>
          <w:rFonts w:ascii="仿宋_GB2312" w:hAnsi="宋体" w:eastAsia="仿宋_GB2312"/>
          <w:sz w:val="24"/>
          <w:szCs w:val="24"/>
        </w:rPr>
        <w:t>个工作日内到货；提供备件价格清单，确保价格不高于市场同期水平。</w:t>
      </w:r>
    </w:p>
    <w:p w14:paraId="043276C0">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5"/>
        <w:gridCol w:w="567"/>
        <w:gridCol w:w="4849"/>
        <w:gridCol w:w="1275"/>
      </w:tblGrid>
      <w:tr w14:paraId="3DF0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1F026038">
            <w:pPr>
              <w:spacing w:line="360" w:lineRule="auto"/>
              <w:jc w:val="center"/>
              <w:rPr>
                <w:rFonts w:hint="eastAsia" w:ascii="仿宋" w:hAnsi="仿宋" w:eastAsia="仿宋"/>
                <w:b/>
                <w:sz w:val="24"/>
                <w:szCs w:val="24"/>
              </w:rPr>
            </w:pPr>
            <w:r>
              <w:rPr>
                <w:rFonts w:hint="eastAsia" w:ascii="仿宋" w:hAnsi="仿宋" w:eastAsia="仿宋"/>
                <w:b/>
                <w:sz w:val="24"/>
                <w:szCs w:val="24"/>
              </w:rPr>
              <w:t>序号</w:t>
            </w:r>
          </w:p>
        </w:tc>
        <w:tc>
          <w:tcPr>
            <w:tcW w:w="1275" w:type="dxa"/>
            <w:vAlign w:val="center"/>
          </w:tcPr>
          <w:p w14:paraId="39320E39">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指标项</w:t>
            </w:r>
          </w:p>
        </w:tc>
        <w:tc>
          <w:tcPr>
            <w:tcW w:w="567" w:type="dxa"/>
            <w:vAlign w:val="center"/>
          </w:tcPr>
          <w:p w14:paraId="50587E4B">
            <w:pPr>
              <w:widowControl/>
              <w:spacing w:line="360" w:lineRule="auto"/>
              <w:jc w:val="center"/>
              <w:rPr>
                <w:rFonts w:hint="eastAsia" w:ascii="仿宋" w:hAnsi="仿宋" w:eastAsia="仿宋"/>
                <w:b/>
                <w:sz w:val="24"/>
                <w:szCs w:val="24"/>
              </w:rPr>
            </w:pPr>
            <w:r>
              <w:rPr>
                <w:rFonts w:hint="eastAsia" w:ascii="仿宋" w:hAnsi="仿宋" w:eastAsia="仿宋"/>
                <w:b/>
                <w:sz w:val="24"/>
                <w:szCs w:val="24"/>
              </w:rPr>
              <w:t>重要性</w:t>
            </w:r>
          </w:p>
        </w:tc>
        <w:tc>
          <w:tcPr>
            <w:tcW w:w="4849" w:type="dxa"/>
            <w:vAlign w:val="center"/>
          </w:tcPr>
          <w:p w14:paraId="6DF1D810">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指标要求</w:t>
            </w:r>
          </w:p>
        </w:tc>
        <w:tc>
          <w:tcPr>
            <w:tcW w:w="1275" w:type="dxa"/>
            <w:vAlign w:val="center"/>
          </w:tcPr>
          <w:p w14:paraId="71FACF53">
            <w:pPr>
              <w:widowControl/>
              <w:spacing w:line="360" w:lineRule="auto"/>
              <w:jc w:val="center"/>
              <w:rPr>
                <w:rFonts w:hint="eastAsia" w:ascii="仿宋" w:hAnsi="仿宋" w:eastAsia="仿宋"/>
                <w:b/>
                <w:sz w:val="24"/>
                <w:szCs w:val="24"/>
              </w:rPr>
            </w:pPr>
            <w:r>
              <w:rPr>
                <w:rFonts w:hint="eastAsia" w:ascii="仿宋" w:hAnsi="仿宋" w:eastAsia="仿宋"/>
                <w:b/>
                <w:sz w:val="24"/>
                <w:szCs w:val="24"/>
              </w:rPr>
              <w:t>证明材料要求</w:t>
            </w:r>
          </w:p>
        </w:tc>
      </w:tr>
      <w:tr w14:paraId="0F823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54CB9F64">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1</w:t>
            </w:r>
          </w:p>
        </w:tc>
        <w:tc>
          <w:tcPr>
            <w:tcW w:w="1275" w:type="dxa"/>
            <w:vAlign w:val="center"/>
          </w:tcPr>
          <w:p w14:paraId="22AE93B3">
            <w:pPr>
              <w:widowControl/>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光学系统</w:t>
            </w:r>
          </w:p>
        </w:tc>
        <w:tc>
          <w:tcPr>
            <w:tcW w:w="567" w:type="dxa"/>
            <w:vAlign w:val="center"/>
          </w:tcPr>
          <w:p w14:paraId="1E6501BC">
            <w:pPr>
              <w:widowControl/>
              <w:spacing w:line="360" w:lineRule="auto"/>
              <w:jc w:val="center"/>
              <w:rPr>
                <w:rFonts w:hint="eastAsia" w:ascii="仿宋" w:hAnsi="仿宋" w:eastAsia="仿宋" w:cs="宋体"/>
                <w:spacing w:val="-3"/>
                <w:sz w:val="24"/>
                <w:szCs w:val="24"/>
              </w:rPr>
            </w:pPr>
          </w:p>
        </w:tc>
        <w:tc>
          <w:tcPr>
            <w:tcW w:w="4849" w:type="dxa"/>
            <w:vAlign w:val="center"/>
          </w:tcPr>
          <w:p w14:paraId="24005C9F">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采用无限远轴向及横向色差校正及反差增强的复消色光学系统。</w:t>
            </w:r>
          </w:p>
        </w:tc>
        <w:tc>
          <w:tcPr>
            <w:tcW w:w="1275" w:type="dxa"/>
            <w:vAlign w:val="center"/>
          </w:tcPr>
          <w:p w14:paraId="3CEDF2A3">
            <w:pPr>
              <w:widowControl/>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否</w:t>
            </w:r>
          </w:p>
        </w:tc>
      </w:tr>
      <w:tr w14:paraId="5287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128C41A5">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2</w:t>
            </w:r>
          </w:p>
        </w:tc>
        <w:tc>
          <w:tcPr>
            <w:tcW w:w="1275" w:type="dxa"/>
            <w:vAlign w:val="center"/>
          </w:tcPr>
          <w:p w14:paraId="29BF222C">
            <w:pPr>
              <w:widowControl/>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放大倍率及目镜</w:t>
            </w:r>
          </w:p>
        </w:tc>
        <w:tc>
          <w:tcPr>
            <w:tcW w:w="567" w:type="dxa"/>
            <w:vAlign w:val="center"/>
          </w:tcPr>
          <w:p w14:paraId="248EB38C">
            <w:pPr>
              <w:widowControl/>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w:t>
            </w:r>
          </w:p>
        </w:tc>
        <w:tc>
          <w:tcPr>
            <w:tcW w:w="4849" w:type="dxa"/>
            <w:vAlign w:val="center"/>
          </w:tcPr>
          <w:p w14:paraId="118AD93B">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总放大倍率范围</w:t>
            </w:r>
            <w:r>
              <w:rPr>
                <w:rFonts w:ascii="仿宋" w:hAnsi="仿宋" w:eastAsia="仿宋" w:cs="宋体"/>
                <w:spacing w:val="-3"/>
                <w:sz w:val="24"/>
                <w:szCs w:val="24"/>
              </w:rPr>
              <w:t>25x</w:t>
            </w:r>
            <w:r>
              <w:rPr>
                <w:rFonts w:hint="eastAsia" w:ascii="仿宋" w:hAnsi="仿宋" w:eastAsia="仿宋" w:cs="宋体"/>
                <w:spacing w:val="-3"/>
                <w:sz w:val="24"/>
                <w:szCs w:val="24"/>
              </w:rPr>
              <w:t>、50x、100x、200x、500x、1000x。不少于6支；规格：2.5x NA≥0.085；5x NA≥0.15；10x NA≥0.25；20x NA≥0.45；50x NA≥0.80；100x NA≥0.90；50x及100x物镜前端需配置弹簧伸缩保护结构，防止镜片磕碰。10x一对，视场数不小于23，其中一只目镜带有测微尺。</w:t>
            </w:r>
          </w:p>
        </w:tc>
        <w:tc>
          <w:tcPr>
            <w:tcW w:w="1275" w:type="dxa"/>
            <w:vAlign w:val="center"/>
          </w:tcPr>
          <w:p w14:paraId="16BC57F8">
            <w:pPr>
              <w:widowControl/>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09FF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353A0768">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3</w:t>
            </w:r>
          </w:p>
        </w:tc>
        <w:tc>
          <w:tcPr>
            <w:tcW w:w="1275" w:type="dxa"/>
            <w:vAlign w:val="center"/>
          </w:tcPr>
          <w:p w14:paraId="0E3AEDA9">
            <w:pPr>
              <w:jc w:val="center"/>
              <w:rPr>
                <w:rFonts w:hint="eastAsia" w:ascii="仿宋" w:hAnsi="仿宋" w:eastAsia="仿宋" w:cs="宋体"/>
                <w:spacing w:val="-3"/>
                <w:sz w:val="24"/>
                <w:szCs w:val="24"/>
              </w:rPr>
            </w:pPr>
            <w:r>
              <w:rPr>
                <w:rFonts w:hint="eastAsia" w:ascii="仿宋" w:hAnsi="仿宋" w:eastAsia="仿宋" w:cs="宋体"/>
                <w:spacing w:val="-3"/>
                <w:sz w:val="24"/>
                <w:szCs w:val="24"/>
              </w:rPr>
              <w:t>反射光功能转盘</w:t>
            </w:r>
          </w:p>
        </w:tc>
        <w:tc>
          <w:tcPr>
            <w:tcW w:w="567" w:type="dxa"/>
            <w:vAlign w:val="center"/>
          </w:tcPr>
          <w:p w14:paraId="05BC2DD0">
            <w:pPr>
              <w:jc w:val="center"/>
              <w:rPr>
                <w:rFonts w:hint="eastAsia" w:ascii="仿宋" w:hAnsi="仿宋" w:eastAsia="仿宋" w:cs="宋体"/>
                <w:spacing w:val="-3"/>
                <w:sz w:val="24"/>
                <w:szCs w:val="24"/>
              </w:rPr>
            </w:pPr>
            <w:r>
              <w:rPr>
                <w:rFonts w:hint="eastAsia" w:ascii="仿宋" w:hAnsi="仿宋" w:eastAsia="仿宋" w:cs="宋体"/>
                <w:spacing w:val="-3"/>
                <w:sz w:val="24"/>
                <w:szCs w:val="24"/>
              </w:rPr>
              <w:t>★</w:t>
            </w:r>
          </w:p>
        </w:tc>
        <w:tc>
          <w:tcPr>
            <w:tcW w:w="4849" w:type="dxa"/>
            <w:vAlign w:val="center"/>
          </w:tcPr>
          <w:p w14:paraId="1F3627A2">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不小于6位可电动切换的反射光功能转盘，且具备编码功能，软件可实时读取显微镜当前观察模式。</w:t>
            </w:r>
          </w:p>
        </w:tc>
        <w:tc>
          <w:tcPr>
            <w:tcW w:w="1275" w:type="dxa"/>
            <w:vAlign w:val="center"/>
          </w:tcPr>
          <w:p w14:paraId="7B9B25A0">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393A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23F9878B">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4</w:t>
            </w:r>
          </w:p>
        </w:tc>
        <w:tc>
          <w:tcPr>
            <w:tcW w:w="1275" w:type="dxa"/>
            <w:vAlign w:val="center"/>
          </w:tcPr>
          <w:p w14:paraId="36D196CB">
            <w:pPr>
              <w:jc w:val="center"/>
              <w:rPr>
                <w:rFonts w:hint="eastAsia" w:ascii="仿宋" w:hAnsi="仿宋" w:eastAsia="仿宋" w:cs="宋体"/>
                <w:spacing w:val="-3"/>
                <w:sz w:val="24"/>
                <w:szCs w:val="24"/>
              </w:rPr>
            </w:pPr>
            <w:r>
              <w:rPr>
                <w:rFonts w:hint="eastAsia" w:ascii="仿宋" w:hAnsi="仿宋" w:eastAsia="仿宋" w:cs="宋体"/>
                <w:spacing w:val="-3"/>
                <w:sz w:val="24"/>
                <w:szCs w:val="24"/>
              </w:rPr>
              <w:t>观察模式</w:t>
            </w:r>
          </w:p>
        </w:tc>
        <w:tc>
          <w:tcPr>
            <w:tcW w:w="567" w:type="dxa"/>
            <w:vAlign w:val="center"/>
          </w:tcPr>
          <w:p w14:paraId="2192C589">
            <w:pPr>
              <w:jc w:val="center"/>
              <w:rPr>
                <w:rFonts w:hint="eastAsia" w:ascii="仿宋" w:hAnsi="仿宋" w:eastAsia="仿宋" w:cs="宋体"/>
                <w:spacing w:val="-3"/>
                <w:sz w:val="24"/>
                <w:szCs w:val="24"/>
              </w:rPr>
            </w:pPr>
          </w:p>
        </w:tc>
        <w:tc>
          <w:tcPr>
            <w:tcW w:w="4849" w:type="dxa"/>
            <w:vAlign w:val="center"/>
          </w:tcPr>
          <w:p w14:paraId="16B0DFCE">
            <w:pPr>
              <w:pStyle w:val="13"/>
              <w:kinsoku w:val="0"/>
              <w:overflowPunct w:val="0"/>
              <w:spacing w:line="360" w:lineRule="auto"/>
              <w:rPr>
                <w:rFonts w:hint="eastAsia" w:ascii="仿宋" w:hAnsi="仿宋" w:eastAsia="仿宋" w:cs="宋体"/>
                <w:spacing w:val="-3"/>
                <w:kern w:val="2"/>
              </w:rPr>
            </w:pPr>
            <w:r>
              <w:rPr>
                <w:rFonts w:hint="eastAsia" w:ascii="仿宋" w:hAnsi="仿宋" w:eastAsia="仿宋" w:cs="宋体"/>
                <w:spacing w:val="-3"/>
                <w:kern w:val="2"/>
              </w:rPr>
              <w:t>具备透反射明场及单偏光、正交偏光等模式，且要求偏光角度均可调。</w:t>
            </w:r>
          </w:p>
        </w:tc>
        <w:tc>
          <w:tcPr>
            <w:tcW w:w="1275" w:type="dxa"/>
            <w:vAlign w:val="center"/>
          </w:tcPr>
          <w:p w14:paraId="1A869CCF">
            <w:pPr>
              <w:jc w:val="center"/>
              <w:rPr>
                <w:rFonts w:hint="eastAsia" w:ascii="仿宋" w:hAnsi="仿宋" w:eastAsia="仿宋" w:cs="宋体"/>
                <w:spacing w:val="-3"/>
                <w:sz w:val="24"/>
                <w:szCs w:val="24"/>
              </w:rPr>
            </w:pPr>
            <w:r>
              <w:rPr>
                <w:rFonts w:hint="eastAsia" w:ascii="仿宋" w:hAnsi="仿宋" w:eastAsia="仿宋" w:cs="宋体"/>
                <w:spacing w:val="-3"/>
                <w:sz w:val="24"/>
                <w:szCs w:val="24"/>
              </w:rPr>
              <w:t>否</w:t>
            </w:r>
          </w:p>
        </w:tc>
      </w:tr>
      <w:tr w14:paraId="592D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FED35C2">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5</w:t>
            </w:r>
          </w:p>
        </w:tc>
        <w:tc>
          <w:tcPr>
            <w:tcW w:w="1275" w:type="dxa"/>
            <w:vAlign w:val="center"/>
          </w:tcPr>
          <w:p w14:paraId="1A33FA71">
            <w:pPr>
              <w:jc w:val="center"/>
              <w:rPr>
                <w:rFonts w:hint="eastAsia" w:ascii="仿宋" w:hAnsi="仿宋" w:eastAsia="仿宋" w:cs="宋体"/>
                <w:spacing w:val="-3"/>
                <w:sz w:val="24"/>
                <w:szCs w:val="24"/>
              </w:rPr>
            </w:pPr>
            <w:r>
              <w:rPr>
                <w:rFonts w:hint="eastAsia" w:ascii="仿宋" w:hAnsi="仿宋" w:eastAsia="仿宋" w:cs="宋体"/>
                <w:spacing w:val="-3"/>
                <w:sz w:val="24"/>
                <w:szCs w:val="24"/>
              </w:rPr>
              <w:t>样品高度</w:t>
            </w:r>
          </w:p>
        </w:tc>
        <w:tc>
          <w:tcPr>
            <w:tcW w:w="567" w:type="dxa"/>
            <w:vAlign w:val="center"/>
          </w:tcPr>
          <w:p w14:paraId="571B85E9">
            <w:pPr>
              <w:jc w:val="center"/>
              <w:rPr>
                <w:rFonts w:hint="eastAsia" w:ascii="仿宋" w:hAnsi="仿宋" w:eastAsia="仿宋" w:cs="宋体"/>
                <w:spacing w:val="-3"/>
                <w:sz w:val="24"/>
                <w:szCs w:val="24"/>
              </w:rPr>
            </w:pPr>
            <w:r>
              <w:rPr>
                <w:rFonts w:hint="eastAsia" w:ascii="仿宋" w:hAnsi="仿宋" w:eastAsia="仿宋" w:cs="宋体"/>
                <w:spacing w:val="-3"/>
                <w:sz w:val="24"/>
                <w:szCs w:val="24"/>
              </w:rPr>
              <w:t>★</w:t>
            </w:r>
          </w:p>
        </w:tc>
        <w:tc>
          <w:tcPr>
            <w:tcW w:w="4849" w:type="dxa"/>
            <w:vAlign w:val="center"/>
          </w:tcPr>
          <w:p w14:paraId="55ED12B6">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不小于110mm。</w:t>
            </w:r>
          </w:p>
        </w:tc>
        <w:tc>
          <w:tcPr>
            <w:tcW w:w="1275" w:type="dxa"/>
            <w:vAlign w:val="center"/>
          </w:tcPr>
          <w:p w14:paraId="02F3AC82">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6BD6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47C3EF86">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6</w:t>
            </w:r>
          </w:p>
        </w:tc>
        <w:tc>
          <w:tcPr>
            <w:tcW w:w="1275" w:type="dxa"/>
            <w:vAlign w:val="center"/>
          </w:tcPr>
          <w:p w14:paraId="42C8B348">
            <w:pPr>
              <w:jc w:val="center"/>
              <w:rPr>
                <w:rFonts w:hint="eastAsia" w:ascii="仿宋" w:hAnsi="仿宋" w:eastAsia="仿宋" w:cs="宋体"/>
                <w:spacing w:val="-3"/>
                <w:sz w:val="24"/>
                <w:szCs w:val="24"/>
              </w:rPr>
            </w:pPr>
            <w:r>
              <w:rPr>
                <w:rFonts w:hint="eastAsia" w:ascii="仿宋" w:hAnsi="仿宋" w:eastAsia="仿宋" w:cs="宋体"/>
                <w:spacing w:val="-3"/>
                <w:sz w:val="24"/>
                <w:szCs w:val="24"/>
              </w:rPr>
              <w:t>智能控制系统</w:t>
            </w:r>
          </w:p>
        </w:tc>
        <w:tc>
          <w:tcPr>
            <w:tcW w:w="567" w:type="dxa"/>
            <w:vAlign w:val="center"/>
          </w:tcPr>
          <w:p w14:paraId="2892B590">
            <w:pPr>
              <w:jc w:val="center"/>
              <w:rPr>
                <w:rFonts w:hint="eastAsia" w:ascii="仿宋" w:hAnsi="仿宋" w:eastAsia="仿宋" w:cs="宋体"/>
                <w:spacing w:val="-3"/>
                <w:sz w:val="24"/>
                <w:szCs w:val="24"/>
              </w:rPr>
            </w:pPr>
          </w:p>
        </w:tc>
        <w:tc>
          <w:tcPr>
            <w:tcW w:w="4849" w:type="dxa"/>
            <w:vAlign w:val="center"/>
          </w:tcPr>
          <w:p w14:paraId="1F4C1813">
            <w:pPr>
              <w:spacing w:line="360" w:lineRule="auto"/>
              <w:jc w:val="left"/>
              <w:rPr>
                <w:rFonts w:hint="eastAsia" w:ascii="仿宋" w:hAnsi="仿宋" w:eastAsia="仿宋" w:cs="宋体"/>
                <w:spacing w:val="-3"/>
                <w:sz w:val="24"/>
                <w:szCs w:val="24"/>
              </w:rPr>
            </w:pPr>
            <w:r>
              <w:rPr>
                <w:rFonts w:ascii="仿宋" w:hAnsi="仿宋" w:eastAsia="仿宋" w:cs="宋体"/>
                <w:spacing w:val="-3"/>
                <w:sz w:val="24"/>
                <w:szCs w:val="24"/>
              </w:rPr>
              <w:t>放大倍数、</w:t>
            </w:r>
            <w:r>
              <w:rPr>
                <w:rFonts w:hint="eastAsia" w:ascii="仿宋" w:hAnsi="仿宋" w:eastAsia="仿宋" w:cs="宋体"/>
                <w:spacing w:val="-3"/>
                <w:sz w:val="24"/>
                <w:szCs w:val="24"/>
              </w:rPr>
              <w:t>观察方式、标尺自动识别添加；光强记忆，自动调整；具有E</w:t>
            </w:r>
            <w:r>
              <w:rPr>
                <w:rFonts w:ascii="仿宋" w:hAnsi="仿宋" w:eastAsia="仿宋" w:cs="宋体"/>
                <w:spacing w:val="-3"/>
                <w:sz w:val="24"/>
                <w:szCs w:val="24"/>
              </w:rPr>
              <w:t>CO</w:t>
            </w:r>
            <w:r>
              <w:rPr>
                <w:rFonts w:hint="eastAsia" w:ascii="仿宋" w:hAnsi="仿宋" w:eastAsia="仿宋" w:cs="宋体"/>
                <w:spacing w:val="-3"/>
                <w:sz w:val="24"/>
                <w:szCs w:val="24"/>
              </w:rPr>
              <w:t>环保模式，延长显微镜使用寿命。</w:t>
            </w:r>
          </w:p>
        </w:tc>
        <w:tc>
          <w:tcPr>
            <w:tcW w:w="1275" w:type="dxa"/>
            <w:vAlign w:val="center"/>
          </w:tcPr>
          <w:p w14:paraId="454464AC">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0F14A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30D520E9">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7</w:t>
            </w:r>
          </w:p>
        </w:tc>
        <w:tc>
          <w:tcPr>
            <w:tcW w:w="1275" w:type="dxa"/>
            <w:vAlign w:val="center"/>
          </w:tcPr>
          <w:p w14:paraId="7B5C60E2">
            <w:pPr>
              <w:jc w:val="center"/>
              <w:rPr>
                <w:rFonts w:hint="eastAsia" w:ascii="仿宋" w:hAnsi="仿宋" w:eastAsia="仿宋" w:cs="宋体"/>
                <w:spacing w:val="-3"/>
                <w:sz w:val="24"/>
                <w:szCs w:val="24"/>
              </w:rPr>
            </w:pPr>
            <w:r>
              <w:rPr>
                <w:rFonts w:hint="eastAsia" w:ascii="仿宋" w:hAnsi="仿宋" w:eastAsia="仿宋" w:cs="宋体"/>
                <w:spacing w:val="-3"/>
                <w:sz w:val="24"/>
                <w:szCs w:val="24"/>
              </w:rPr>
              <w:t>聚光镜</w:t>
            </w:r>
          </w:p>
        </w:tc>
        <w:tc>
          <w:tcPr>
            <w:tcW w:w="567" w:type="dxa"/>
            <w:vAlign w:val="center"/>
          </w:tcPr>
          <w:p w14:paraId="21FDC0EE">
            <w:pPr>
              <w:jc w:val="center"/>
              <w:rPr>
                <w:rFonts w:hint="eastAsia" w:ascii="仿宋" w:hAnsi="仿宋" w:eastAsia="仿宋" w:cs="宋体"/>
                <w:spacing w:val="-3"/>
                <w:sz w:val="24"/>
                <w:szCs w:val="24"/>
              </w:rPr>
            </w:pPr>
          </w:p>
        </w:tc>
        <w:tc>
          <w:tcPr>
            <w:tcW w:w="4849" w:type="dxa"/>
            <w:vAlign w:val="center"/>
          </w:tcPr>
          <w:p w14:paraId="1EDF23A2">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要求消色差消球差万能聚光镜，数值孔径不小于0.90。</w:t>
            </w:r>
          </w:p>
        </w:tc>
        <w:tc>
          <w:tcPr>
            <w:tcW w:w="1275" w:type="dxa"/>
            <w:vAlign w:val="center"/>
          </w:tcPr>
          <w:p w14:paraId="7166C807">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16099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276420C6">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8</w:t>
            </w:r>
          </w:p>
        </w:tc>
        <w:tc>
          <w:tcPr>
            <w:tcW w:w="1275" w:type="dxa"/>
            <w:vAlign w:val="center"/>
          </w:tcPr>
          <w:p w14:paraId="474A1F8D">
            <w:pPr>
              <w:jc w:val="center"/>
              <w:rPr>
                <w:rFonts w:hint="eastAsia" w:ascii="仿宋" w:hAnsi="仿宋" w:eastAsia="仿宋" w:cs="宋体"/>
                <w:spacing w:val="-3"/>
                <w:sz w:val="24"/>
                <w:szCs w:val="24"/>
              </w:rPr>
            </w:pPr>
            <w:r>
              <w:rPr>
                <w:rFonts w:hint="eastAsia" w:ascii="仿宋" w:hAnsi="仿宋" w:eastAsia="仿宋" w:cs="宋体"/>
                <w:spacing w:val="-3"/>
                <w:sz w:val="24"/>
                <w:szCs w:val="24"/>
              </w:rPr>
              <w:t>彩色相机</w:t>
            </w:r>
          </w:p>
        </w:tc>
        <w:tc>
          <w:tcPr>
            <w:tcW w:w="567" w:type="dxa"/>
            <w:vAlign w:val="center"/>
          </w:tcPr>
          <w:p w14:paraId="01A932FA">
            <w:pPr>
              <w:jc w:val="center"/>
              <w:rPr>
                <w:rFonts w:hint="eastAsia" w:ascii="仿宋" w:hAnsi="仿宋" w:eastAsia="仿宋" w:cs="宋体"/>
                <w:spacing w:val="-3"/>
                <w:sz w:val="24"/>
                <w:szCs w:val="24"/>
              </w:rPr>
            </w:pPr>
          </w:p>
        </w:tc>
        <w:tc>
          <w:tcPr>
            <w:tcW w:w="4849" w:type="dxa"/>
            <w:vAlign w:val="center"/>
          </w:tcPr>
          <w:p w14:paraId="531550A0">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同品牌原厂彩色相机，有效像素不低于1230万，分辨率不低于4032x3044，带有制冷功能，最高采集帧率不小于30fps。</w:t>
            </w:r>
          </w:p>
        </w:tc>
        <w:tc>
          <w:tcPr>
            <w:tcW w:w="1275" w:type="dxa"/>
            <w:vAlign w:val="center"/>
          </w:tcPr>
          <w:p w14:paraId="73C2DF9E">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5231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A33B371">
            <w:pPr>
              <w:spacing w:line="360" w:lineRule="auto"/>
              <w:jc w:val="center"/>
              <w:rPr>
                <w:rFonts w:hint="eastAsia" w:ascii="仿宋" w:hAnsi="仿宋" w:eastAsia="仿宋" w:cs="宋体"/>
                <w:spacing w:val="-3"/>
                <w:sz w:val="24"/>
                <w:szCs w:val="24"/>
              </w:rPr>
            </w:pPr>
            <w:r>
              <w:rPr>
                <w:rFonts w:hint="eastAsia" w:ascii="仿宋" w:hAnsi="仿宋" w:eastAsia="仿宋" w:cs="宋体"/>
                <w:spacing w:val="-3"/>
                <w:sz w:val="24"/>
                <w:szCs w:val="24"/>
              </w:rPr>
              <w:t>9</w:t>
            </w:r>
          </w:p>
        </w:tc>
        <w:tc>
          <w:tcPr>
            <w:tcW w:w="1275" w:type="dxa"/>
            <w:vAlign w:val="center"/>
          </w:tcPr>
          <w:p w14:paraId="7C77A4CD">
            <w:pPr>
              <w:jc w:val="center"/>
              <w:rPr>
                <w:rFonts w:hint="eastAsia" w:ascii="仿宋" w:hAnsi="仿宋" w:eastAsia="仿宋" w:cs="宋体"/>
                <w:spacing w:val="-3"/>
                <w:sz w:val="24"/>
                <w:szCs w:val="24"/>
              </w:rPr>
            </w:pPr>
            <w:r>
              <w:rPr>
                <w:rFonts w:hint="eastAsia" w:ascii="仿宋" w:hAnsi="仿宋" w:eastAsia="仿宋" w:cs="宋体"/>
                <w:spacing w:val="-3"/>
                <w:sz w:val="24"/>
                <w:szCs w:val="24"/>
              </w:rPr>
              <w:t>图形采集处理分析软件</w:t>
            </w:r>
          </w:p>
        </w:tc>
        <w:tc>
          <w:tcPr>
            <w:tcW w:w="567" w:type="dxa"/>
            <w:vAlign w:val="center"/>
          </w:tcPr>
          <w:p w14:paraId="14FA59DE">
            <w:pPr>
              <w:jc w:val="center"/>
              <w:rPr>
                <w:rFonts w:hint="eastAsia" w:ascii="仿宋" w:hAnsi="仿宋" w:eastAsia="仿宋" w:cs="宋体"/>
                <w:spacing w:val="-3"/>
                <w:sz w:val="24"/>
                <w:szCs w:val="24"/>
              </w:rPr>
            </w:pPr>
          </w:p>
        </w:tc>
        <w:tc>
          <w:tcPr>
            <w:tcW w:w="4849" w:type="dxa"/>
            <w:vAlign w:val="center"/>
          </w:tcPr>
          <w:p w14:paraId="635643D5">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原厂专业图像采集分析软件，</w:t>
            </w:r>
          </w:p>
          <w:p w14:paraId="7F752654">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1</w:t>
            </w:r>
            <w:r>
              <w:rPr>
                <w:rFonts w:ascii="仿宋" w:hAnsi="仿宋" w:eastAsia="仿宋" w:cs="宋体"/>
                <w:spacing w:val="-3"/>
                <w:sz w:val="24"/>
                <w:szCs w:val="24"/>
              </w:rPr>
              <w:t>) 用户管理模式：具有管理员、主管、操作者等不同的用户模式</w:t>
            </w:r>
            <w:r>
              <w:rPr>
                <w:rFonts w:hint="eastAsia" w:ascii="仿宋" w:hAnsi="仿宋" w:eastAsia="仿宋" w:cs="宋体"/>
                <w:spacing w:val="-3"/>
                <w:sz w:val="24"/>
                <w:szCs w:val="24"/>
              </w:rPr>
              <w:t>。</w:t>
            </w:r>
          </w:p>
          <w:p w14:paraId="4C4C708E">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2)</w:t>
            </w:r>
            <w:r>
              <w:rPr>
                <w:rFonts w:ascii="仿宋" w:hAnsi="仿宋" w:eastAsia="仿宋" w:cs="宋体"/>
                <w:spacing w:val="-3"/>
                <w:sz w:val="24"/>
                <w:szCs w:val="24"/>
              </w:rPr>
              <w:t xml:space="preserve"> </w:t>
            </w:r>
            <w:r>
              <w:rPr>
                <w:rFonts w:hint="eastAsia" w:ascii="仿宋" w:hAnsi="仿宋" w:eastAsia="仿宋" w:cs="宋体"/>
                <w:spacing w:val="-3"/>
                <w:sz w:val="24"/>
                <w:szCs w:val="24"/>
              </w:rPr>
              <w:t>软件可自动识别并控制当前的硬件状态（物镜、光强、观察模式等），拍摄的图像可保存成TIFF、JPEG、PNG等格式，图像包含硬件及拍摄时的信息（曝光时间、标尺、拍摄时间、及硬件信息）。方便对图像进行重复分析等。也可保存成其他图像格式，并可对图像进行压缩等操作。</w:t>
            </w:r>
          </w:p>
          <w:p w14:paraId="2B86E429">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3)工作台：软件具有不同的功能的工作台（如拍照、测量、保存等），不同的功能使用不同的工作台。用户可自定义设置工作台，添加或者删除。</w:t>
            </w:r>
          </w:p>
          <w:p w14:paraId="70EBB3EF">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4)作业模式：可使用作业模式可设置重复性任务的作业模板。可以预先确定显微镜的参数并指定单独的工作台，以保证结果的可重复性。工作台与作业模板相结合可以设置不同样品的工作流。</w:t>
            </w:r>
          </w:p>
          <w:p w14:paraId="1D62DD20">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5)基础模块：具有通过计算机控制获实时取图像；可实现手动景深叠加，自动图像拼接，视频录制等图像拍摄功能，可对图像进行亮度对比度调节、注释、交互式测量的图像分析（如长度、角度、轮廓、灰度强度、面积等）；自动添加物镜电子标尺；图像获取和报告的文档系统；具有多通道图像对比功能。</w:t>
            </w:r>
          </w:p>
          <w:p w14:paraId="74C9CD7E">
            <w:pPr>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6)</w:t>
            </w:r>
            <w:r>
              <w:rPr>
                <w:rFonts w:hint="eastAsia" w:ascii="仿宋" w:hAnsi="仿宋" w:eastAsia="仿宋" w:cs="宋体"/>
                <w:spacing w:val="-3"/>
                <w:sz w:val="24"/>
                <w:szCs w:val="24"/>
              </w:rPr>
              <w:tab/>
            </w:r>
            <w:r>
              <w:rPr>
                <w:rFonts w:hint="eastAsia" w:ascii="仿宋" w:hAnsi="仿宋" w:eastAsia="仿宋" w:cs="宋体"/>
                <w:spacing w:val="-3"/>
                <w:sz w:val="24"/>
                <w:szCs w:val="24"/>
              </w:rPr>
              <w:t>拼图及定位模块：可控制载物台进行图像拼接扫描，显微镜自动将采集的多视场图像，快速无缝拼成大幅图像，拼接完的图像没有拼缝亮度均匀。拼图范围可自定义设置，比如方形，圆形或者多边形或不规则图像，可将低倍图像设置成导航图像，快速设置拼图范围。</w:t>
            </w:r>
          </w:p>
        </w:tc>
        <w:tc>
          <w:tcPr>
            <w:tcW w:w="1275" w:type="dxa"/>
            <w:vAlign w:val="center"/>
          </w:tcPr>
          <w:p w14:paraId="7CDD55CD">
            <w:pPr>
              <w:jc w:val="center"/>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7181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555CC286">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10</w:t>
            </w:r>
          </w:p>
        </w:tc>
        <w:tc>
          <w:tcPr>
            <w:tcW w:w="1275" w:type="dxa"/>
            <w:vAlign w:val="center"/>
          </w:tcPr>
          <w:p w14:paraId="629F6824">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电动控制系统</w:t>
            </w:r>
          </w:p>
        </w:tc>
        <w:tc>
          <w:tcPr>
            <w:tcW w:w="567" w:type="dxa"/>
            <w:vAlign w:val="center"/>
          </w:tcPr>
          <w:p w14:paraId="186B28A3">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w:t>
            </w:r>
          </w:p>
        </w:tc>
        <w:tc>
          <w:tcPr>
            <w:tcW w:w="4849" w:type="dxa"/>
            <w:vAlign w:val="center"/>
          </w:tcPr>
          <w:p w14:paraId="6202BCD8">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不小于6孔编码式物镜转换器，且均可对中调节。电动载物台，行程范围不小于</w:t>
            </w:r>
            <w:r>
              <w:rPr>
                <w:rFonts w:ascii="仿宋" w:hAnsi="仿宋" w:eastAsia="仿宋" w:cs="宋体"/>
                <w:spacing w:val="-3"/>
                <w:sz w:val="24"/>
                <w:szCs w:val="24"/>
              </w:rPr>
              <w:t>75x50mm</w:t>
            </w:r>
            <w:r>
              <w:rPr>
                <w:rFonts w:hint="eastAsia" w:ascii="仿宋" w:hAnsi="仿宋" w:eastAsia="仿宋" w:cs="宋体"/>
                <w:spacing w:val="-3"/>
                <w:sz w:val="24"/>
                <w:szCs w:val="24"/>
              </w:rPr>
              <w:t>，最大速度不低于</w:t>
            </w:r>
            <w:r>
              <w:rPr>
                <w:rFonts w:ascii="仿宋" w:hAnsi="仿宋" w:eastAsia="仿宋" w:cs="宋体"/>
                <w:spacing w:val="-3"/>
                <w:sz w:val="24"/>
                <w:szCs w:val="24"/>
              </w:rPr>
              <w:t>100mm/s</w:t>
            </w:r>
            <w:r>
              <w:rPr>
                <w:rFonts w:hint="eastAsia" w:ascii="仿宋" w:hAnsi="仿宋" w:eastAsia="仿宋" w:cs="宋体"/>
                <w:spacing w:val="-3"/>
                <w:sz w:val="24"/>
                <w:szCs w:val="24"/>
              </w:rPr>
              <w:t>。步进精度≤0.1um，配有手动移动手柄，也可手动调整。配合软件可进行多视场拼接等功能。</w:t>
            </w:r>
          </w:p>
        </w:tc>
        <w:tc>
          <w:tcPr>
            <w:tcW w:w="1275" w:type="dxa"/>
            <w:vAlign w:val="center"/>
          </w:tcPr>
          <w:p w14:paraId="1E139D30">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04D38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2118159B">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11</w:t>
            </w:r>
          </w:p>
        </w:tc>
        <w:tc>
          <w:tcPr>
            <w:tcW w:w="1275" w:type="dxa"/>
            <w:vAlign w:val="center"/>
          </w:tcPr>
          <w:p w14:paraId="34018C8A">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光源</w:t>
            </w:r>
          </w:p>
        </w:tc>
        <w:tc>
          <w:tcPr>
            <w:tcW w:w="567" w:type="dxa"/>
            <w:vAlign w:val="center"/>
          </w:tcPr>
          <w:p w14:paraId="3A794A92">
            <w:pPr>
              <w:widowControl/>
              <w:spacing w:line="360" w:lineRule="auto"/>
              <w:rPr>
                <w:rFonts w:hint="eastAsia" w:ascii="仿宋" w:hAnsi="仿宋" w:eastAsia="仿宋" w:cs="宋体"/>
                <w:spacing w:val="-3"/>
                <w:sz w:val="24"/>
                <w:szCs w:val="24"/>
              </w:rPr>
            </w:pPr>
          </w:p>
        </w:tc>
        <w:tc>
          <w:tcPr>
            <w:tcW w:w="4849" w:type="dxa"/>
            <w:vAlign w:val="center"/>
          </w:tcPr>
          <w:p w14:paraId="5A2EA4F8">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透射光、反射光均采用科勒照明白光LED光源，色温（颜色）恒定，且不低于5700k，显色指数要求大于90。寿命不低于55000小时。</w:t>
            </w:r>
          </w:p>
        </w:tc>
        <w:tc>
          <w:tcPr>
            <w:tcW w:w="1275" w:type="dxa"/>
            <w:vAlign w:val="center"/>
          </w:tcPr>
          <w:p w14:paraId="4A7BA771">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66B00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414AE9E5">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12</w:t>
            </w:r>
          </w:p>
        </w:tc>
        <w:tc>
          <w:tcPr>
            <w:tcW w:w="1275" w:type="dxa"/>
            <w:vAlign w:val="center"/>
          </w:tcPr>
          <w:p w14:paraId="71FBC53D">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附件</w:t>
            </w:r>
          </w:p>
        </w:tc>
        <w:tc>
          <w:tcPr>
            <w:tcW w:w="567" w:type="dxa"/>
            <w:vAlign w:val="center"/>
          </w:tcPr>
          <w:p w14:paraId="62CAA733">
            <w:pPr>
              <w:widowControl/>
              <w:spacing w:line="360" w:lineRule="auto"/>
              <w:rPr>
                <w:rFonts w:hint="eastAsia" w:ascii="仿宋" w:hAnsi="仿宋" w:eastAsia="仿宋" w:cs="宋体"/>
                <w:spacing w:val="-3"/>
                <w:sz w:val="24"/>
                <w:szCs w:val="24"/>
              </w:rPr>
            </w:pPr>
          </w:p>
        </w:tc>
        <w:tc>
          <w:tcPr>
            <w:tcW w:w="4849" w:type="dxa"/>
            <w:vAlign w:val="center"/>
          </w:tcPr>
          <w:p w14:paraId="137D3B0D">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测微台尺、防尘罩、压平器、云母及石膏试板等一套。</w:t>
            </w:r>
          </w:p>
        </w:tc>
        <w:tc>
          <w:tcPr>
            <w:tcW w:w="1275" w:type="dxa"/>
            <w:vAlign w:val="center"/>
          </w:tcPr>
          <w:p w14:paraId="464F2E4D">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否</w:t>
            </w:r>
          </w:p>
        </w:tc>
      </w:tr>
      <w:tr w14:paraId="03FAF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AC46A4B">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13</w:t>
            </w:r>
          </w:p>
        </w:tc>
        <w:tc>
          <w:tcPr>
            <w:tcW w:w="1275" w:type="dxa"/>
            <w:vAlign w:val="center"/>
          </w:tcPr>
          <w:p w14:paraId="2C2E7186">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镜体拍照按钮</w:t>
            </w:r>
          </w:p>
        </w:tc>
        <w:tc>
          <w:tcPr>
            <w:tcW w:w="567" w:type="dxa"/>
            <w:vAlign w:val="center"/>
          </w:tcPr>
          <w:p w14:paraId="0CC5F6F4">
            <w:pPr>
              <w:widowControl/>
              <w:spacing w:line="360" w:lineRule="auto"/>
              <w:rPr>
                <w:rFonts w:hint="eastAsia" w:ascii="仿宋" w:hAnsi="仿宋" w:eastAsia="仿宋" w:cs="宋体"/>
                <w:spacing w:val="-3"/>
                <w:sz w:val="24"/>
                <w:szCs w:val="24"/>
              </w:rPr>
            </w:pPr>
          </w:p>
        </w:tc>
        <w:tc>
          <w:tcPr>
            <w:tcW w:w="4849" w:type="dxa"/>
            <w:vAlign w:val="center"/>
          </w:tcPr>
          <w:p w14:paraId="219F96E1">
            <w:pPr>
              <w:pStyle w:val="13"/>
              <w:widowControl/>
              <w:kinsoku w:val="0"/>
              <w:overflowPunct w:val="0"/>
              <w:spacing w:line="360" w:lineRule="auto"/>
              <w:rPr>
                <w:rFonts w:hint="eastAsia" w:ascii="仿宋" w:hAnsi="仿宋" w:eastAsia="仿宋" w:cs="宋体"/>
                <w:spacing w:val="-3"/>
                <w:kern w:val="2"/>
              </w:rPr>
            </w:pPr>
            <w:r>
              <w:rPr>
                <w:rFonts w:hint="eastAsia" w:ascii="仿宋" w:hAnsi="仿宋" w:eastAsia="仿宋" w:cs="宋体"/>
                <w:spacing w:val="-3"/>
                <w:kern w:val="2"/>
              </w:rPr>
              <w:t>调焦机构需具有至少1个一键拍照按钮；支持将当前图像直接保存至U盘或电脑；支持左右手便捷操作；拍摄图像自动嵌入电子标尺。</w:t>
            </w:r>
          </w:p>
        </w:tc>
        <w:tc>
          <w:tcPr>
            <w:tcW w:w="1275" w:type="dxa"/>
            <w:vAlign w:val="center"/>
          </w:tcPr>
          <w:p w14:paraId="026BFDF9">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是</w:t>
            </w:r>
          </w:p>
        </w:tc>
      </w:tr>
      <w:tr w14:paraId="1D09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4CF5D7C6">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14</w:t>
            </w:r>
          </w:p>
        </w:tc>
        <w:tc>
          <w:tcPr>
            <w:tcW w:w="1275" w:type="dxa"/>
            <w:vAlign w:val="center"/>
          </w:tcPr>
          <w:p w14:paraId="0E63A0D6">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计算机</w:t>
            </w:r>
          </w:p>
        </w:tc>
        <w:tc>
          <w:tcPr>
            <w:tcW w:w="567" w:type="dxa"/>
            <w:vAlign w:val="center"/>
          </w:tcPr>
          <w:p w14:paraId="1F1DFB19">
            <w:pPr>
              <w:widowControl/>
              <w:spacing w:line="360" w:lineRule="auto"/>
              <w:rPr>
                <w:rFonts w:hint="eastAsia" w:ascii="仿宋" w:hAnsi="仿宋" w:eastAsia="仿宋" w:cs="宋体"/>
                <w:spacing w:val="-3"/>
                <w:sz w:val="24"/>
                <w:szCs w:val="24"/>
              </w:rPr>
            </w:pPr>
          </w:p>
        </w:tc>
        <w:tc>
          <w:tcPr>
            <w:tcW w:w="4849" w:type="dxa"/>
            <w:vAlign w:val="center"/>
          </w:tcPr>
          <w:p w14:paraId="5C36C140">
            <w:pPr>
              <w:widowControl/>
              <w:spacing w:line="360" w:lineRule="auto"/>
              <w:jc w:val="left"/>
              <w:rPr>
                <w:rFonts w:hint="eastAsia" w:ascii="仿宋" w:hAnsi="仿宋" w:eastAsia="仿宋" w:cs="宋体"/>
                <w:spacing w:val="-3"/>
                <w:sz w:val="24"/>
                <w:szCs w:val="24"/>
              </w:rPr>
            </w:pPr>
            <w:r>
              <w:rPr>
                <w:rFonts w:hint="eastAsia" w:ascii="仿宋" w:hAnsi="仿宋" w:eastAsia="仿宋" w:cs="宋体"/>
                <w:spacing w:val="-3"/>
                <w:sz w:val="24"/>
                <w:szCs w:val="24"/>
              </w:rPr>
              <w:t>处理器综合性能不低于Intel酷睿i7同等水平；内存≥32GB；配备≥512GB固态硬盘+≥2TB存储硬盘；配备DVD刻录装置；显示器≥24英寸。</w:t>
            </w:r>
          </w:p>
        </w:tc>
        <w:tc>
          <w:tcPr>
            <w:tcW w:w="1275" w:type="dxa"/>
            <w:vAlign w:val="center"/>
          </w:tcPr>
          <w:p w14:paraId="3BA0A5EB">
            <w:pPr>
              <w:widowControl/>
              <w:spacing w:line="360" w:lineRule="auto"/>
              <w:rPr>
                <w:rFonts w:hint="eastAsia" w:ascii="仿宋" w:hAnsi="仿宋" w:eastAsia="仿宋" w:cs="宋体"/>
                <w:spacing w:val="-3"/>
                <w:sz w:val="24"/>
                <w:szCs w:val="24"/>
              </w:rPr>
            </w:pPr>
            <w:r>
              <w:rPr>
                <w:rFonts w:hint="eastAsia" w:ascii="仿宋" w:hAnsi="仿宋" w:eastAsia="仿宋" w:cs="宋体"/>
                <w:spacing w:val="-3"/>
                <w:sz w:val="24"/>
                <w:szCs w:val="24"/>
              </w:rPr>
              <w:t>否</w:t>
            </w:r>
          </w:p>
        </w:tc>
      </w:tr>
    </w:tbl>
    <w:p w14:paraId="2FB05089">
      <w:pPr>
        <w:widowControl/>
        <w:shd w:val="clear" w:color="auto" w:fill="FFFFFF"/>
        <w:spacing w:line="360" w:lineRule="auto"/>
        <w:ind w:firstLine="560" w:firstLineChars="200"/>
        <w:rPr>
          <w:rFonts w:ascii="仿宋_GB2312" w:hAnsi="宋体" w:eastAsia="仿宋_GB2312" w:cs="仿宋"/>
          <w:kern w:val="0"/>
          <w:sz w:val="28"/>
          <w:szCs w:val="28"/>
          <w:shd w:val="clear" w:color="auto" w:fill="FFFFFF"/>
        </w:rPr>
      </w:pPr>
      <w:r>
        <w:rPr>
          <w:rFonts w:hint="eastAsia" w:ascii="仿宋_GB2312" w:hAnsi="宋体" w:eastAsia="仿宋_GB2312" w:cs="仿宋"/>
          <w:kern w:val="0"/>
          <w:sz w:val="28"/>
          <w:szCs w:val="28"/>
          <w:shd w:val="clear" w:color="auto" w:fill="FFFFFF"/>
        </w:rPr>
        <w:t>（三）（热台偏光显微镜）（1套）</w:t>
      </w:r>
    </w:p>
    <w:p w14:paraId="670A5C64">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1.功能要求：在可控升降温条件下，可对矿物薄片及流体包裹体进行原位观察与定量分析。</w:t>
      </w:r>
    </w:p>
    <w:p w14:paraId="138750A2">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教学上：要求支撑《岩石学》《矿相学》实验课，直观展示矿物相变、熔融等热力学现象，帮助学生理解矿物成因。</w:t>
      </w:r>
    </w:p>
    <w:p w14:paraId="492D0455">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科研上：要求精确测定流体包裹体的均一温度和冰点温度，据此计算古流体的盐度、密度和压力，为恢复成矿温度、成矿深度及流体演化历史提供核心数据支撑。</w:t>
      </w:r>
    </w:p>
    <w:p w14:paraId="5F0C1488">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2.应遵循的相关国家标准、行业标准、地方标准等标准、规范：</w:t>
      </w:r>
    </w:p>
    <w:p w14:paraId="6D7C9592">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主要遵循的国家和行业标准包括：</w:t>
      </w:r>
    </w:p>
    <w:p w14:paraId="5F82FF05">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整机要求：符合 GB/T 24665-2009《偏光显微镜》 国家标准。</w:t>
      </w:r>
    </w:p>
    <w:p w14:paraId="3F7E3BC2">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偏光系统：符合 GB/T 22061-2008《显微镜 偏光显微术的参考系统》。</w:t>
      </w:r>
    </w:p>
    <w:p w14:paraId="68C74C41">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 xml:space="preserve"> 岩矿鉴定应用：符合 DZ/T 0275.4-2015《岩矿鉴定技术规范》 系列标准。</w:t>
      </w:r>
    </w:p>
    <w:p w14:paraId="40C53E18">
      <w:pPr>
        <w:widowControl/>
        <w:shd w:val="clear" w:color="auto" w:fill="FFFFFF"/>
        <w:spacing w:line="360" w:lineRule="auto"/>
        <w:ind w:firstLine="480" w:firstLineChars="200"/>
        <w:jc w:val="left"/>
        <w:rPr>
          <w:rFonts w:hint="eastAsia" w:ascii="宋体" w:hAnsi="宋体" w:eastAsia="宋体" w:cs="宋体"/>
          <w:szCs w:val="21"/>
        </w:rPr>
      </w:pPr>
      <w:r>
        <w:rPr>
          <w:rFonts w:hint="eastAsia" w:ascii="仿宋_GB2312" w:hAnsi="宋体" w:eastAsia="仿宋_GB2312"/>
          <w:sz w:val="24"/>
          <w:szCs w:val="24"/>
        </w:rPr>
        <w:t xml:space="preserve"> 教学用途：</w:t>
      </w:r>
      <w:r>
        <w:rPr>
          <w:rFonts w:hint="eastAsia" w:ascii="宋体" w:hAnsi="宋体" w:eastAsia="宋体" w:cs="宋体"/>
          <w:szCs w:val="21"/>
        </w:rPr>
        <w:t>符合JY 0001</w:t>
      </w:r>
      <w:r>
        <w:rPr>
          <w:rFonts w:hint="eastAsia" w:ascii="宋体" w:hAnsi="宋体" w:cs="宋体"/>
          <w:szCs w:val="21"/>
        </w:rPr>
        <w:t>-2003</w:t>
      </w:r>
      <w:r>
        <w:rPr>
          <w:rFonts w:hint="eastAsia" w:ascii="宋体" w:hAnsi="宋体" w:eastAsia="宋体" w:cs="宋体"/>
          <w:szCs w:val="21"/>
        </w:rPr>
        <w:t>《教学仪器一般质量要求》等。</w:t>
      </w:r>
    </w:p>
    <w:p w14:paraId="69EBE872">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1A41536E">
      <w:pPr>
        <w:widowControl/>
        <w:shd w:val="clear" w:color="auto" w:fill="FFFFFF"/>
        <w:spacing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安装调试：中标商负责设备到货后的现场安装、调试及验收测试，验收标准依据投标技术参数及国家相关标准执行；安装调试完成后，需出具设备性能验收报告，经采购方确认签字后方视为验收合格。</w:t>
      </w:r>
    </w:p>
    <w:p w14:paraId="572A59A8">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运维服务：供应商需提供</w:t>
      </w:r>
      <w:r>
        <w:rPr>
          <w:rFonts w:hint="eastAsia" w:ascii="仿宋_GB2312" w:hAnsi="宋体" w:eastAsia="仿宋_GB2312"/>
          <w:sz w:val="24"/>
          <w:szCs w:val="24"/>
        </w:rPr>
        <w:t>3</w:t>
      </w:r>
      <w:r>
        <w:rPr>
          <w:rFonts w:ascii="仿宋_GB2312" w:hAnsi="宋体" w:eastAsia="仿宋_GB2312"/>
          <w:sz w:val="24"/>
          <w:szCs w:val="24"/>
        </w:rPr>
        <w:t>年免费整机质保，质保期内每半年开展1次现场巡检，提供原厂操作培训</w:t>
      </w:r>
      <w:r>
        <w:rPr>
          <w:rFonts w:hint="eastAsia" w:ascii="仿宋_GB2312" w:hAnsi="宋体" w:eastAsia="仿宋_GB2312"/>
          <w:sz w:val="24"/>
          <w:szCs w:val="24"/>
        </w:rPr>
        <w:t>，不限人次，根据客户需要延长培训时间，</w:t>
      </w:r>
      <w:r>
        <w:rPr>
          <w:rFonts w:ascii="仿宋_GB2312" w:hAnsi="宋体" w:eastAsia="仿宋_GB2312"/>
          <w:sz w:val="24"/>
          <w:szCs w:val="24"/>
        </w:rPr>
        <w:t>确保操作人员独立掌握设备使用及基础维护技能</w:t>
      </w:r>
      <w:r>
        <w:rPr>
          <w:rFonts w:hint="eastAsia" w:ascii="仿宋_GB2312" w:hAnsi="宋体" w:eastAsia="仿宋_GB2312"/>
          <w:sz w:val="24"/>
          <w:szCs w:val="24"/>
        </w:rPr>
        <w:t>，针对疑难问题，邀请资深应用专家提供解决方案。</w:t>
      </w:r>
    </w:p>
    <w:p w14:paraId="0EBE72CD">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升级更新：设备软件终身免费升级，硬件支持后续功能扩展，供应商需在新技术推出后30日内告知用户升级方案。</w:t>
      </w:r>
      <w:r>
        <w:rPr>
          <w:rFonts w:hint="eastAsia" w:ascii="宋体" w:hAnsi="宋体" w:cs="宋体"/>
          <w:szCs w:val="21"/>
        </w:rPr>
        <w:t>并完成后续实施。</w:t>
      </w:r>
    </w:p>
    <w:p w14:paraId="3B46E41C">
      <w:pPr>
        <w:widowControl/>
        <w:shd w:val="clear" w:color="auto" w:fill="FFFFFF"/>
        <w:spacing w:line="360" w:lineRule="auto"/>
        <w:ind w:firstLine="480" w:firstLineChars="200"/>
        <w:rPr>
          <w:rFonts w:ascii="仿宋_GB2312" w:hAnsi="宋体" w:eastAsia="仿宋_GB2312"/>
          <w:sz w:val="24"/>
          <w:szCs w:val="24"/>
        </w:rPr>
      </w:pPr>
      <w:r>
        <w:rPr>
          <w:rFonts w:ascii="仿宋_GB2312" w:hAnsi="宋体" w:eastAsia="仿宋_GB2312"/>
          <w:sz w:val="24"/>
          <w:szCs w:val="24"/>
        </w:rPr>
        <w:t>备品备件：质保期外提供全生命周期备件供应保障（承诺供应周期≥</w:t>
      </w:r>
      <w:r>
        <w:rPr>
          <w:rFonts w:hint="eastAsia" w:ascii="仿宋_GB2312" w:hAnsi="宋体" w:eastAsia="仿宋_GB2312"/>
          <w:sz w:val="24"/>
          <w:szCs w:val="24"/>
        </w:rPr>
        <w:t>5</w:t>
      </w:r>
      <w:r>
        <w:rPr>
          <w:rFonts w:ascii="仿宋_GB2312" w:hAnsi="宋体" w:eastAsia="仿宋_GB2312"/>
          <w:sz w:val="24"/>
          <w:szCs w:val="24"/>
        </w:rPr>
        <w:t>年），常用备件需在用户提出需求后</w:t>
      </w:r>
      <w:r>
        <w:rPr>
          <w:rFonts w:hint="eastAsia" w:ascii="仿宋_GB2312" w:hAnsi="宋体" w:eastAsia="仿宋_GB2312"/>
          <w:sz w:val="24"/>
          <w:szCs w:val="24"/>
        </w:rPr>
        <w:t>15</w:t>
      </w:r>
      <w:r>
        <w:rPr>
          <w:rFonts w:ascii="仿宋_GB2312" w:hAnsi="宋体" w:eastAsia="仿宋_GB2312"/>
          <w:sz w:val="24"/>
          <w:szCs w:val="24"/>
        </w:rPr>
        <w:t>个工作日内到货；提供备件价格清单，确保价格不高于市场同期水平。</w:t>
      </w:r>
    </w:p>
    <w:p w14:paraId="29A9E482">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588"/>
        <w:gridCol w:w="538"/>
        <w:gridCol w:w="4565"/>
        <w:gridCol w:w="1275"/>
      </w:tblGrid>
      <w:tr w14:paraId="674C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75B01D00">
            <w:pPr>
              <w:spacing w:line="360" w:lineRule="auto"/>
              <w:jc w:val="center"/>
              <w:rPr>
                <w:rFonts w:hint="eastAsia" w:ascii="仿宋" w:hAnsi="仿宋" w:eastAsia="仿宋"/>
                <w:b/>
                <w:sz w:val="24"/>
                <w:szCs w:val="24"/>
              </w:rPr>
            </w:pPr>
            <w:r>
              <w:rPr>
                <w:rFonts w:hint="eastAsia" w:ascii="仿宋" w:hAnsi="仿宋" w:eastAsia="仿宋"/>
                <w:b/>
                <w:sz w:val="24"/>
                <w:szCs w:val="24"/>
              </w:rPr>
              <w:t>序号</w:t>
            </w:r>
          </w:p>
        </w:tc>
        <w:tc>
          <w:tcPr>
            <w:tcW w:w="1588" w:type="dxa"/>
            <w:vAlign w:val="center"/>
          </w:tcPr>
          <w:p w14:paraId="005577AC">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指标项</w:t>
            </w:r>
          </w:p>
        </w:tc>
        <w:tc>
          <w:tcPr>
            <w:tcW w:w="538" w:type="dxa"/>
            <w:vAlign w:val="center"/>
          </w:tcPr>
          <w:p w14:paraId="69DCBFE6">
            <w:pPr>
              <w:widowControl/>
              <w:spacing w:line="360" w:lineRule="auto"/>
              <w:jc w:val="center"/>
              <w:rPr>
                <w:rFonts w:hint="eastAsia" w:ascii="仿宋" w:hAnsi="仿宋" w:eastAsia="仿宋"/>
                <w:b/>
                <w:sz w:val="24"/>
                <w:szCs w:val="24"/>
              </w:rPr>
            </w:pPr>
            <w:r>
              <w:rPr>
                <w:rFonts w:hint="eastAsia" w:ascii="仿宋" w:hAnsi="仿宋" w:eastAsia="仿宋"/>
                <w:b/>
                <w:sz w:val="24"/>
                <w:szCs w:val="24"/>
              </w:rPr>
              <w:t>重要性</w:t>
            </w:r>
          </w:p>
        </w:tc>
        <w:tc>
          <w:tcPr>
            <w:tcW w:w="4565" w:type="dxa"/>
            <w:vAlign w:val="center"/>
          </w:tcPr>
          <w:p w14:paraId="54BAC028">
            <w:pPr>
              <w:widowControl/>
              <w:spacing w:line="360" w:lineRule="auto"/>
              <w:jc w:val="center"/>
              <w:rPr>
                <w:rFonts w:hint="eastAsia" w:ascii="仿宋" w:hAnsi="仿宋" w:eastAsia="仿宋"/>
                <w:b/>
                <w:sz w:val="24"/>
                <w:szCs w:val="24"/>
              </w:rPr>
            </w:pPr>
            <w:r>
              <w:rPr>
                <w:rFonts w:hint="eastAsia" w:ascii="仿宋" w:hAnsi="仿宋" w:eastAsia="仿宋"/>
                <w:b/>
                <w:sz w:val="24"/>
                <w:szCs w:val="24"/>
              </w:rPr>
              <w:t>指标要求</w:t>
            </w:r>
          </w:p>
        </w:tc>
        <w:tc>
          <w:tcPr>
            <w:tcW w:w="1275" w:type="dxa"/>
            <w:vAlign w:val="center"/>
          </w:tcPr>
          <w:p w14:paraId="1B6AB273">
            <w:pPr>
              <w:widowControl/>
              <w:spacing w:line="360" w:lineRule="auto"/>
              <w:jc w:val="center"/>
              <w:rPr>
                <w:rFonts w:hint="eastAsia" w:ascii="仿宋" w:hAnsi="仿宋" w:eastAsia="仿宋"/>
                <w:b/>
                <w:sz w:val="24"/>
                <w:szCs w:val="24"/>
              </w:rPr>
            </w:pPr>
            <w:r>
              <w:rPr>
                <w:rFonts w:hint="eastAsia" w:ascii="仿宋" w:hAnsi="仿宋" w:eastAsia="仿宋"/>
                <w:b/>
                <w:sz w:val="24"/>
                <w:szCs w:val="24"/>
              </w:rPr>
              <w:t>证明材料要求</w:t>
            </w:r>
          </w:p>
        </w:tc>
      </w:tr>
      <w:tr w14:paraId="0DBB8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09D446B">
            <w:pPr>
              <w:spacing w:line="360" w:lineRule="auto"/>
              <w:jc w:val="center"/>
              <w:rPr>
                <w:rFonts w:hint="eastAsia" w:ascii="仿宋" w:hAnsi="仿宋" w:eastAsia="仿宋"/>
                <w:sz w:val="24"/>
                <w:szCs w:val="24"/>
              </w:rPr>
            </w:pPr>
            <w:r>
              <w:rPr>
                <w:rFonts w:hint="eastAsia" w:ascii="仿宋" w:hAnsi="仿宋" w:eastAsia="仿宋"/>
                <w:sz w:val="24"/>
                <w:szCs w:val="24"/>
              </w:rPr>
              <w:t>1</w:t>
            </w:r>
          </w:p>
        </w:tc>
        <w:tc>
          <w:tcPr>
            <w:tcW w:w="1588" w:type="dxa"/>
            <w:vAlign w:val="center"/>
          </w:tcPr>
          <w:p w14:paraId="2C567405">
            <w:pPr>
              <w:widowControl/>
              <w:spacing w:line="360" w:lineRule="auto"/>
              <w:jc w:val="center"/>
              <w:rPr>
                <w:rFonts w:hint="eastAsia" w:ascii="仿宋" w:hAnsi="仿宋" w:eastAsia="仿宋"/>
                <w:sz w:val="24"/>
                <w:szCs w:val="24"/>
              </w:rPr>
            </w:pPr>
            <w:r>
              <w:rPr>
                <w:rFonts w:hint="eastAsia" w:ascii="仿宋" w:hAnsi="仿宋" w:eastAsia="仿宋"/>
                <w:sz w:val="24"/>
                <w:szCs w:val="24"/>
              </w:rPr>
              <w:t>光学系统</w:t>
            </w:r>
          </w:p>
        </w:tc>
        <w:tc>
          <w:tcPr>
            <w:tcW w:w="538" w:type="dxa"/>
            <w:vAlign w:val="center"/>
          </w:tcPr>
          <w:p w14:paraId="0BADB1AC">
            <w:pPr>
              <w:widowControl/>
              <w:spacing w:line="360" w:lineRule="auto"/>
              <w:jc w:val="center"/>
              <w:rPr>
                <w:rFonts w:hint="eastAsia" w:ascii="仿宋" w:hAnsi="仿宋" w:eastAsia="仿宋"/>
                <w:sz w:val="24"/>
                <w:szCs w:val="24"/>
              </w:rPr>
            </w:pPr>
          </w:p>
        </w:tc>
        <w:tc>
          <w:tcPr>
            <w:tcW w:w="4565" w:type="dxa"/>
            <w:vAlign w:val="center"/>
          </w:tcPr>
          <w:p w14:paraId="2185C7E6">
            <w:pPr>
              <w:widowControl/>
              <w:spacing w:line="360" w:lineRule="auto"/>
              <w:jc w:val="left"/>
              <w:rPr>
                <w:rFonts w:hint="eastAsia" w:ascii="仿宋" w:hAnsi="仿宋" w:eastAsia="仿宋"/>
                <w:sz w:val="24"/>
                <w:szCs w:val="24"/>
              </w:rPr>
            </w:pPr>
            <w:r>
              <w:rPr>
                <w:rFonts w:hint="eastAsia" w:ascii="仿宋" w:hAnsi="仿宋" w:eastAsia="仿宋" w:cs="宋体"/>
                <w:spacing w:val="-3"/>
                <w:sz w:val="24"/>
                <w:szCs w:val="24"/>
              </w:rPr>
              <w:t>采用无限远轴向及横向色差校正及反差增强的复消色光学系统。</w:t>
            </w:r>
          </w:p>
        </w:tc>
        <w:tc>
          <w:tcPr>
            <w:tcW w:w="1275" w:type="dxa"/>
            <w:vAlign w:val="center"/>
          </w:tcPr>
          <w:p w14:paraId="24528B6D">
            <w:pPr>
              <w:widowControl/>
              <w:spacing w:line="360" w:lineRule="auto"/>
              <w:jc w:val="center"/>
              <w:rPr>
                <w:rFonts w:hint="eastAsia" w:ascii="仿宋" w:hAnsi="仿宋" w:eastAsia="仿宋"/>
                <w:sz w:val="24"/>
                <w:szCs w:val="24"/>
              </w:rPr>
            </w:pPr>
            <w:r>
              <w:rPr>
                <w:rFonts w:hint="eastAsia" w:ascii="仿宋" w:hAnsi="仿宋" w:eastAsia="仿宋"/>
                <w:sz w:val="24"/>
                <w:szCs w:val="24"/>
              </w:rPr>
              <w:t>否</w:t>
            </w:r>
          </w:p>
        </w:tc>
      </w:tr>
      <w:tr w14:paraId="4AC1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6F3638F0">
            <w:pPr>
              <w:spacing w:line="360" w:lineRule="auto"/>
              <w:jc w:val="center"/>
              <w:rPr>
                <w:rFonts w:hint="eastAsia" w:ascii="仿宋" w:hAnsi="仿宋" w:eastAsia="仿宋"/>
                <w:sz w:val="24"/>
                <w:szCs w:val="24"/>
              </w:rPr>
            </w:pPr>
            <w:r>
              <w:rPr>
                <w:rFonts w:hint="eastAsia" w:ascii="仿宋" w:hAnsi="仿宋" w:eastAsia="仿宋"/>
                <w:sz w:val="24"/>
                <w:szCs w:val="24"/>
              </w:rPr>
              <w:t>2</w:t>
            </w:r>
          </w:p>
        </w:tc>
        <w:tc>
          <w:tcPr>
            <w:tcW w:w="1588" w:type="dxa"/>
            <w:vAlign w:val="center"/>
          </w:tcPr>
          <w:p w14:paraId="0E333BA6">
            <w:pPr>
              <w:widowControl/>
              <w:spacing w:line="360" w:lineRule="auto"/>
              <w:jc w:val="center"/>
              <w:rPr>
                <w:rFonts w:hint="eastAsia" w:ascii="仿宋" w:hAnsi="仿宋" w:eastAsia="仿宋"/>
                <w:sz w:val="24"/>
                <w:szCs w:val="24"/>
              </w:rPr>
            </w:pPr>
            <w:r>
              <w:rPr>
                <w:rFonts w:hint="eastAsia" w:ascii="仿宋" w:hAnsi="仿宋" w:eastAsia="仿宋"/>
                <w:sz w:val="24"/>
                <w:szCs w:val="24"/>
              </w:rPr>
              <w:t>放大倍率及目镜</w:t>
            </w:r>
          </w:p>
        </w:tc>
        <w:tc>
          <w:tcPr>
            <w:tcW w:w="538" w:type="dxa"/>
            <w:vAlign w:val="center"/>
          </w:tcPr>
          <w:p w14:paraId="5E84131D">
            <w:pPr>
              <w:widowControl/>
              <w:spacing w:line="360" w:lineRule="auto"/>
              <w:jc w:val="center"/>
              <w:rPr>
                <w:rFonts w:hint="eastAsia" w:ascii="仿宋" w:hAnsi="仿宋" w:eastAsia="仿宋"/>
                <w:sz w:val="24"/>
                <w:szCs w:val="24"/>
              </w:rPr>
            </w:pPr>
            <w:r>
              <w:rPr>
                <w:rFonts w:hint="eastAsia" w:ascii="仿宋_GB2312" w:hAnsi="宋体" w:eastAsia="仿宋_GB2312" w:cs="宋体"/>
                <w:snapToGrid w:val="0"/>
                <w:kern w:val="0"/>
                <w:sz w:val="24"/>
                <w:szCs w:val="24"/>
                <w:lang w:val="zh-CN"/>
              </w:rPr>
              <w:t>#</w:t>
            </w:r>
          </w:p>
        </w:tc>
        <w:tc>
          <w:tcPr>
            <w:tcW w:w="4565" w:type="dxa"/>
            <w:vAlign w:val="center"/>
          </w:tcPr>
          <w:p w14:paraId="0BDE2823">
            <w:pPr>
              <w:widowControl/>
              <w:spacing w:line="360" w:lineRule="auto"/>
              <w:jc w:val="left"/>
              <w:rPr>
                <w:rFonts w:hint="eastAsia" w:ascii="仿宋" w:hAnsi="仿宋" w:eastAsia="仿宋"/>
                <w:sz w:val="24"/>
                <w:szCs w:val="24"/>
              </w:rPr>
            </w:pPr>
            <w:r>
              <w:rPr>
                <w:rFonts w:hint="eastAsia" w:ascii="仿宋" w:hAnsi="仿宋" w:eastAsia="仿宋"/>
                <w:sz w:val="24"/>
                <w:szCs w:val="24"/>
              </w:rPr>
              <w:t>总放大倍率范围50x、100x、200x（热台专用长焦）、500x（热台专用长焦）。需配置半复消色差长焦物镜不少于4支，适配冷热台观测；5x 工作距离≥12mm；10x 工作距离≥11mm；20x 工作距离≥12.1mm；50x 工作距离≥9mm；50x 物镜前端配备弹簧伸缩保护结构，防止镜片磕碰。10x一对，视场数不小于23，其中一只目镜带有测微尺。</w:t>
            </w:r>
          </w:p>
        </w:tc>
        <w:tc>
          <w:tcPr>
            <w:tcW w:w="1275" w:type="dxa"/>
            <w:vAlign w:val="center"/>
          </w:tcPr>
          <w:p w14:paraId="64B69011">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BFE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930726C">
            <w:pPr>
              <w:spacing w:line="360" w:lineRule="auto"/>
              <w:jc w:val="center"/>
              <w:rPr>
                <w:rFonts w:hint="eastAsia" w:ascii="仿宋" w:hAnsi="仿宋" w:eastAsia="仿宋"/>
                <w:sz w:val="24"/>
                <w:szCs w:val="24"/>
              </w:rPr>
            </w:pPr>
            <w:r>
              <w:rPr>
                <w:rFonts w:hint="eastAsia" w:ascii="仿宋" w:hAnsi="仿宋" w:eastAsia="仿宋"/>
                <w:sz w:val="24"/>
                <w:szCs w:val="24"/>
              </w:rPr>
              <w:t>3</w:t>
            </w:r>
          </w:p>
        </w:tc>
        <w:tc>
          <w:tcPr>
            <w:tcW w:w="1588" w:type="dxa"/>
            <w:vAlign w:val="center"/>
          </w:tcPr>
          <w:p w14:paraId="22A261C4">
            <w:pPr>
              <w:widowControl/>
              <w:spacing w:line="360" w:lineRule="auto"/>
              <w:jc w:val="center"/>
              <w:rPr>
                <w:rFonts w:hint="eastAsia" w:ascii="仿宋" w:hAnsi="仿宋" w:eastAsia="仿宋"/>
                <w:sz w:val="24"/>
                <w:szCs w:val="24"/>
              </w:rPr>
            </w:pPr>
            <w:r>
              <w:rPr>
                <w:rFonts w:hint="eastAsia" w:ascii="仿宋" w:hAnsi="仿宋" w:eastAsia="仿宋"/>
                <w:sz w:val="24"/>
                <w:szCs w:val="24"/>
              </w:rPr>
              <w:t>反射光功能转盘</w:t>
            </w:r>
          </w:p>
        </w:tc>
        <w:tc>
          <w:tcPr>
            <w:tcW w:w="538" w:type="dxa"/>
            <w:vAlign w:val="center"/>
          </w:tcPr>
          <w:p w14:paraId="4A8D6F73">
            <w:pPr>
              <w:widowControl/>
              <w:spacing w:line="360" w:lineRule="auto"/>
              <w:jc w:val="center"/>
              <w:rPr>
                <w:rFonts w:hint="eastAsia" w:ascii="仿宋" w:hAnsi="仿宋" w:eastAsia="仿宋"/>
                <w:sz w:val="24"/>
                <w:szCs w:val="24"/>
              </w:rPr>
            </w:pPr>
            <w:r>
              <w:rPr>
                <w:rFonts w:hint="eastAsia" w:ascii="仿宋_GB2312" w:hAnsi="宋体" w:eastAsia="仿宋_GB2312" w:cs="宋体"/>
                <w:snapToGrid w:val="0"/>
                <w:kern w:val="0"/>
                <w:sz w:val="24"/>
                <w:szCs w:val="24"/>
                <w:lang w:val="zh-CN"/>
              </w:rPr>
              <w:t>★</w:t>
            </w:r>
          </w:p>
        </w:tc>
        <w:tc>
          <w:tcPr>
            <w:tcW w:w="4565" w:type="dxa"/>
            <w:vAlign w:val="center"/>
          </w:tcPr>
          <w:p w14:paraId="2EF9610D">
            <w:pPr>
              <w:widowControl/>
              <w:spacing w:line="360" w:lineRule="auto"/>
              <w:jc w:val="left"/>
              <w:rPr>
                <w:rFonts w:hint="eastAsia" w:ascii="仿宋" w:hAnsi="仿宋" w:eastAsia="仿宋"/>
                <w:sz w:val="24"/>
                <w:szCs w:val="24"/>
              </w:rPr>
            </w:pPr>
            <w:r>
              <w:rPr>
                <w:rFonts w:hint="eastAsia" w:ascii="仿宋" w:hAnsi="仿宋" w:eastAsia="仿宋"/>
                <w:sz w:val="24"/>
                <w:szCs w:val="24"/>
              </w:rPr>
              <w:t>不小于6位可电动切换的反射光功能转盘，且具备编码功能，软件可实时读取显微镜当前观察模式。</w:t>
            </w:r>
          </w:p>
        </w:tc>
        <w:tc>
          <w:tcPr>
            <w:tcW w:w="1275" w:type="dxa"/>
            <w:vAlign w:val="center"/>
          </w:tcPr>
          <w:p w14:paraId="300CF422">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575F5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6FE61234">
            <w:pPr>
              <w:spacing w:line="360" w:lineRule="auto"/>
              <w:jc w:val="center"/>
              <w:rPr>
                <w:rFonts w:hint="eastAsia" w:ascii="仿宋" w:hAnsi="仿宋" w:eastAsia="仿宋"/>
                <w:sz w:val="24"/>
                <w:szCs w:val="24"/>
              </w:rPr>
            </w:pPr>
            <w:r>
              <w:rPr>
                <w:rFonts w:hint="eastAsia" w:ascii="仿宋" w:hAnsi="仿宋" w:eastAsia="仿宋"/>
                <w:sz w:val="24"/>
                <w:szCs w:val="24"/>
              </w:rPr>
              <w:t>4</w:t>
            </w:r>
          </w:p>
        </w:tc>
        <w:tc>
          <w:tcPr>
            <w:tcW w:w="1588" w:type="dxa"/>
            <w:vAlign w:val="center"/>
          </w:tcPr>
          <w:p w14:paraId="6855517F">
            <w:pPr>
              <w:widowControl/>
              <w:spacing w:line="360" w:lineRule="auto"/>
              <w:jc w:val="center"/>
              <w:rPr>
                <w:rFonts w:hint="eastAsia" w:ascii="仿宋" w:hAnsi="仿宋" w:eastAsia="仿宋"/>
                <w:sz w:val="24"/>
                <w:szCs w:val="24"/>
              </w:rPr>
            </w:pPr>
            <w:r>
              <w:rPr>
                <w:rFonts w:hint="eastAsia" w:ascii="仿宋" w:hAnsi="仿宋" w:eastAsia="仿宋"/>
                <w:sz w:val="24"/>
                <w:szCs w:val="24"/>
              </w:rPr>
              <w:t>观察模式</w:t>
            </w:r>
          </w:p>
        </w:tc>
        <w:tc>
          <w:tcPr>
            <w:tcW w:w="538" w:type="dxa"/>
            <w:vAlign w:val="center"/>
          </w:tcPr>
          <w:p w14:paraId="2C2451AD">
            <w:pPr>
              <w:widowControl/>
              <w:spacing w:line="360" w:lineRule="auto"/>
              <w:jc w:val="center"/>
              <w:rPr>
                <w:rFonts w:hint="eastAsia" w:ascii="仿宋" w:hAnsi="仿宋" w:eastAsia="仿宋"/>
                <w:sz w:val="24"/>
                <w:szCs w:val="24"/>
              </w:rPr>
            </w:pPr>
          </w:p>
        </w:tc>
        <w:tc>
          <w:tcPr>
            <w:tcW w:w="4565" w:type="dxa"/>
            <w:vAlign w:val="center"/>
          </w:tcPr>
          <w:p w14:paraId="085E19D7">
            <w:pPr>
              <w:pStyle w:val="13"/>
              <w:kinsoku w:val="0"/>
              <w:overflowPunct w:val="0"/>
              <w:spacing w:line="360" w:lineRule="auto"/>
              <w:rPr>
                <w:rFonts w:hint="eastAsia" w:ascii="仿宋" w:hAnsi="仿宋" w:eastAsia="仿宋" w:cstheme="minorBidi"/>
                <w:kern w:val="2"/>
              </w:rPr>
            </w:pPr>
            <w:r>
              <w:rPr>
                <w:rFonts w:hint="eastAsia" w:ascii="仿宋" w:hAnsi="仿宋" w:eastAsia="仿宋" w:cstheme="minorBidi"/>
                <w:kern w:val="2"/>
              </w:rPr>
              <w:t>具备透反射明场及单偏光、正交偏光等模式，且要求偏光角度均可调。</w:t>
            </w:r>
          </w:p>
        </w:tc>
        <w:tc>
          <w:tcPr>
            <w:tcW w:w="1275" w:type="dxa"/>
            <w:vAlign w:val="center"/>
          </w:tcPr>
          <w:p w14:paraId="1D12053B">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07F95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09DA816">
            <w:pPr>
              <w:spacing w:line="360" w:lineRule="auto"/>
              <w:jc w:val="center"/>
              <w:rPr>
                <w:rFonts w:hint="eastAsia" w:ascii="仿宋" w:hAnsi="仿宋" w:eastAsia="仿宋"/>
                <w:sz w:val="24"/>
                <w:szCs w:val="24"/>
              </w:rPr>
            </w:pPr>
            <w:r>
              <w:rPr>
                <w:rFonts w:hint="eastAsia" w:ascii="仿宋" w:hAnsi="仿宋" w:eastAsia="仿宋"/>
                <w:sz w:val="24"/>
                <w:szCs w:val="24"/>
              </w:rPr>
              <w:t>5</w:t>
            </w:r>
          </w:p>
        </w:tc>
        <w:tc>
          <w:tcPr>
            <w:tcW w:w="1588" w:type="dxa"/>
            <w:vAlign w:val="center"/>
          </w:tcPr>
          <w:p w14:paraId="3B461315">
            <w:pPr>
              <w:widowControl/>
              <w:spacing w:line="360" w:lineRule="auto"/>
              <w:jc w:val="center"/>
              <w:rPr>
                <w:rFonts w:hint="eastAsia" w:ascii="仿宋" w:hAnsi="仿宋" w:eastAsia="仿宋"/>
                <w:sz w:val="24"/>
                <w:szCs w:val="24"/>
              </w:rPr>
            </w:pPr>
            <w:r>
              <w:rPr>
                <w:rFonts w:hint="eastAsia" w:ascii="仿宋" w:hAnsi="仿宋" w:eastAsia="仿宋"/>
                <w:sz w:val="24"/>
                <w:szCs w:val="24"/>
              </w:rPr>
              <w:t>样品高度</w:t>
            </w:r>
          </w:p>
        </w:tc>
        <w:tc>
          <w:tcPr>
            <w:tcW w:w="538" w:type="dxa"/>
            <w:vAlign w:val="center"/>
          </w:tcPr>
          <w:p w14:paraId="0A56E43A">
            <w:pPr>
              <w:widowControl/>
              <w:spacing w:line="360" w:lineRule="auto"/>
              <w:jc w:val="center"/>
              <w:rPr>
                <w:rFonts w:hint="eastAsia" w:ascii="仿宋" w:hAnsi="仿宋" w:eastAsia="仿宋"/>
                <w:sz w:val="24"/>
                <w:szCs w:val="24"/>
              </w:rPr>
            </w:pPr>
            <w:r>
              <w:rPr>
                <w:rFonts w:hint="eastAsia" w:ascii="仿宋_GB2312" w:hAnsi="宋体" w:eastAsia="仿宋_GB2312" w:cs="宋体"/>
                <w:snapToGrid w:val="0"/>
                <w:kern w:val="0"/>
                <w:sz w:val="24"/>
                <w:szCs w:val="24"/>
                <w:lang w:val="zh-CN"/>
              </w:rPr>
              <w:t>★</w:t>
            </w:r>
          </w:p>
        </w:tc>
        <w:tc>
          <w:tcPr>
            <w:tcW w:w="4565" w:type="dxa"/>
            <w:vAlign w:val="center"/>
          </w:tcPr>
          <w:p w14:paraId="427E2A9C">
            <w:pPr>
              <w:widowControl/>
              <w:spacing w:line="360" w:lineRule="auto"/>
              <w:jc w:val="left"/>
              <w:rPr>
                <w:rFonts w:hint="eastAsia" w:ascii="仿宋" w:hAnsi="仿宋" w:eastAsia="仿宋"/>
                <w:sz w:val="24"/>
                <w:szCs w:val="24"/>
              </w:rPr>
            </w:pPr>
            <w:r>
              <w:rPr>
                <w:rFonts w:hint="eastAsia" w:ascii="仿宋" w:hAnsi="仿宋" w:eastAsia="仿宋"/>
                <w:sz w:val="24"/>
                <w:szCs w:val="24"/>
              </w:rPr>
              <w:t>不小于110mm。</w:t>
            </w:r>
          </w:p>
        </w:tc>
        <w:tc>
          <w:tcPr>
            <w:tcW w:w="1275" w:type="dxa"/>
            <w:vAlign w:val="center"/>
          </w:tcPr>
          <w:p w14:paraId="7D357C95">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0B5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4C370B3">
            <w:pPr>
              <w:spacing w:line="360" w:lineRule="auto"/>
              <w:jc w:val="center"/>
              <w:rPr>
                <w:rFonts w:hint="eastAsia" w:ascii="仿宋" w:hAnsi="仿宋" w:eastAsia="仿宋"/>
                <w:sz w:val="24"/>
                <w:szCs w:val="24"/>
              </w:rPr>
            </w:pPr>
            <w:r>
              <w:rPr>
                <w:rFonts w:hint="eastAsia" w:ascii="仿宋" w:hAnsi="仿宋" w:eastAsia="仿宋"/>
                <w:sz w:val="24"/>
                <w:szCs w:val="24"/>
              </w:rPr>
              <w:t>6</w:t>
            </w:r>
          </w:p>
        </w:tc>
        <w:tc>
          <w:tcPr>
            <w:tcW w:w="1588" w:type="dxa"/>
            <w:vAlign w:val="center"/>
          </w:tcPr>
          <w:p w14:paraId="58C7323B">
            <w:pPr>
              <w:widowControl/>
              <w:spacing w:line="360" w:lineRule="auto"/>
              <w:jc w:val="center"/>
              <w:rPr>
                <w:rFonts w:hint="eastAsia" w:ascii="仿宋" w:hAnsi="仿宋" w:eastAsia="仿宋"/>
                <w:sz w:val="24"/>
                <w:szCs w:val="24"/>
              </w:rPr>
            </w:pPr>
            <w:r>
              <w:rPr>
                <w:rFonts w:hint="eastAsia" w:ascii="仿宋" w:hAnsi="仿宋" w:eastAsia="仿宋"/>
                <w:sz w:val="24"/>
                <w:szCs w:val="24"/>
              </w:rPr>
              <w:t>智能控制系统</w:t>
            </w:r>
          </w:p>
        </w:tc>
        <w:tc>
          <w:tcPr>
            <w:tcW w:w="538" w:type="dxa"/>
            <w:vAlign w:val="center"/>
          </w:tcPr>
          <w:p w14:paraId="6CDEEBE7">
            <w:pPr>
              <w:widowControl/>
              <w:spacing w:line="360" w:lineRule="auto"/>
              <w:jc w:val="center"/>
              <w:rPr>
                <w:rFonts w:hint="eastAsia" w:ascii="仿宋" w:hAnsi="仿宋" w:eastAsia="仿宋"/>
                <w:sz w:val="24"/>
                <w:szCs w:val="24"/>
              </w:rPr>
            </w:pPr>
          </w:p>
        </w:tc>
        <w:tc>
          <w:tcPr>
            <w:tcW w:w="4565" w:type="dxa"/>
            <w:vAlign w:val="center"/>
          </w:tcPr>
          <w:p w14:paraId="3F0D0164">
            <w:pPr>
              <w:widowControl/>
              <w:spacing w:line="360" w:lineRule="auto"/>
              <w:jc w:val="left"/>
              <w:rPr>
                <w:rFonts w:hint="eastAsia" w:ascii="仿宋" w:hAnsi="仿宋" w:eastAsia="仿宋"/>
                <w:sz w:val="24"/>
                <w:szCs w:val="24"/>
              </w:rPr>
            </w:pPr>
            <w:r>
              <w:rPr>
                <w:rFonts w:ascii="仿宋" w:hAnsi="仿宋" w:eastAsia="仿宋"/>
                <w:sz w:val="24"/>
                <w:szCs w:val="24"/>
              </w:rPr>
              <w:t>放大倍数、</w:t>
            </w:r>
            <w:r>
              <w:rPr>
                <w:rFonts w:hint="eastAsia" w:ascii="仿宋" w:hAnsi="仿宋" w:eastAsia="仿宋"/>
                <w:sz w:val="24"/>
                <w:szCs w:val="24"/>
              </w:rPr>
              <w:t>观察方式、标尺自动识别；光强记忆，自动调整；具有E</w:t>
            </w:r>
            <w:r>
              <w:rPr>
                <w:rFonts w:ascii="仿宋" w:hAnsi="仿宋" w:eastAsia="仿宋"/>
                <w:sz w:val="24"/>
                <w:szCs w:val="24"/>
              </w:rPr>
              <w:t>CO</w:t>
            </w:r>
            <w:r>
              <w:rPr>
                <w:rFonts w:hint="eastAsia" w:ascii="仿宋" w:hAnsi="仿宋" w:eastAsia="仿宋"/>
                <w:sz w:val="24"/>
                <w:szCs w:val="24"/>
              </w:rPr>
              <w:t>环保模式，延长显微镜使用寿命。</w:t>
            </w:r>
          </w:p>
        </w:tc>
        <w:tc>
          <w:tcPr>
            <w:tcW w:w="1275" w:type="dxa"/>
            <w:vAlign w:val="center"/>
          </w:tcPr>
          <w:p w14:paraId="70FB388F">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4FAB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7B940EB">
            <w:pPr>
              <w:spacing w:line="360" w:lineRule="auto"/>
              <w:jc w:val="center"/>
              <w:rPr>
                <w:rFonts w:hint="eastAsia" w:ascii="仿宋" w:hAnsi="仿宋" w:eastAsia="仿宋"/>
                <w:sz w:val="24"/>
                <w:szCs w:val="24"/>
              </w:rPr>
            </w:pPr>
            <w:r>
              <w:rPr>
                <w:rFonts w:hint="eastAsia" w:ascii="仿宋" w:hAnsi="仿宋" w:eastAsia="仿宋"/>
                <w:sz w:val="24"/>
                <w:szCs w:val="24"/>
              </w:rPr>
              <w:t>7</w:t>
            </w:r>
          </w:p>
        </w:tc>
        <w:tc>
          <w:tcPr>
            <w:tcW w:w="1588" w:type="dxa"/>
            <w:vAlign w:val="center"/>
          </w:tcPr>
          <w:p w14:paraId="68FC21DA">
            <w:pPr>
              <w:widowControl/>
              <w:spacing w:line="360" w:lineRule="auto"/>
              <w:jc w:val="center"/>
              <w:rPr>
                <w:rFonts w:hint="eastAsia" w:ascii="仿宋" w:hAnsi="仿宋" w:eastAsia="仿宋"/>
                <w:sz w:val="24"/>
                <w:szCs w:val="24"/>
              </w:rPr>
            </w:pPr>
            <w:r>
              <w:rPr>
                <w:rFonts w:hint="eastAsia" w:ascii="仿宋" w:hAnsi="仿宋" w:eastAsia="仿宋"/>
                <w:sz w:val="24"/>
                <w:szCs w:val="24"/>
              </w:rPr>
              <w:t>聚光镜</w:t>
            </w:r>
          </w:p>
        </w:tc>
        <w:tc>
          <w:tcPr>
            <w:tcW w:w="538" w:type="dxa"/>
            <w:vAlign w:val="center"/>
          </w:tcPr>
          <w:p w14:paraId="2BABA806">
            <w:pPr>
              <w:widowControl/>
              <w:spacing w:line="360" w:lineRule="auto"/>
              <w:jc w:val="center"/>
              <w:rPr>
                <w:rFonts w:hint="eastAsia" w:ascii="仿宋" w:hAnsi="仿宋" w:eastAsia="仿宋"/>
                <w:sz w:val="24"/>
                <w:szCs w:val="24"/>
              </w:rPr>
            </w:pPr>
          </w:p>
        </w:tc>
        <w:tc>
          <w:tcPr>
            <w:tcW w:w="4565" w:type="dxa"/>
            <w:vAlign w:val="center"/>
          </w:tcPr>
          <w:p w14:paraId="7359C35F">
            <w:pPr>
              <w:widowControl/>
              <w:spacing w:line="360" w:lineRule="auto"/>
              <w:jc w:val="left"/>
              <w:rPr>
                <w:rFonts w:hint="eastAsia" w:ascii="仿宋" w:hAnsi="仿宋" w:eastAsia="仿宋"/>
                <w:sz w:val="24"/>
                <w:szCs w:val="24"/>
              </w:rPr>
            </w:pPr>
            <w:r>
              <w:rPr>
                <w:rFonts w:hint="eastAsia" w:ascii="仿宋" w:hAnsi="仿宋" w:eastAsia="仿宋"/>
                <w:sz w:val="24"/>
                <w:szCs w:val="24"/>
              </w:rPr>
              <w:t>要求消色差消球差万能聚光镜，数值孔径不小于0.90。</w:t>
            </w:r>
          </w:p>
        </w:tc>
        <w:tc>
          <w:tcPr>
            <w:tcW w:w="1275" w:type="dxa"/>
            <w:vAlign w:val="center"/>
          </w:tcPr>
          <w:p w14:paraId="55A90181">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8832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6D59F21">
            <w:pPr>
              <w:spacing w:line="360" w:lineRule="auto"/>
              <w:jc w:val="center"/>
              <w:rPr>
                <w:rFonts w:hint="eastAsia" w:ascii="仿宋" w:hAnsi="仿宋" w:eastAsia="仿宋"/>
                <w:sz w:val="24"/>
                <w:szCs w:val="24"/>
              </w:rPr>
            </w:pPr>
            <w:r>
              <w:rPr>
                <w:rFonts w:hint="eastAsia" w:ascii="仿宋" w:hAnsi="仿宋" w:eastAsia="仿宋"/>
                <w:sz w:val="24"/>
                <w:szCs w:val="24"/>
              </w:rPr>
              <w:t>8</w:t>
            </w:r>
          </w:p>
        </w:tc>
        <w:tc>
          <w:tcPr>
            <w:tcW w:w="1588" w:type="dxa"/>
            <w:vAlign w:val="center"/>
          </w:tcPr>
          <w:p w14:paraId="4C4674E7">
            <w:pPr>
              <w:widowControl/>
              <w:spacing w:line="360" w:lineRule="auto"/>
              <w:jc w:val="center"/>
              <w:rPr>
                <w:rFonts w:hint="eastAsia" w:ascii="仿宋" w:hAnsi="仿宋" w:eastAsia="仿宋"/>
                <w:sz w:val="24"/>
                <w:szCs w:val="24"/>
              </w:rPr>
            </w:pPr>
            <w:r>
              <w:rPr>
                <w:rFonts w:hint="eastAsia" w:ascii="仿宋" w:hAnsi="仿宋" w:eastAsia="仿宋"/>
                <w:sz w:val="24"/>
                <w:szCs w:val="24"/>
              </w:rPr>
              <w:t>物镜转换器</w:t>
            </w:r>
          </w:p>
        </w:tc>
        <w:tc>
          <w:tcPr>
            <w:tcW w:w="538" w:type="dxa"/>
            <w:vAlign w:val="center"/>
          </w:tcPr>
          <w:p w14:paraId="45FF996F">
            <w:pPr>
              <w:widowControl/>
              <w:spacing w:line="360" w:lineRule="auto"/>
              <w:jc w:val="center"/>
              <w:rPr>
                <w:rFonts w:hint="eastAsia" w:ascii="仿宋" w:hAnsi="仿宋" w:eastAsia="仿宋"/>
                <w:sz w:val="24"/>
                <w:szCs w:val="24"/>
              </w:rPr>
            </w:pPr>
            <w:r>
              <w:rPr>
                <w:rFonts w:hint="eastAsia" w:ascii="仿宋_GB2312" w:hAnsi="宋体" w:eastAsia="仿宋_GB2312" w:cs="宋体"/>
                <w:snapToGrid w:val="0"/>
                <w:kern w:val="0"/>
                <w:sz w:val="24"/>
                <w:szCs w:val="24"/>
                <w:lang w:val="zh-CN"/>
              </w:rPr>
              <w:t>#</w:t>
            </w:r>
          </w:p>
        </w:tc>
        <w:tc>
          <w:tcPr>
            <w:tcW w:w="4565" w:type="dxa"/>
            <w:vAlign w:val="center"/>
          </w:tcPr>
          <w:p w14:paraId="79AE1728">
            <w:pPr>
              <w:widowControl/>
              <w:spacing w:line="360" w:lineRule="auto"/>
              <w:jc w:val="left"/>
              <w:rPr>
                <w:rFonts w:hint="eastAsia" w:ascii="仿宋" w:hAnsi="仿宋" w:eastAsia="仿宋"/>
                <w:sz w:val="24"/>
                <w:szCs w:val="24"/>
              </w:rPr>
            </w:pPr>
            <w:r>
              <w:rPr>
                <w:rFonts w:hint="eastAsia" w:ascii="仿宋" w:hAnsi="仿宋" w:eastAsia="仿宋"/>
                <w:sz w:val="24"/>
                <w:szCs w:val="24"/>
              </w:rPr>
              <w:t>不小于6孔编码式物镜转盘，且均可对中调节。软件可实时读取显微镜当前放大倍率。</w:t>
            </w:r>
          </w:p>
        </w:tc>
        <w:tc>
          <w:tcPr>
            <w:tcW w:w="1275" w:type="dxa"/>
            <w:vAlign w:val="center"/>
          </w:tcPr>
          <w:p w14:paraId="26BB3F96">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010B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59793162">
            <w:pPr>
              <w:spacing w:line="360" w:lineRule="auto"/>
              <w:jc w:val="center"/>
              <w:rPr>
                <w:rFonts w:hint="eastAsia" w:ascii="仿宋" w:hAnsi="仿宋" w:eastAsia="仿宋"/>
                <w:sz w:val="24"/>
                <w:szCs w:val="24"/>
              </w:rPr>
            </w:pPr>
            <w:r>
              <w:rPr>
                <w:rFonts w:hint="eastAsia" w:ascii="仿宋" w:hAnsi="仿宋" w:eastAsia="仿宋"/>
                <w:sz w:val="24"/>
                <w:szCs w:val="24"/>
              </w:rPr>
              <w:t>9</w:t>
            </w:r>
          </w:p>
        </w:tc>
        <w:tc>
          <w:tcPr>
            <w:tcW w:w="1588" w:type="dxa"/>
            <w:vAlign w:val="center"/>
          </w:tcPr>
          <w:p w14:paraId="19685971">
            <w:pPr>
              <w:widowControl/>
              <w:spacing w:line="360" w:lineRule="auto"/>
              <w:jc w:val="center"/>
              <w:rPr>
                <w:rFonts w:hint="eastAsia" w:ascii="仿宋" w:hAnsi="仿宋" w:eastAsia="仿宋"/>
                <w:sz w:val="24"/>
                <w:szCs w:val="24"/>
              </w:rPr>
            </w:pPr>
            <w:r>
              <w:rPr>
                <w:rFonts w:hint="eastAsia" w:ascii="仿宋" w:hAnsi="仿宋" w:eastAsia="仿宋"/>
                <w:sz w:val="24"/>
                <w:szCs w:val="24"/>
              </w:rPr>
              <w:t>彩色相机</w:t>
            </w:r>
          </w:p>
        </w:tc>
        <w:tc>
          <w:tcPr>
            <w:tcW w:w="538" w:type="dxa"/>
            <w:vAlign w:val="center"/>
          </w:tcPr>
          <w:p w14:paraId="533BF98C">
            <w:pPr>
              <w:widowControl/>
              <w:spacing w:line="360" w:lineRule="auto"/>
              <w:jc w:val="center"/>
              <w:rPr>
                <w:rFonts w:hint="eastAsia" w:ascii="仿宋" w:hAnsi="仿宋" w:eastAsia="仿宋"/>
                <w:sz w:val="24"/>
                <w:szCs w:val="24"/>
              </w:rPr>
            </w:pPr>
          </w:p>
        </w:tc>
        <w:tc>
          <w:tcPr>
            <w:tcW w:w="4565" w:type="dxa"/>
            <w:vAlign w:val="center"/>
          </w:tcPr>
          <w:p w14:paraId="3EE16439">
            <w:pPr>
              <w:widowControl/>
              <w:spacing w:line="360" w:lineRule="auto"/>
              <w:jc w:val="left"/>
              <w:rPr>
                <w:rFonts w:hint="eastAsia" w:ascii="仿宋" w:hAnsi="仿宋" w:eastAsia="仿宋"/>
                <w:sz w:val="24"/>
                <w:szCs w:val="24"/>
              </w:rPr>
            </w:pPr>
            <w:r>
              <w:rPr>
                <w:rFonts w:hint="eastAsia" w:ascii="仿宋" w:hAnsi="仿宋" w:eastAsia="仿宋"/>
                <w:sz w:val="24"/>
                <w:szCs w:val="24"/>
              </w:rPr>
              <w:t>同品牌原厂彩色相机，有效像素不低于1230万，分辨率不低于4032x3044，带有制冷功能，最高采集帧率不小于30fps。</w:t>
            </w:r>
          </w:p>
        </w:tc>
        <w:tc>
          <w:tcPr>
            <w:tcW w:w="1275" w:type="dxa"/>
            <w:vAlign w:val="center"/>
          </w:tcPr>
          <w:p w14:paraId="67CEBBEA">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0535D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44376BE0">
            <w:pPr>
              <w:spacing w:line="360" w:lineRule="auto"/>
              <w:jc w:val="center"/>
              <w:rPr>
                <w:rFonts w:hint="eastAsia" w:ascii="仿宋" w:hAnsi="仿宋" w:eastAsia="仿宋"/>
                <w:sz w:val="24"/>
                <w:szCs w:val="24"/>
              </w:rPr>
            </w:pPr>
            <w:r>
              <w:rPr>
                <w:rFonts w:hint="eastAsia" w:ascii="仿宋" w:hAnsi="仿宋" w:eastAsia="仿宋"/>
                <w:sz w:val="24"/>
                <w:szCs w:val="24"/>
              </w:rPr>
              <w:t>10</w:t>
            </w:r>
          </w:p>
        </w:tc>
        <w:tc>
          <w:tcPr>
            <w:tcW w:w="1588" w:type="dxa"/>
            <w:vAlign w:val="center"/>
          </w:tcPr>
          <w:p w14:paraId="1D324F76">
            <w:pPr>
              <w:widowControl/>
              <w:spacing w:line="360" w:lineRule="auto"/>
              <w:rPr>
                <w:rFonts w:hint="eastAsia" w:ascii="仿宋" w:hAnsi="仿宋" w:eastAsia="仿宋"/>
                <w:sz w:val="24"/>
                <w:szCs w:val="24"/>
              </w:rPr>
            </w:pPr>
            <w:r>
              <w:rPr>
                <w:rFonts w:hint="eastAsia" w:ascii="仿宋" w:hAnsi="仿宋" w:eastAsia="仿宋"/>
                <w:sz w:val="24"/>
                <w:szCs w:val="24"/>
              </w:rPr>
              <w:t>图形采集软件</w:t>
            </w:r>
          </w:p>
        </w:tc>
        <w:tc>
          <w:tcPr>
            <w:tcW w:w="538" w:type="dxa"/>
            <w:vAlign w:val="center"/>
          </w:tcPr>
          <w:p w14:paraId="2E1F3411">
            <w:pPr>
              <w:widowControl/>
              <w:spacing w:line="360" w:lineRule="auto"/>
              <w:jc w:val="center"/>
              <w:rPr>
                <w:rFonts w:hint="eastAsia" w:ascii="仿宋" w:hAnsi="仿宋" w:eastAsia="仿宋"/>
                <w:sz w:val="24"/>
                <w:szCs w:val="24"/>
              </w:rPr>
            </w:pPr>
          </w:p>
        </w:tc>
        <w:tc>
          <w:tcPr>
            <w:tcW w:w="4565" w:type="dxa"/>
            <w:vAlign w:val="center"/>
          </w:tcPr>
          <w:p w14:paraId="7E1D2D9D">
            <w:pPr>
              <w:pStyle w:val="13"/>
              <w:kinsoku w:val="0"/>
              <w:overflowPunct w:val="0"/>
              <w:spacing w:line="360" w:lineRule="auto"/>
              <w:rPr>
                <w:rFonts w:hint="eastAsia" w:ascii="仿宋" w:hAnsi="仿宋" w:eastAsia="仿宋" w:cstheme="minorBidi"/>
                <w:kern w:val="2"/>
              </w:rPr>
            </w:pPr>
            <w:r>
              <w:rPr>
                <w:rFonts w:hint="eastAsia" w:ascii="仿宋" w:hAnsi="仿宋" w:eastAsia="仿宋" w:cstheme="minorBidi"/>
                <w:kern w:val="2"/>
              </w:rPr>
              <w:t>原厂专业图像采集分析软件，软件可自动识别物镜并自动加载对应标尺，并可实现视频录制、景深扩展、图像拼接等图像拍摄功能；可对图像进行二维测量，标注自动叠加比例尺、图像对比等功能。</w:t>
            </w:r>
          </w:p>
        </w:tc>
        <w:tc>
          <w:tcPr>
            <w:tcW w:w="1275" w:type="dxa"/>
            <w:vAlign w:val="center"/>
          </w:tcPr>
          <w:p w14:paraId="406BDE24">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1926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7DE6F0B2">
            <w:pPr>
              <w:spacing w:line="360" w:lineRule="auto"/>
              <w:jc w:val="center"/>
              <w:rPr>
                <w:rFonts w:hint="eastAsia" w:ascii="仿宋" w:hAnsi="仿宋" w:eastAsia="仿宋"/>
                <w:sz w:val="24"/>
                <w:szCs w:val="24"/>
              </w:rPr>
            </w:pPr>
            <w:r>
              <w:rPr>
                <w:rFonts w:hint="eastAsia" w:ascii="仿宋" w:hAnsi="仿宋" w:eastAsia="仿宋"/>
                <w:sz w:val="24"/>
                <w:szCs w:val="24"/>
              </w:rPr>
              <w:t>11</w:t>
            </w:r>
          </w:p>
        </w:tc>
        <w:tc>
          <w:tcPr>
            <w:tcW w:w="1588" w:type="dxa"/>
            <w:vAlign w:val="center"/>
          </w:tcPr>
          <w:p w14:paraId="1FACE902">
            <w:pPr>
              <w:widowControl/>
              <w:spacing w:line="360" w:lineRule="auto"/>
              <w:jc w:val="center"/>
              <w:rPr>
                <w:rFonts w:hint="eastAsia" w:ascii="仿宋" w:hAnsi="仿宋" w:eastAsia="仿宋"/>
                <w:sz w:val="24"/>
                <w:szCs w:val="24"/>
              </w:rPr>
            </w:pPr>
            <w:r>
              <w:rPr>
                <w:rFonts w:hint="eastAsia" w:ascii="仿宋" w:hAnsi="仿宋" w:eastAsia="仿宋"/>
                <w:sz w:val="24"/>
                <w:szCs w:val="24"/>
              </w:rPr>
              <w:t>偏光载物台</w:t>
            </w:r>
          </w:p>
        </w:tc>
        <w:tc>
          <w:tcPr>
            <w:tcW w:w="538" w:type="dxa"/>
            <w:vAlign w:val="center"/>
          </w:tcPr>
          <w:p w14:paraId="4773AD72">
            <w:pPr>
              <w:widowControl/>
              <w:spacing w:line="360" w:lineRule="auto"/>
              <w:jc w:val="center"/>
              <w:rPr>
                <w:rFonts w:hint="eastAsia" w:ascii="仿宋" w:hAnsi="仿宋" w:eastAsia="仿宋"/>
                <w:sz w:val="24"/>
                <w:szCs w:val="24"/>
              </w:rPr>
            </w:pPr>
          </w:p>
        </w:tc>
        <w:tc>
          <w:tcPr>
            <w:tcW w:w="4565" w:type="dxa"/>
            <w:vAlign w:val="center"/>
          </w:tcPr>
          <w:p w14:paraId="3BD1BF56">
            <w:pPr>
              <w:widowControl/>
              <w:spacing w:line="360" w:lineRule="auto"/>
              <w:jc w:val="left"/>
              <w:rPr>
                <w:rFonts w:hint="eastAsia" w:ascii="仿宋" w:hAnsi="仿宋" w:eastAsia="仿宋"/>
                <w:sz w:val="24"/>
                <w:szCs w:val="24"/>
              </w:rPr>
            </w:pPr>
            <w:r>
              <w:rPr>
                <w:rFonts w:hint="eastAsia" w:ascii="仿宋" w:hAnsi="仿宋" w:eastAsia="仿宋"/>
                <w:sz w:val="24"/>
                <w:szCs w:val="24"/>
              </w:rPr>
              <w:t>要求可360°旋转，旋转调节精度≤0.1°，直径不小于200mm，带有偏光移动尺，行程不小于45x25mm。</w:t>
            </w:r>
          </w:p>
        </w:tc>
        <w:tc>
          <w:tcPr>
            <w:tcW w:w="1275" w:type="dxa"/>
            <w:vAlign w:val="center"/>
          </w:tcPr>
          <w:p w14:paraId="78A626AC">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4FBF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76D2A4E3">
            <w:pPr>
              <w:spacing w:line="360" w:lineRule="auto"/>
              <w:jc w:val="center"/>
              <w:rPr>
                <w:rFonts w:hint="eastAsia" w:ascii="仿宋" w:hAnsi="仿宋" w:eastAsia="仿宋"/>
                <w:sz w:val="24"/>
                <w:szCs w:val="24"/>
              </w:rPr>
            </w:pPr>
            <w:r>
              <w:rPr>
                <w:rFonts w:hint="eastAsia" w:ascii="仿宋" w:hAnsi="仿宋" w:eastAsia="仿宋"/>
                <w:sz w:val="24"/>
                <w:szCs w:val="24"/>
              </w:rPr>
              <w:t>12</w:t>
            </w:r>
          </w:p>
        </w:tc>
        <w:tc>
          <w:tcPr>
            <w:tcW w:w="1588" w:type="dxa"/>
            <w:vAlign w:val="center"/>
          </w:tcPr>
          <w:p w14:paraId="0A0C9599">
            <w:pPr>
              <w:widowControl/>
              <w:spacing w:line="360" w:lineRule="auto"/>
              <w:jc w:val="center"/>
              <w:rPr>
                <w:rFonts w:hint="eastAsia" w:ascii="仿宋" w:hAnsi="仿宋" w:eastAsia="仿宋"/>
                <w:sz w:val="24"/>
                <w:szCs w:val="24"/>
              </w:rPr>
            </w:pPr>
            <w:r>
              <w:rPr>
                <w:rFonts w:hint="eastAsia" w:ascii="仿宋" w:hAnsi="仿宋" w:eastAsia="仿宋"/>
                <w:sz w:val="24"/>
                <w:szCs w:val="24"/>
              </w:rPr>
              <w:t>光源</w:t>
            </w:r>
          </w:p>
        </w:tc>
        <w:tc>
          <w:tcPr>
            <w:tcW w:w="538" w:type="dxa"/>
            <w:vAlign w:val="center"/>
          </w:tcPr>
          <w:p w14:paraId="1FD3CF3F">
            <w:pPr>
              <w:widowControl/>
              <w:spacing w:line="360" w:lineRule="auto"/>
              <w:jc w:val="center"/>
              <w:rPr>
                <w:rFonts w:hint="eastAsia" w:ascii="仿宋" w:hAnsi="仿宋" w:eastAsia="仿宋"/>
                <w:sz w:val="24"/>
                <w:szCs w:val="24"/>
              </w:rPr>
            </w:pPr>
          </w:p>
        </w:tc>
        <w:tc>
          <w:tcPr>
            <w:tcW w:w="4565" w:type="dxa"/>
            <w:vAlign w:val="center"/>
          </w:tcPr>
          <w:p w14:paraId="1BC2745D">
            <w:pPr>
              <w:widowControl/>
              <w:spacing w:line="360" w:lineRule="auto"/>
              <w:jc w:val="left"/>
              <w:rPr>
                <w:rFonts w:hint="eastAsia" w:ascii="仿宋" w:hAnsi="仿宋" w:eastAsia="仿宋"/>
                <w:sz w:val="24"/>
                <w:szCs w:val="24"/>
              </w:rPr>
            </w:pPr>
            <w:r>
              <w:rPr>
                <w:rFonts w:hint="eastAsia" w:ascii="仿宋" w:hAnsi="仿宋" w:eastAsia="仿宋"/>
                <w:sz w:val="24"/>
                <w:szCs w:val="24"/>
              </w:rPr>
              <w:t>透射光、反射光均采用科勒照明白光LED光源，色温（颜色）恒定，且不低于5700k，显色指数要求大于90。寿命不低于55000小时。</w:t>
            </w:r>
          </w:p>
        </w:tc>
        <w:tc>
          <w:tcPr>
            <w:tcW w:w="1275" w:type="dxa"/>
            <w:vAlign w:val="center"/>
          </w:tcPr>
          <w:p w14:paraId="0DF6CA69">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53BE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0F3DD6E4">
            <w:pPr>
              <w:spacing w:line="360" w:lineRule="auto"/>
              <w:jc w:val="center"/>
              <w:rPr>
                <w:rFonts w:hint="eastAsia" w:ascii="仿宋" w:hAnsi="仿宋" w:eastAsia="仿宋"/>
                <w:sz w:val="24"/>
                <w:szCs w:val="24"/>
              </w:rPr>
            </w:pPr>
            <w:r>
              <w:rPr>
                <w:rFonts w:hint="eastAsia" w:ascii="仿宋" w:hAnsi="仿宋" w:eastAsia="仿宋"/>
                <w:sz w:val="24"/>
                <w:szCs w:val="24"/>
              </w:rPr>
              <w:t>13</w:t>
            </w:r>
          </w:p>
        </w:tc>
        <w:tc>
          <w:tcPr>
            <w:tcW w:w="1588" w:type="dxa"/>
            <w:vAlign w:val="center"/>
          </w:tcPr>
          <w:p w14:paraId="5269A06D">
            <w:pPr>
              <w:widowControl/>
              <w:spacing w:line="360" w:lineRule="auto"/>
              <w:jc w:val="center"/>
              <w:rPr>
                <w:rFonts w:hint="eastAsia" w:ascii="仿宋" w:hAnsi="仿宋" w:eastAsia="仿宋"/>
                <w:sz w:val="24"/>
                <w:szCs w:val="24"/>
              </w:rPr>
            </w:pPr>
            <w:r>
              <w:rPr>
                <w:rFonts w:hint="eastAsia" w:ascii="仿宋" w:hAnsi="仿宋" w:eastAsia="仿宋"/>
                <w:sz w:val="24"/>
                <w:szCs w:val="24"/>
              </w:rPr>
              <w:t>附件</w:t>
            </w:r>
          </w:p>
        </w:tc>
        <w:tc>
          <w:tcPr>
            <w:tcW w:w="538" w:type="dxa"/>
            <w:vAlign w:val="center"/>
          </w:tcPr>
          <w:p w14:paraId="393C46E5">
            <w:pPr>
              <w:widowControl/>
              <w:spacing w:line="360" w:lineRule="auto"/>
              <w:jc w:val="center"/>
              <w:rPr>
                <w:rFonts w:hint="eastAsia" w:ascii="仿宋" w:hAnsi="仿宋" w:eastAsia="仿宋"/>
                <w:sz w:val="24"/>
                <w:szCs w:val="24"/>
              </w:rPr>
            </w:pPr>
          </w:p>
        </w:tc>
        <w:tc>
          <w:tcPr>
            <w:tcW w:w="4565" w:type="dxa"/>
            <w:vAlign w:val="center"/>
          </w:tcPr>
          <w:p w14:paraId="58789C1A">
            <w:pPr>
              <w:widowControl/>
              <w:spacing w:line="360" w:lineRule="auto"/>
              <w:jc w:val="left"/>
              <w:rPr>
                <w:rFonts w:hint="eastAsia" w:ascii="仿宋" w:hAnsi="仿宋" w:eastAsia="仿宋"/>
                <w:sz w:val="24"/>
                <w:szCs w:val="24"/>
              </w:rPr>
            </w:pPr>
            <w:r>
              <w:rPr>
                <w:rFonts w:hint="eastAsia" w:ascii="仿宋" w:hAnsi="仿宋" w:eastAsia="仿宋"/>
                <w:sz w:val="24"/>
                <w:szCs w:val="24"/>
              </w:rPr>
              <w:t>测微台尺、防尘罩、云母及石膏试板等一套。</w:t>
            </w:r>
          </w:p>
        </w:tc>
        <w:tc>
          <w:tcPr>
            <w:tcW w:w="1275" w:type="dxa"/>
            <w:vAlign w:val="center"/>
          </w:tcPr>
          <w:p w14:paraId="26097447">
            <w:pPr>
              <w:widowControl/>
              <w:spacing w:line="360" w:lineRule="auto"/>
              <w:jc w:val="center"/>
              <w:rPr>
                <w:rFonts w:hint="eastAsia" w:ascii="仿宋" w:hAnsi="仿宋" w:eastAsia="仿宋"/>
                <w:sz w:val="24"/>
                <w:szCs w:val="24"/>
              </w:rPr>
            </w:pPr>
            <w:r>
              <w:rPr>
                <w:rFonts w:hint="eastAsia" w:ascii="仿宋" w:hAnsi="仿宋" w:eastAsia="仿宋"/>
                <w:sz w:val="24"/>
                <w:szCs w:val="24"/>
              </w:rPr>
              <w:t>否</w:t>
            </w:r>
          </w:p>
        </w:tc>
      </w:tr>
      <w:tr w14:paraId="2AA6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50E75112">
            <w:pPr>
              <w:spacing w:line="360" w:lineRule="auto"/>
              <w:jc w:val="center"/>
              <w:rPr>
                <w:rFonts w:hint="eastAsia" w:ascii="仿宋" w:hAnsi="仿宋" w:eastAsia="仿宋"/>
                <w:sz w:val="24"/>
                <w:szCs w:val="24"/>
              </w:rPr>
            </w:pPr>
            <w:r>
              <w:rPr>
                <w:rFonts w:hint="eastAsia" w:ascii="仿宋" w:hAnsi="仿宋" w:eastAsia="仿宋"/>
                <w:sz w:val="24"/>
                <w:szCs w:val="24"/>
              </w:rPr>
              <w:t>14</w:t>
            </w:r>
          </w:p>
        </w:tc>
        <w:tc>
          <w:tcPr>
            <w:tcW w:w="1588" w:type="dxa"/>
            <w:vAlign w:val="center"/>
          </w:tcPr>
          <w:p w14:paraId="551DF45B">
            <w:pPr>
              <w:widowControl/>
              <w:spacing w:line="360" w:lineRule="auto"/>
              <w:jc w:val="center"/>
              <w:rPr>
                <w:rFonts w:hint="eastAsia" w:ascii="仿宋" w:hAnsi="仿宋" w:eastAsia="仿宋"/>
                <w:sz w:val="24"/>
                <w:szCs w:val="24"/>
              </w:rPr>
            </w:pPr>
            <w:r>
              <w:rPr>
                <w:rFonts w:hint="eastAsia" w:ascii="仿宋" w:hAnsi="仿宋" w:eastAsia="仿宋"/>
                <w:sz w:val="24"/>
                <w:szCs w:val="24"/>
              </w:rPr>
              <w:t>包裹体冷热台</w:t>
            </w:r>
          </w:p>
        </w:tc>
        <w:tc>
          <w:tcPr>
            <w:tcW w:w="538" w:type="dxa"/>
            <w:vAlign w:val="center"/>
          </w:tcPr>
          <w:p w14:paraId="79343892">
            <w:pPr>
              <w:widowControl/>
              <w:spacing w:line="360" w:lineRule="auto"/>
              <w:jc w:val="center"/>
              <w:rPr>
                <w:rFonts w:hint="eastAsia" w:ascii="仿宋" w:hAnsi="仿宋" w:eastAsia="仿宋"/>
                <w:sz w:val="24"/>
                <w:szCs w:val="24"/>
              </w:rPr>
            </w:pPr>
          </w:p>
        </w:tc>
        <w:tc>
          <w:tcPr>
            <w:tcW w:w="4565" w:type="dxa"/>
            <w:vAlign w:val="center"/>
          </w:tcPr>
          <w:p w14:paraId="636B405C">
            <w:pPr>
              <w:widowControl/>
              <w:spacing w:line="360" w:lineRule="auto"/>
              <w:jc w:val="left"/>
              <w:rPr>
                <w:rFonts w:hint="eastAsia" w:ascii="仿宋" w:hAnsi="仿宋" w:eastAsia="仿宋"/>
                <w:sz w:val="24"/>
                <w:szCs w:val="24"/>
              </w:rPr>
            </w:pPr>
            <w:r>
              <w:rPr>
                <w:rFonts w:hint="eastAsia" w:ascii="仿宋" w:hAnsi="仿宋" w:eastAsia="仿宋"/>
                <w:sz w:val="24"/>
                <w:szCs w:val="24"/>
              </w:rPr>
              <w:t>1.温度范围：-190到600℃；</w:t>
            </w:r>
          </w:p>
          <w:p w14:paraId="2490E510">
            <w:pPr>
              <w:widowControl/>
              <w:spacing w:line="360" w:lineRule="auto"/>
              <w:jc w:val="left"/>
              <w:rPr>
                <w:rFonts w:hint="eastAsia" w:ascii="仿宋" w:hAnsi="仿宋" w:eastAsia="仿宋"/>
                <w:sz w:val="24"/>
                <w:szCs w:val="24"/>
              </w:rPr>
            </w:pPr>
            <w:r>
              <w:rPr>
                <w:rFonts w:hint="eastAsia" w:ascii="仿宋" w:hAnsi="仿宋" w:eastAsia="仿宋"/>
                <w:sz w:val="24"/>
                <w:szCs w:val="24"/>
              </w:rPr>
              <w:t>2.温度精度和稳定性：≤±0.01℃；</w:t>
            </w:r>
          </w:p>
          <w:p w14:paraId="65B04FE8">
            <w:pPr>
              <w:widowControl/>
              <w:spacing w:line="360" w:lineRule="auto"/>
              <w:jc w:val="left"/>
              <w:rPr>
                <w:rFonts w:hint="eastAsia" w:ascii="仿宋" w:hAnsi="仿宋" w:eastAsia="仿宋"/>
                <w:sz w:val="24"/>
                <w:szCs w:val="24"/>
              </w:rPr>
            </w:pPr>
            <w:r>
              <w:rPr>
                <w:rFonts w:hint="eastAsia" w:ascii="仿宋" w:hAnsi="仿宋" w:eastAsia="仿宋"/>
                <w:sz w:val="24"/>
                <w:szCs w:val="24"/>
              </w:rPr>
              <w:t>3.光孔直径：≥1.2mm，偏差允许+0.1mm内；</w:t>
            </w:r>
          </w:p>
          <w:p w14:paraId="37F660DB">
            <w:pPr>
              <w:widowControl/>
              <w:spacing w:line="360" w:lineRule="auto"/>
              <w:jc w:val="left"/>
              <w:rPr>
                <w:rFonts w:hint="eastAsia" w:ascii="仿宋" w:hAnsi="仿宋" w:eastAsia="仿宋"/>
                <w:sz w:val="24"/>
                <w:szCs w:val="24"/>
              </w:rPr>
            </w:pPr>
            <w:r>
              <w:rPr>
                <w:rFonts w:hint="eastAsia" w:ascii="仿宋" w:hAnsi="仿宋" w:eastAsia="仿宋"/>
                <w:sz w:val="24"/>
                <w:szCs w:val="24"/>
              </w:rPr>
              <w:t>4.样品X,Y轴向移动：不小于15mm；</w:t>
            </w:r>
          </w:p>
          <w:p w14:paraId="01EE88C7">
            <w:pPr>
              <w:widowControl/>
              <w:spacing w:line="360" w:lineRule="auto"/>
              <w:jc w:val="left"/>
              <w:rPr>
                <w:rFonts w:hint="eastAsia" w:ascii="仿宋" w:hAnsi="仿宋" w:eastAsia="仿宋"/>
                <w:sz w:val="24"/>
                <w:szCs w:val="24"/>
              </w:rPr>
            </w:pPr>
            <w:r>
              <w:rPr>
                <w:rFonts w:hint="eastAsia" w:ascii="仿宋" w:hAnsi="仿宋" w:eastAsia="仿宋"/>
                <w:sz w:val="24"/>
                <w:szCs w:val="24"/>
              </w:rPr>
              <w:t>5.样品加热面积：圆形加热台面，≥20mm，偏差允许+1mm内；</w:t>
            </w:r>
          </w:p>
          <w:p w14:paraId="3701FE41">
            <w:pPr>
              <w:widowControl/>
              <w:spacing w:line="360" w:lineRule="auto"/>
              <w:jc w:val="left"/>
              <w:rPr>
                <w:rFonts w:hint="eastAsia" w:ascii="仿宋" w:hAnsi="仿宋" w:eastAsia="仿宋"/>
                <w:sz w:val="24"/>
                <w:szCs w:val="24"/>
              </w:rPr>
            </w:pPr>
            <w:r>
              <w:rPr>
                <w:rFonts w:hint="eastAsia" w:ascii="仿宋" w:hAnsi="仿宋" w:eastAsia="仿宋"/>
                <w:sz w:val="24"/>
                <w:szCs w:val="24"/>
              </w:rPr>
              <w:t>6.升降温速率范围覆盖：0.01℃/分钟～150℃/分钟；</w:t>
            </w:r>
          </w:p>
          <w:p w14:paraId="6283D3CA">
            <w:pPr>
              <w:widowControl/>
              <w:spacing w:line="360" w:lineRule="auto"/>
              <w:jc w:val="left"/>
              <w:rPr>
                <w:rFonts w:hint="eastAsia" w:ascii="仿宋" w:hAnsi="仿宋" w:eastAsia="仿宋"/>
                <w:sz w:val="24"/>
                <w:szCs w:val="24"/>
              </w:rPr>
            </w:pPr>
            <w:r>
              <w:rPr>
                <w:rFonts w:hint="eastAsia" w:ascii="仿宋" w:hAnsi="仿宋" w:eastAsia="仿宋"/>
                <w:sz w:val="24"/>
                <w:szCs w:val="24"/>
              </w:rPr>
              <w:t>7.两种送样器：一种送样器搭配保温银盖，另外一种送样器标配石英坩埚；</w:t>
            </w:r>
          </w:p>
          <w:p w14:paraId="7660C47F">
            <w:pPr>
              <w:widowControl/>
              <w:spacing w:line="360" w:lineRule="auto"/>
              <w:jc w:val="left"/>
              <w:rPr>
                <w:rFonts w:hint="eastAsia" w:ascii="仿宋" w:hAnsi="仿宋" w:eastAsia="仿宋"/>
                <w:sz w:val="24"/>
                <w:szCs w:val="24"/>
              </w:rPr>
            </w:pPr>
            <w:r>
              <w:rPr>
                <w:rFonts w:hint="eastAsia" w:ascii="仿宋" w:hAnsi="仿宋" w:eastAsia="仿宋"/>
                <w:sz w:val="24"/>
                <w:szCs w:val="24"/>
              </w:rPr>
              <w:t>8.样品可以侧面导入不需要打开上盖；</w:t>
            </w:r>
          </w:p>
          <w:p w14:paraId="795F2D5A">
            <w:pPr>
              <w:widowControl/>
              <w:spacing w:line="360" w:lineRule="auto"/>
              <w:jc w:val="left"/>
              <w:rPr>
                <w:rFonts w:hint="eastAsia" w:ascii="仿宋" w:hAnsi="仿宋" w:eastAsia="仿宋"/>
                <w:sz w:val="24"/>
                <w:szCs w:val="24"/>
              </w:rPr>
            </w:pPr>
            <w:r>
              <w:rPr>
                <w:rFonts w:hint="eastAsia" w:ascii="仿宋" w:hAnsi="仿宋" w:eastAsia="仿宋"/>
                <w:sz w:val="24"/>
                <w:szCs w:val="24"/>
              </w:rPr>
              <w:t>9.超薄热台窗口：≤0.20mm；</w:t>
            </w:r>
          </w:p>
          <w:p w14:paraId="535BC137">
            <w:pPr>
              <w:widowControl/>
              <w:spacing w:line="360" w:lineRule="auto"/>
              <w:jc w:val="left"/>
              <w:rPr>
                <w:rFonts w:hint="eastAsia" w:ascii="仿宋" w:hAnsi="仿宋" w:eastAsia="仿宋"/>
                <w:sz w:val="24"/>
                <w:szCs w:val="24"/>
              </w:rPr>
            </w:pPr>
            <w:r>
              <w:rPr>
                <w:rFonts w:hint="eastAsia" w:ascii="仿宋" w:hAnsi="仿宋" w:eastAsia="仿宋"/>
                <w:sz w:val="24"/>
                <w:szCs w:val="24"/>
              </w:rPr>
              <w:t>10.适配物镜最小工作距离 0.1～4.5mm；适配聚光镜最小工作距离0.1～12.5mm</w:t>
            </w:r>
          </w:p>
          <w:p w14:paraId="02104E00">
            <w:pPr>
              <w:widowControl/>
              <w:spacing w:line="360" w:lineRule="auto"/>
              <w:jc w:val="left"/>
              <w:rPr>
                <w:rFonts w:hint="eastAsia" w:ascii="仿宋" w:hAnsi="仿宋" w:eastAsia="仿宋"/>
                <w:sz w:val="24"/>
                <w:szCs w:val="24"/>
              </w:rPr>
            </w:pPr>
            <w:r>
              <w:rPr>
                <w:rFonts w:hint="eastAsia" w:ascii="仿宋" w:hAnsi="仿宋" w:eastAsia="仿宋"/>
                <w:sz w:val="24"/>
                <w:szCs w:val="24"/>
              </w:rPr>
              <w:t>11.操作软件：具备温度和其他测量参数的实时图表，实时记录并逐行绘制，不少于100段程序设置，不少于5点温度校准。</w:t>
            </w:r>
          </w:p>
        </w:tc>
        <w:tc>
          <w:tcPr>
            <w:tcW w:w="1275" w:type="dxa"/>
            <w:vAlign w:val="center"/>
          </w:tcPr>
          <w:p w14:paraId="468D0282">
            <w:pPr>
              <w:widowControl/>
              <w:spacing w:line="360" w:lineRule="auto"/>
              <w:jc w:val="center"/>
              <w:rPr>
                <w:rFonts w:hint="eastAsia" w:ascii="仿宋" w:hAnsi="仿宋" w:eastAsia="仿宋"/>
                <w:sz w:val="24"/>
                <w:szCs w:val="24"/>
              </w:rPr>
            </w:pPr>
            <w:r>
              <w:rPr>
                <w:rFonts w:hint="eastAsia" w:ascii="仿宋" w:hAnsi="仿宋" w:eastAsia="仿宋"/>
                <w:sz w:val="24"/>
                <w:szCs w:val="24"/>
              </w:rPr>
              <w:t>是</w:t>
            </w:r>
          </w:p>
        </w:tc>
      </w:tr>
      <w:tr w14:paraId="7E5F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34" w:type="dxa"/>
            <w:vAlign w:val="center"/>
          </w:tcPr>
          <w:p w14:paraId="3F01AED6">
            <w:pPr>
              <w:spacing w:line="360" w:lineRule="auto"/>
              <w:jc w:val="center"/>
              <w:rPr>
                <w:rFonts w:hint="eastAsia" w:ascii="仿宋" w:hAnsi="仿宋" w:eastAsia="仿宋"/>
                <w:sz w:val="24"/>
                <w:szCs w:val="24"/>
              </w:rPr>
            </w:pPr>
            <w:r>
              <w:rPr>
                <w:rFonts w:hint="eastAsia" w:ascii="仿宋" w:hAnsi="仿宋" w:eastAsia="仿宋"/>
                <w:sz w:val="24"/>
                <w:szCs w:val="24"/>
              </w:rPr>
              <w:t>15</w:t>
            </w:r>
          </w:p>
        </w:tc>
        <w:tc>
          <w:tcPr>
            <w:tcW w:w="1588" w:type="dxa"/>
            <w:vAlign w:val="center"/>
          </w:tcPr>
          <w:p w14:paraId="3E9D106C">
            <w:pPr>
              <w:widowControl/>
              <w:spacing w:line="360" w:lineRule="auto"/>
              <w:jc w:val="center"/>
              <w:rPr>
                <w:rFonts w:hint="eastAsia" w:ascii="仿宋" w:hAnsi="仿宋" w:eastAsia="仿宋"/>
                <w:sz w:val="24"/>
                <w:szCs w:val="24"/>
              </w:rPr>
            </w:pPr>
            <w:r>
              <w:rPr>
                <w:rFonts w:hint="eastAsia" w:ascii="仿宋" w:hAnsi="仿宋" w:eastAsia="仿宋"/>
                <w:sz w:val="24"/>
                <w:szCs w:val="24"/>
              </w:rPr>
              <w:t>计算机</w:t>
            </w:r>
          </w:p>
        </w:tc>
        <w:tc>
          <w:tcPr>
            <w:tcW w:w="538" w:type="dxa"/>
            <w:vAlign w:val="center"/>
          </w:tcPr>
          <w:p w14:paraId="2A8BE06B">
            <w:pPr>
              <w:widowControl/>
              <w:spacing w:line="360" w:lineRule="auto"/>
              <w:jc w:val="center"/>
              <w:rPr>
                <w:rFonts w:hint="eastAsia" w:ascii="仿宋" w:hAnsi="仿宋" w:eastAsia="仿宋"/>
                <w:sz w:val="24"/>
                <w:szCs w:val="24"/>
              </w:rPr>
            </w:pPr>
          </w:p>
        </w:tc>
        <w:tc>
          <w:tcPr>
            <w:tcW w:w="4565" w:type="dxa"/>
            <w:vAlign w:val="center"/>
          </w:tcPr>
          <w:p w14:paraId="532D32E6">
            <w:pPr>
              <w:widowControl/>
              <w:spacing w:line="360" w:lineRule="auto"/>
              <w:jc w:val="left"/>
              <w:rPr>
                <w:rFonts w:hint="eastAsia" w:ascii="仿宋" w:hAnsi="仿宋" w:eastAsia="仿宋"/>
                <w:sz w:val="24"/>
                <w:szCs w:val="24"/>
              </w:rPr>
            </w:pPr>
            <w:r>
              <w:rPr>
                <w:rFonts w:hint="eastAsia" w:ascii="仿宋" w:hAnsi="仿宋" w:eastAsia="仿宋"/>
                <w:sz w:val="24"/>
                <w:szCs w:val="24"/>
              </w:rPr>
              <w:t>处理器综合性能不低于Intel酷睿i7同等水平；内存≥32GB；配备≥512GB固态硬盘+≥2TB存储硬盘；配备DVD刻录装置；显示器≥24英寸。</w:t>
            </w:r>
          </w:p>
        </w:tc>
        <w:tc>
          <w:tcPr>
            <w:tcW w:w="1275" w:type="dxa"/>
            <w:vAlign w:val="center"/>
          </w:tcPr>
          <w:p w14:paraId="08068D15">
            <w:pPr>
              <w:widowControl/>
              <w:spacing w:line="360" w:lineRule="auto"/>
              <w:jc w:val="center"/>
              <w:rPr>
                <w:rFonts w:hint="eastAsia" w:ascii="仿宋" w:hAnsi="仿宋" w:eastAsia="仿宋"/>
                <w:sz w:val="24"/>
                <w:szCs w:val="24"/>
              </w:rPr>
            </w:pPr>
            <w:r>
              <w:rPr>
                <w:rFonts w:hint="eastAsia" w:ascii="仿宋" w:hAnsi="仿宋" w:eastAsia="仿宋"/>
                <w:sz w:val="24"/>
                <w:szCs w:val="24"/>
              </w:rPr>
              <w:t>否</w:t>
            </w:r>
          </w:p>
        </w:tc>
      </w:tr>
    </w:tbl>
    <w:p w14:paraId="68C5ACEF">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02883009">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DA76944">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是”。填“是”的，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A7E1EAF">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四、商务要求</w:t>
      </w:r>
    </w:p>
    <w:tbl>
      <w:tblPr>
        <w:tblStyle w:val="7"/>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3B938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336C0D4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5345E6E8">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3BB84020">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2680F068">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6582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2562F65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60916C8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45FD59B9">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lang w:val="zh-CN"/>
              </w:rPr>
              <w:t>★</w:t>
            </w:r>
          </w:p>
        </w:tc>
        <w:tc>
          <w:tcPr>
            <w:tcW w:w="5237" w:type="dxa"/>
          </w:tcPr>
          <w:p w14:paraId="2367F084">
            <w:pPr>
              <w:autoSpaceDE w:val="0"/>
              <w:autoSpaceDN w:val="0"/>
              <w:adjustRightInd w:val="0"/>
              <w:snapToGrid w:val="0"/>
              <w:spacing w:line="360" w:lineRule="auto"/>
              <w:jc w:val="left"/>
              <w:rPr>
                <w:rFonts w:ascii="仿宋_GB2312" w:hAnsi="宋体" w:eastAsia="仿宋_GB2312" w:cs="宋体"/>
                <w:iCs/>
                <w:snapToGrid w:val="0"/>
                <w:kern w:val="0"/>
                <w:sz w:val="24"/>
                <w:szCs w:val="24"/>
                <w:lang w:val="zh-CN"/>
              </w:rPr>
            </w:pPr>
            <w:r>
              <w:rPr>
                <w:rFonts w:hint="eastAsia" w:ascii="仿宋_GB2312" w:hAnsi="宋体" w:eastAsia="仿宋_GB2312"/>
                <w:iCs/>
                <w:sz w:val="24"/>
                <w:szCs w:val="24"/>
              </w:rPr>
              <w:t>合同签订之日起90日内完成供货。</w:t>
            </w:r>
          </w:p>
        </w:tc>
      </w:tr>
      <w:tr w14:paraId="7FE74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2C357F0">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7B118ABE">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6B04A530">
            <w:pPr>
              <w:autoSpaceDE w:val="0"/>
              <w:autoSpaceDN w:val="0"/>
              <w:adjustRightInd w:val="0"/>
              <w:snapToGrid w:val="0"/>
              <w:jc w:val="center"/>
              <w:rPr>
                <w:rFonts w:ascii="仿宋_GB2312" w:hAnsi="宋体" w:eastAsia="仿宋_GB2312" w:cs="宋体"/>
                <w:snapToGrid w:val="0"/>
                <w:kern w:val="0"/>
                <w:sz w:val="24"/>
                <w:szCs w:val="24"/>
                <w:lang w:val="zh-CN"/>
              </w:rPr>
            </w:pPr>
            <w:bookmarkStart w:id="0" w:name="OLE_LINK2"/>
            <w:r>
              <w:rPr>
                <w:rFonts w:hint="eastAsia" w:ascii="仿宋_GB2312" w:hAnsi="宋体" w:eastAsia="仿宋_GB2312" w:cs="宋体"/>
                <w:snapToGrid w:val="0"/>
                <w:kern w:val="0"/>
                <w:sz w:val="24"/>
                <w:szCs w:val="24"/>
                <w:lang w:val="zh-CN"/>
              </w:rPr>
              <w:t>★</w:t>
            </w:r>
            <w:bookmarkEnd w:id="0"/>
          </w:p>
        </w:tc>
        <w:tc>
          <w:tcPr>
            <w:tcW w:w="5237" w:type="dxa"/>
            <w:vAlign w:val="center"/>
          </w:tcPr>
          <w:p w14:paraId="2C42208B">
            <w:pPr>
              <w:autoSpaceDE w:val="0"/>
              <w:autoSpaceDN w:val="0"/>
              <w:adjustRightInd w:val="0"/>
              <w:snapToGrid w:val="0"/>
              <w:spacing w:line="360" w:lineRule="auto"/>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425B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6001E9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2DA1AD2B">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2E7D143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0F7CD09B">
            <w:pPr>
              <w:autoSpaceDE w:val="0"/>
              <w:autoSpaceDN w:val="0"/>
              <w:adjustRightInd w:val="0"/>
              <w:snapToGrid w:val="0"/>
              <w:spacing w:line="360" w:lineRule="auto"/>
              <w:jc w:val="left"/>
              <w:rPr>
                <w:rFonts w:ascii="仿宋_GB2312" w:hAnsi="宋体" w:eastAsia="仿宋_GB2312" w:cs="宋体"/>
                <w:iCs/>
                <w:snapToGrid w:val="0"/>
                <w:kern w:val="0"/>
                <w:sz w:val="24"/>
                <w:szCs w:val="24"/>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3</w:t>
            </w:r>
            <w:r>
              <w:rPr>
                <w:rFonts w:hint="eastAsia" w:ascii="仿宋_GB2312" w:hAnsi="宋体" w:eastAsia="仿宋_GB2312" w:cs="宋体"/>
                <w:iCs/>
                <w:snapToGrid w:val="0"/>
                <w:kern w:val="0"/>
                <w:sz w:val="24"/>
                <w:szCs w:val="24"/>
                <w:lang w:val="zh-CN"/>
              </w:rPr>
              <w:t>年保修、所有软件</w:t>
            </w:r>
            <w:r>
              <w:rPr>
                <w:rFonts w:hint="eastAsia" w:ascii="仿宋_GB2312" w:hAnsi="宋体" w:eastAsia="仿宋_GB2312" w:cs="宋体"/>
                <w:iCs/>
                <w:snapToGrid w:val="0"/>
                <w:kern w:val="0"/>
                <w:sz w:val="24"/>
                <w:szCs w:val="24"/>
              </w:rPr>
              <w:t>终身</w:t>
            </w:r>
            <w:r>
              <w:rPr>
                <w:rFonts w:hint="eastAsia" w:ascii="仿宋_GB2312" w:hAnsi="宋体" w:eastAsia="仿宋_GB2312" w:cs="宋体"/>
                <w:iCs/>
                <w:snapToGrid w:val="0"/>
                <w:kern w:val="0"/>
                <w:sz w:val="24"/>
                <w:szCs w:val="24"/>
                <w:lang w:val="zh-CN"/>
              </w:rPr>
              <w:t>升级</w:t>
            </w:r>
            <w:r>
              <w:rPr>
                <w:rFonts w:hint="eastAsia" w:ascii="仿宋_GB2312" w:hAnsi="宋体" w:eastAsia="仿宋_GB2312" w:cs="宋体"/>
                <w:iCs/>
                <w:snapToGrid w:val="0"/>
                <w:kern w:val="0"/>
                <w:sz w:val="24"/>
                <w:szCs w:val="24"/>
              </w:rPr>
              <w:t>.</w:t>
            </w:r>
          </w:p>
        </w:tc>
      </w:tr>
      <w:tr w14:paraId="492B0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CAD25E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2993FDF7">
            <w:pPr>
              <w:widowControl/>
              <w:autoSpaceDE w:val="0"/>
              <w:autoSpaceDN w:val="0"/>
              <w:adjustRightInd w:val="0"/>
              <w:snapToGrid w:val="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2D82A78D">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08629641">
            <w:pPr>
              <w:widowControl/>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投标人应提供货物（货物需为原厂包装）运至项目现场所需要的包装，以防止设备在运输中损坏或丢失。这类包装应采取防潮、防晒、防锈、防腐蚀、防震动等保护措施，使设备能够经受长途运输及多次搬运、装卸等</w:t>
            </w:r>
          </w:p>
        </w:tc>
      </w:tr>
      <w:tr w14:paraId="7577B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1C97882">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7920DF2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7D1CCE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553A4C8F">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3897DF4B">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发生故障时24小时内响应，电话报修后48小时内上门服务、72小时内排除故障或找到解决方案</w:t>
            </w:r>
          </w:p>
          <w:p w14:paraId="355E15D1">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所有硬件过保修期后、所有软件过保修升级期后继续提供技术支持，硬件优惠收取配件费用（参考投标所列价格或合同签订时的价格进行折扣优惠），软件优惠进行维修升级，响应速度同保修期响应速度。</w:t>
            </w:r>
          </w:p>
        </w:tc>
      </w:tr>
      <w:tr w14:paraId="0504A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CB5B262">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3189127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729680A0">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2D15DB5">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安装和调试过程中需要的专用器具和其他物资由投标人负责，采购人负责相应的现场协调等方面的协调配合工作。安装与调试所产生费用由投标人承担。</w:t>
            </w:r>
          </w:p>
        </w:tc>
      </w:tr>
      <w:tr w14:paraId="52BF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F3A7A7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2178FBAD">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395BEA86">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1640E5E2">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提供2天以上现场培训，交通等与培训相关的费用均由成交投标人承担。</w:t>
            </w:r>
          </w:p>
        </w:tc>
      </w:tr>
      <w:tr w14:paraId="472CF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18FD9D4">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26A45968">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0A06B7E3">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3EC92F6B">
            <w:pPr>
              <w:widowControl/>
              <w:autoSpaceDE w:val="0"/>
              <w:autoSpaceDN w:val="0"/>
              <w:adjustRightInd w:val="0"/>
              <w:snapToGrid w:val="0"/>
              <w:jc w:val="left"/>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按照投标人响应文件及采购文件确定的技术和服务指标进行验收。</w:t>
            </w:r>
          </w:p>
        </w:tc>
      </w:tr>
      <w:tr w14:paraId="60C8F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44B083D">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6D87C8C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0D2E521D">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4510D184">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仪器设备安装调试到位并验收合格后，支付至合同总金额的95%，余款在运行一年无质量问题后一次性付清。</w:t>
            </w:r>
          </w:p>
          <w:p w14:paraId="31428A86">
            <w:pPr>
              <w:widowControl/>
              <w:autoSpaceDE w:val="0"/>
              <w:autoSpaceDN w:val="0"/>
              <w:adjustRightInd w:val="0"/>
              <w:snapToGrid w:val="0"/>
              <w:rPr>
                <w:rFonts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若中标人为中小企业，将落实《保障中小企业款项支付条例》。</w:t>
            </w:r>
          </w:p>
        </w:tc>
      </w:tr>
      <w:tr w14:paraId="1B30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949F57F">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10</w:t>
            </w:r>
          </w:p>
        </w:tc>
        <w:tc>
          <w:tcPr>
            <w:tcW w:w="1603" w:type="dxa"/>
            <w:vAlign w:val="center"/>
          </w:tcPr>
          <w:p w14:paraId="455BC20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保险</w:t>
            </w:r>
          </w:p>
        </w:tc>
        <w:tc>
          <w:tcPr>
            <w:tcW w:w="940" w:type="dxa"/>
          </w:tcPr>
          <w:p w14:paraId="6C2E9B65">
            <w:pPr>
              <w:widowControl/>
              <w:autoSpaceDE w:val="0"/>
              <w:autoSpaceDN w:val="0"/>
              <w:adjustRightInd w:val="0"/>
              <w:snapToGrid w:val="0"/>
              <w:jc w:val="center"/>
              <w:rPr>
                <w:rFonts w:ascii="仿宋_GB2312" w:hAnsi="宋体" w:eastAsia="仿宋_GB2312" w:cs="宋体"/>
                <w:snapToGrid w:val="0"/>
                <w:kern w:val="0"/>
                <w:sz w:val="24"/>
                <w:szCs w:val="24"/>
              </w:rPr>
            </w:pPr>
          </w:p>
        </w:tc>
        <w:tc>
          <w:tcPr>
            <w:tcW w:w="5237" w:type="dxa"/>
          </w:tcPr>
          <w:p w14:paraId="530C5545">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无</w:t>
            </w:r>
          </w:p>
        </w:tc>
      </w:tr>
      <w:tr w14:paraId="2BFC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07BE85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11</w:t>
            </w:r>
          </w:p>
        </w:tc>
        <w:tc>
          <w:tcPr>
            <w:tcW w:w="1603" w:type="dxa"/>
            <w:vAlign w:val="center"/>
          </w:tcPr>
          <w:p w14:paraId="4C8C198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其他</w:t>
            </w:r>
          </w:p>
        </w:tc>
        <w:tc>
          <w:tcPr>
            <w:tcW w:w="940" w:type="dxa"/>
          </w:tcPr>
          <w:p w14:paraId="35BB5EE7">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tcPr>
          <w:p w14:paraId="7034931D">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无</w:t>
            </w:r>
          </w:p>
        </w:tc>
      </w:tr>
      <w:tr w14:paraId="5A1AF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A4BE7B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12</w:t>
            </w:r>
          </w:p>
        </w:tc>
        <w:tc>
          <w:tcPr>
            <w:tcW w:w="1603" w:type="dxa"/>
            <w:vAlign w:val="center"/>
          </w:tcPr>
          <w:p w14:paraId="6D056398">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报价要求</w:t>
            </w:r>
          </w:p>
        </w:tc>
        <w:tc>
          <w:tcPr>
            <w:tcW w:w="940" w:type="dxa"/>
            <w:vAlign w:val="center"/>
          </w:tcPr>
          <w:p w14:paraId="02CAB1B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350F5CF8">
            <w:pPr>
              <w:pStyle w:val="4"/>
              <w:wordWrap w:val="0"/>
              <w:rPr>
                <w:rFonts w:hint="eastAsia" w:ascii="宋体" w:hAnsi="宋体" w:cs="宋体"/>
                <w:szCs w:val="21"/>
              </w:rPr>
            </w:pPr>
            <w:r>
              <w:rPr>
                <w:rFonts w:hint="eastAsia" w:ascii="宋体" w:hAnsi="宋体" w:cs="宋体"/>
                <w:szCs w:val="21"/>
              </w:rPr>
              <w:t>报价要求：（1）投标人的报价均应以人民币进行报价。</w:t>
            </w:r>
          </w:p>
          <w:p w14:paraId="296E5A22">
            <w:pPr>
              <w:pStyle w:val="4"/>
              <w:wordWrap w:val="0"/>
              <w:rPr>
                <w:rFonts w:hint="eastAsia" w:ascii="宋体" w:hAnsi="宋体" w:cs="宋体"/>
                <w:szCs w:val="21"/>
              </w:rPr>
            </w:pPr>
            <w:r>
              <w:rPr>
                <w:rFonts w:hint="eastAsia" w:ascii="宋体" w:hAnsi="宋体" w:cs="宋体"/>
                <w:szCs w:val="21"/>
              </w:rPr>
              <w:t>（2）投标报价应包含完成本项目的全部费用，包括但不限于货物的设计、制造、采购、运输、保险、装卸、仓储、保管、安装实施所需的线材、管材、辅材及实施人员费、检测、调试、培训、验收、售后服务、利润等费用。</w:t>
            </w:r>
          </w:p>
          <w:p w14:paraId="09849223">
            <w:pPr>
              <w:pStyle w:val="4"/>
              <w:wordWrap w:val="0"/>
              <w:rPr>
                <w:rFonts w:hint="eastAsia" w:ascii="宋体" w:hAnsi="宋体" w:cs="宋体"/>
                <w:szCs w:val="21"/>
              </w:rPr>
            </w:pPr>
            <w:r>
              <w:rPr>
                <w:rFonts w:hint="eastAsia" w:ascii="宋体" w:hAnsi="宋体" w:cs="宋体"/>
                <w:szCs w:val="21"/>
              </w:rPr>
              <w:t>（3）投标人应按照本招标文件规定的采购需求及合同条款进行报价，并按招标文件确定的格式报出。投标总价中不得包含招标文件要求以外的内容，否则，在评标时不予核减。投标总价中也不得缺漏招标文件所要求的内容，否则，其投标将被视为无效投标。</w:t>
            </w:r>
          </w:p>
          <w:p w14:paraId="3DE6FCA4">
            <w:pPr>
              <w:pStyle w:val="4"/>
              <w:wordWrap w:val="0"/>
              <w:rPr>
                <w:rFonts w:hint="eastAsia" w:ascii="宋体" w:hAnsi="宋体" w:cs="宋体"/>
                <w:szCs w:val="21"/>
              </w:rPr>
            </w:pPr>
            <w:r>
              <w:rPr>
                <w:rFonts w:hint="eastAsia" w:ascii="宋体" w:hAnsi="宋体" w:cs="宋体"/>
                <w:szCs w:val="21"/>
              </w:rPr>
              <w:t>（4）投标人应根据本招标文件的规定和要求、市场价格水平及其走势、投标人的管理水平、投标人的方案和由这些因素决定的投标人之于本项目的成本水平等提出自己的报价。报价应包含完成本招标文件采购需求全部内容的所有费用，所有根据本招标文件或其它原因应由投标人交纳的费用都应包括在投标人提交的投标报价中。但投标人不得以低于其成本的价格进行报价。</w:t>
            </w:r>
          </w:p>
          <w:p w14:paraId="6176F4B2">
            <w:pPr>
              <w:pStyle w:val="4"/>
              <w:wordWrap w:val="0"/>
              <w:rPr>
                <w:rFonts w:hint="eastAsia" w:ascii="宋体" w:hAnsi="宋体" w:cs="宋体"/>
                <w:szCs w:val="21"/>
              </w:rPr>
            </w:pPr>
            <w:r>
              <w:rPr>
                <w:rFonts w:hint="eastAsia" w:ascii="宋体" w:hAnsi="宋体" w:cs="宋体"/>
                <w:szCs w:val="21"/>
              </w:rPr>
              <w:t>（5）所有货物和服务的总价和单价应不允许零报价或与实际价值不匹配的象征性报价，不能以“赠送、赠予”等名义提供任何货物和服务。</w:t>
            </w:r>
          </w:p>
          <w:p w14:paraId="2B9637B1">
            <w:pPr>
              <w:pStyle w:val="4"/>
              <w:wordWrap w:val="0"/>
              <w:rPr>
                <w:rFonts w:hint="eastAsia" w:ascii="宋体" w:hAnsi="宋体" w:cs="宋体"/>
                <w:szCs w:val="21"/>
              </w:rPr>
            </w:pPr>
            <w:r>
              <w:rPr>
                <w:rFonts w:hint="eastAsia" w:ascii="宋体" w:hAnsi="宋体" w:cs="宋体"/>
                <w:szCs w:val="21"/>
              </w:rPr>
              <w:t>（6）每一种采购内容只允许有一个报价，否则其投标将被视为无效投标。投标人所报的投标价在合同执行过程中是固定不变的，不得以任何理由予以变更</w:t>
            </w:r>
          </w:p>
          <w:p w14:paraId="3CE351C6">
            <w:pPr>
              <w:pStyle w:val="4"/>
              <w:wordWrap w:val="0"/>
              <w:rPr>
                <w:rFonts w:hint="eastAsia" w:ascii="宋体" w:hAnsi="宋体" w:cs="宋体"/>
                <w:szCs w:val="21"/>
                <w:lang w:val="zh-CN"/>
              </w:rPr>
            </w:pPr>
            <w:r>
              <w:rPr>
                <w:rFonts w:hint="eastAsia" w:ascii="宋体" w:hAnsi="宋体" w:cs="宋体"/>
                <w:szCs w:val="21"/>
              </w:rPr>
              <w:t>保险：本项目</w:t>
            </w:r>
            <w:r>
              <w:rPr>
                <w:rFonts w:hint="eastAsia" w:ascii="宋体" w:hAnsi="宋体" w:cs="宋体"/>
                <w:szCs w:val="21"/>
                <w:lang w:val="zh-CN"/>
              </w:rPr>
              <w:t>报价需包含至最终交货地点的全部保险费用，</w:t>
            </w:r>
            <w:r>
              <w:rPr>
                <w:rFonts w:hint="eastAsia" w:ascii="宋体" w:hAnsi="宋体" w:cs="宋体"/>
                <w:szCs w:val="21"/>
              </w:rPr>
              <w:t>以最终签署的合同约定内容为准</w:t>
            </w:r>
            <w:r>
              <w:rPr>
                <w:rFonts w:hint="eastAsia" w:ascii="宋体" w:hAnsi="宋体" w:cs="宋体"/>
                <w:szCs w:val="21"/>
                <w:lang w:val="zh-CN"/>
              </w:rPr>
              <w:t>。</w:t>
            </w:r>
          </w:p>
          <w:p w14:paraId="77C4F5EA">
            <w:pPr>
              <w:widowControl/>
              <w:autoSpaceDE w:val="0"/>
              <w:autoSpaceDN w:val="0"/>
              <w:adjustRightInd w:val="0"/>
              <w:snapToGrid w:val="0"/>
              <w:spacing w:line="360" w:lineRule="auto"/>
              <w:jc w:val="left"/>
              <w:rPr>
                <w:rFonts w:ascii="仿宋_GB2312" w:hAnsi="宋体" w:eastAsia="仿宋_GB2312" w:cs="宋体"/>
                <w:snapToGrid w:val="0"/>
                <w:kern w:val="0"/>
                <w:sz w:val="24"/>
                <w:szCs w:val="24"/>
                <w:lang w:val="zh-CN"/>
              </w:rPr>
            </w:pPr>
            <w:r>
              <w:rPr>
                <w:rFonts w:hint="eastAsia" w:ascii="宋体" w:hAnsi="宋体" w:cs="宋体"/>
                <w:szCs w:val="21"/>
              </w:rPr>
              <w:t>其他：投标人应结合本项目的采购需求及实际实施内容等情况，提供与之相关的交货、安装调试方案、质量保证措施、售后服务等内容。</w:t>
            </w:r>
          </w:p>
        </w:tc>
      </w:tr>
    </w:tbl>
    <w:p w14:paraId="583AF9F5">
      <w:pPr>
        <w:widowControl/>
        <w:ind w:firstLine="643" w:firstLineChars="200"/>
        <w:jc w:val="left"/>
        <w:rPr>
          <w:rFonts w:ascii="仿宋_GB2312" w:hAnsi="宋体" w:eastAsia="仿宋_GB2312" w:cs="仿宋"/>
          <w:b/>
          <w:kern w:val="0"/>
          <w:sz w:val="32"/>
          <w:szCs w:val="28"/>
          <w:shd w:val="clear" w:color="auto" w:fill="FFFFFF"/>
        </w:rPr>
      </w:pPr>
      <w:r>
        <w:rPr>
          <w:rFonts w:hint="eastAsia" w:ascii="仿宋_GB2312" w:hAnsi="宋体" w:eastAsia="仿宋_GB2312" w:cs="仿宋"/>
          <w:b/>
          <w:kern w:val="0"/>
          <w:sz w:val="32"/>
          <w:szCs w:val="28"/>
          <w:shd w:val="clear" w:color="auto" w:fill="FFFFFF"/>
        </w:rPr>
        <w:t>五、实现的政府采购政策目标</w:t>
      </w:r>
    </w:p>
    <w:p w14:paraId="699409F6">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48A65B74">
      <w:pPr>
        <w:spacing w:line="360" w:lineRule="auto"/>
        <w:ind w:firstLine="493"/>
        <w:jc w:val="left"/>
        <w:rPr>
          <w:rFonts w:ascii="仿宋_GB2312" w:hAnsi="宋体" w:eastAsia="仿宋_GB2312"/>
          <w:iCs/>
          <w:sz w:val="24"/>
          <w:szCs w:val="24"/>
        </w:rPr>
      </w:pPr>
      <w:r>
        <w:rPr>
          <w:rFonts w:ascii="仿宋_GB2312" w:hAnsi="宋体" w:eastAsia="仿宋_GB2312"/>
          <w:iCs/>
          <w:sz w:val="24"/>
          <w:szCs w:val="24"/>
        </w:rPr>
        <w:t>本项目为公开招标采购项目，严格落实节约能源、保护环境、促进中小企业发展、支持创新等政府采购政策。节能环保方面，优先选用能耗水平优良、绿色低污染、耗材可回收的显微仪器；创新支持方面，优先采购具备多终端互联交互、薄片全自动数字化扫描、宽温区精准温控观测等创新功能的地质显微设备，推动数字化地质教学科研应用。</w:t>
      </w:r>
    </w:p>
    <w:p w14:paraId="310F53F9">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bookmarkStart w:id="1" w:name="_GoBack"/>
      <w:bookmarkEnd w:id="1"/>
    </w:p>
    <w:p w14:paraId="34154156">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2E785DD4">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5AB462D5">
      <w:pPr>
        <w:spacing w:line="360" w:lineRule="auto"/>
        <w:ind w:firstLine="493"/>
        <w:jc w:val="left"/>
        <w:rPr>
          <w:rFonts w:ascii="仿宋_GB2312" w:hAnsi="宋体" w:eastAsia="仿宋_GB2312"/>
          <w:sz w:val="24"/>
          <w:szCs w:val="24"/>
        </w:rPr>
      </w:pPr>
      <w:r>
        <w:rPr>
          <w:rFonts w:ascii="Segoe UI Symbol" w:hAnsi="Segoe UI Symbol" w:eastAsia="仿宋_GB2312" w:cs="Segoe UI Symbol"/>
          <w:sz w:val="24"/>
          <w:szCs w:val="24"/>
        </w:rPr>
        <w:t>☑</w:t>
      </w:r>
      <w:r>
        <w:rPr>
          <w:rFonts w:hint="eastAsia" w:ascii="仿宋_GB2312" w:hAnsi="宋体" w:eastAsia="仿宋_GB2312"/>
          <w:sz w:val="24"/>
          <w:szCs w:val="24"/>
        </w:rPr>
        <w:t>非专门面向中小企业采购项目</w:t>
      </w:r>
    </w:p>
    <w:p w14:paraId="554076E5">
      <w:pPr>
        <w:spacing w:line="360" w:lineRule="auto"/>
        <w:ind w:firstLine="493"/>
        <w:jc w:val="left"/>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工业 </w:t>
      </w:r>
      <w:r>
        <w:rPr>
          <w:rFonts w:hint="eastAsia" w:ascii="仿宋_GB2312" w:hAnsi="宋体" w:eastAsia="仿宋_GB2312"/>
          <w:sz w:val="24"/>
          <w:szCs w:val="24"/>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C8E0672F-7C4F-4E23-8D22-F3E4DC44396F}"/>
  </w:font>
  <w:font w:name="Calibri Light">
    <w:panose1 w:val="020F03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00"/>
    <w:family w:val="auto"/>
    <w:pitch w:val="default"/>
    <w:sig w:usb0="00000000" w:usb1="00000000" w:usb2="00000000" w:usb3="00000000" w:csb0="00000000" w:csb1="00000000"/>
    <w:embedRegular r:id="rId2" w:fontKey="{7FA06BFB-B907-4A5E-A14F-A85484A9C7CA}"/>
  </w:font>
  <w:font w:name="微软雅黑">
    <w:panose1 w:val="020B0503020204020204"/>
    <w:charset w:val="86"/>
    <w:family w:val="auto"/>
    <w:pitch w:val="default"/>
    <w:sig w:usb0="80000287" w:usb1="2ACF3C50" w:usb2="00000016" w:usb3="00000000" w:csb0="0004001F" w:csb1="00000000"/>
  </w:font>
  <w:font w:name="方正小标宋简体">
    <w:panose1 w:val="02010600010101010101"/>
    <w:charset w:val="86"/>
    <w:family w:val="script"/>
    <w:pitch w:val="default"/>
    <w:sig w:usb0="00000001" w:usb1="080E0000" w:usb2="00000000" w:usb3="00000000" w:csb0="00040000" w:csb1="00000000"/>
    <w:embedRegular r:id="rId3" w:fontKey="{9B8F1DEA-9B2C-4C58-9B9B-357E5923D2F6}"/>
  </w:font>
  <w:font w:name="仿宋">
    <w:panose1 w:val="02010609060101010101"/>
    <w:charset w:val="86"/>
    <w:family w:val="modern"/>
    <w:pitch w:val="default"/>
    <w:sig w:usb0="800002BF" w:usb1="38CF7CFA" w:usb2="00000016" w:usb3="00000000" w:csb0="00040001" w:csb1="00000000"/>
    <w:embedRegular r:id="rId4" w:fontKey="{8709B228-194B-4422-A24C-8C27B065FF01}"/>
  </w:font>
  <w:font w:name="Cambria">
    <w:panose1 w:val="02040503050406030204"/>
    <w:charset w:val="00"/>
    <w:family w:val="roman"/>
    <w:pitch w:val="default"/>
    <w:sig w:usb0="E00006FF" w:usb1="420024FF" w:usb2="02000000" w:usb3="00000000" w:csb0="2000019F" w:csb1="00000000"/>
    <w:embedRegular r:id="rId5" w:fontKey="{B8C0C1EE-6A8F-4971-94AA-ED037D7A260A}"/>
  </w:font>
  <w:font w:name="Arial">
    <w:panose1 w:val="020B0604020202020204"/>
    <w:charset w:val="00"/>
    <w:family w:val="swiss"/>
    <w:pitch w:val="default"/>
    <w:sig w:usb0="E0002EFF" w:usb1="C000785B" w:usb2="00000009" w:usb3="00000000" w:csb0="400001FF" w:csb1="FFFF0000"/>
    <w:embedRegular r:id="rId6" w:fontKey="{99984CA3-DBA3-4E6B-BFBB-C1F01840C362}"/>
  </w:font>
  <w:font w:name="Wingdings 2">
    <w:altName w:val="Wingdings"/>
    <w:panose1 w:val="05020102010507070707"/>
    <w:charset w:val="02"/>
    <w:family w:val="roman"/>
    <w:pitch w:val="default"/>
    <w:sig w:usb0="00000000" w:usb1="00000000" w:usb2="00000000" w:usb3="00000000" w:csb0="80000000" w:csb1="00000000"/>
    <w:embedRegular r:id="rId7" w:fontKey="{275FA03F-2CCC-49EC-8D8A-CBFD7AB4FAEE}"/>
  </w:font>
  <w:font w:name="Courier New">
    <w:panose1 w:val="02070309020205020404"/>
    <w:charset w:val="00"/>
    <w:family w:val="modern"/>
    <w:pitch w:val="default"/>
    <w:sig w:usb0="E0002EFF" w:usb1="C0007843" w:usb2="00000009" w:usb3="00000000" w:csb0="400001FF" w:csb1="FFFF0000"/>
    <w:embedRegular r:id="rId8" w:fontKey="{0613A89E-12C1-4304-B1EC-5B99EBCA6EA8}"/>
  </w:font>
  <w:font w:name="Segoe UI Symbol">
    <w:panose1 w:val="020B0502040204020203"/>
    <w:charset w:val="00"/>
    <w:family w:val="swiss"/>
    <w:pitch w:val="default"/>
    <w:sig w:usb0="800001E3" w:usb1="1200FFEF" w:usb2="00040000" w:usb3="04000000" w:csb0="00000001" w:csb1="40000000"/>
    <w:embedRegular r:id="rId9" w:fontKey="{31EE4050-7878-47B3-8D18-042E4D71B4E2}"/>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9DB094"/>
    <w:multiLevelType w:val="singleLevel"/>
    <w:tmpl w:val="379DB09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0023125"/>
    <w:rsid w:val="000554E9"/>
    <w:rsid w:val="000B0B25"/>
    <w:rsid w:val="000F0F07"/>
    <w:rsid w:val="000F74B0"/>
    <w:rsid w:val="00104060"/>
    <w:rsid w:val="00110B68"/>
    <w:rsid w:val="00111AD5"/>
    <w:rsid w:val="001774AD"/>
    <w:rsid w:val="001A27C5"/>
    <w:rsid w:val="001C2338"/>
    <w:rsid w:val="001C7393"/>
    <w:rsid w:val="0022323E"/>
    <w:rsid w:val="002B2AF9"/>
    <w:rsid w:val="002B7CBA"/>
    <w:rsid w:val="002D0A54"/>
    <w:rsid w:val="002E0E08"/>
    <w:rsid w:val="002F2CA1"/>
    <w:rsid w:val="00324995"/>
    <w:rsid w:val="00327B68"/>
    <w:rsid w:val="00332460"/>
    <w:rsid w:val="0037490D"/>
    <w:rsid w:val="003A3247"/>
    <w:rsid w:val="0040769B"/>
    <w:rsid w:val="0045030F"/>
    <w:rsid w:val="004540BF"/>
    <w:rsid w:val="004913D7"/>
    <w:rsid w:val="004930DC"/>
    <w:rsid w:val="00497FC1"/>
    <w:rsid w:val="0050505B"/>
    <w:rsid w:val="00517789"/>
    <w:rsid w:val="00523E75"/>
    <w:rsid w:val="0052630D"/>
    <w:rsid w:val="005276F6"/>
    <w:rsid w:val="00574FAE"/>
    <w:rsid w:val="00576E00"/>
    <w:rsid w:val="00580D67"/>
    <w:rsid w:val="005C3551"/>
    <w:rsid w:val="005D2FB9"/>
    <w:rsid w:val="006230A8"/>
    <w:rsid w:val="006321ED"/>
    <w:rsid w:val="006B7DB8"/>
    <w:rsid w:val="0070578A"/>
    <w:rsid w:val="007317CE"/>
    <w:rsid w:val="00737FF5"/>
    <w:rsid w:val="00764C6C"/>
    <w:rsid w:val="007D494C"/>
    <w:rsid w:val="00814BE3"/>
    <w:rsid w:val="00820B71"/>
    <w:rsid w:val="00826C75"/>
    <w:rsid w:val="00835295"/>
    <w:rsid w:val="00862E69"/>
    <w:rsid w:val="00874F7D"/>
    <w:rsid w:val="008F66CC"/>
    <w:rsid w:val="00901297"/>
    <w:rsid w:val="009014A5"/>
    <w:rsid w:val="009547C4"/>
    <w:rsid w:val="00961113"/>
    <w:rsid w:val="00966B67"/>
    <w:rsid w:val="0096742F"/>
    <w:rsid w:val="00975793"/>
    <w:rsid w:val="009B5AED"/>
    <w:rsid w:val="00A02EE9"/>
    <w:rsid w:val="00A217DF"/>
    <w:rsid w:val="00A373E3"/>
    <w:rsid w:val="00A54B2B"/>
    <w:rsid w:val="00A64AE6"/>
    <w:rsid w:val="00A710E6"/>
    <w:rsid w:val="00A76571"/>
    <w:rsid w:val="00A902ED"/>
    <w:rsid w:val="00AC66BA"/>
    <w:rsid w:val="00B0117F"/>
    <w:rsid w:val="00B12095"/>
    <w:rsid w:val="00B759C9"/>
    <w:rsid w:val="00B80AB3"/>
    <w:rsid w:val="00BA7401"/>
    <w:rsid w:val="00C0792D"/>
    <w:rsid w:val="00C137CE"/>
    <w:rsid w:val="00C24013"/>
    <w:rsid w:val="00C6369A"/>
    <w:rsid w:val="00C86F02"/>
    <w:rsid w:val="00C96174"/>
    <w:rsid w:val="00C96992"/>
    <w:rsid w:val="00CD320B"/>
    <w:rsid w:val="00CD51BA"/>
    <w:rsid w:val="00D10CEA"/>
    <w:rsid w:val="00D20FB0"/>
    <w:rsid w:val="00D31C47"/>
    <w:rsid w:val="00DC6564"/>
    <w:rsid w:val="00E062EE"/>
    <w:rsid w:val="00E14DE2"/>
    <w:rsid w:val="00E3564C"/>
    <w:rsid w:val="00E61B3B"/>
    <w:rsid w:val="00E63C67"/>
    <w:rsid w:val="00E85F36"/>
    <w:rsid w:val="00E921F8"/>
    <w:rsid w:val="00EA46DF"/>
    <w:rsid w:val="00ED2ABB"/>
    <w:rsid w:val="00EF122B"/>
    <w:rsid w:val="00EF4E03"/>
    <w:rsid w:val="00F17ED7"/>
    <w:rsid w:val="00F34088"/>
    <w:rsid w:val="00F9124C"/>
    <w:rsid w:val="00FB4394"/>
    <w:rsid w:val="00FE5F77"/>
    <w:rsid w:val="00FE7B73"/>
    <w:rsid w:val="116A7B53"/>
    <w:rsid w:val="168A550D"/>
    <w:rsid w:val="18612414"/>
    <w:rsid w:val="18AE6318"/>
    <w:rsid w:val="28A773D8"/>
    <w:rsid w:val="30BA5D16"/>
    <w:rsid w:val="32B93C41"/>
    <w:rsid w:val="331839BB"/>
    <w:rsid w:val="35F27141"/>
    <w:rsid w:val="36C50230"/>
    <w:rsid w:val="399C2C31"/>
    <w:rsid w:val="399E5C14"/>
    <w:rsid w:val="42BE4412"/>
    <w:rsid w:val="54D25EB5"/>
    <w:rsid w:val="5DAD333C"/>
    <w:rsid w:val="61041926"/>
    <w:rsid w:val="63EC46AC"/>
    <w:rsid w:val="66880B9D"/>
    <w:rsid w:val="73414793"/>
    <w:rsid w:val="7BB91D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4"/>
    <w:unhideWhenUsed/>
    <w:qFormat/>
    <w:uiPriority w:val="99"/>
    <w:pPr>
      <w:jc w:val="left"/>
    </w:pPr>
    <w:rPr>
      <w:rFonts w:ascii="Calibri" w:hAnsi="Calibri" w:eastAsia="宋体" w:cs="Times New Roman"/>
      <w:szCs w:val="24"/>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页眉 字符"/>
    <w:basedOn w:val="9"/>
    <w:link w:val="6"/>
    <w:qFormat/>
    <w:uiPriority w:val="0"/>
    <w:rPr>
      <w:rFonts w:asciiTheme="minorHAnsi" w:hAnsiTheme="minorHAnsi" w:eastAsiaTheme="minorEastAsia" w:cstheme="minorBidi"/>
      <w:kern w:val="2"/>
      <w:sz w:val="18"/>
      <w:szCs w:val="18"/>
    </w:rPr>
  </w:style>
  <w:style w:type="character" w:customStyle="1" w:styleId="12">
    <w:name w:val="页脚 字符"/>
    <w:basedOn w:val="9"/>
    <w:link w:val="5"/>
    <w:uiPriority w:val="0"/>
    <w:rPr>
      <w:rFonts w:asciiTheme="minorHAnsi" w:hAnsiTheme="minorHAnsi" w:eastAsiaTheme="minorEastAsia" w:cstheme="minorBidi"/>
      <w:kern w:val="2"/>
      <w:sz w:val="18"/>
      <w:szCs w:val="18"/>
    </w:rPr>
  </w:style>
  <w:style w:type="paragraph" w:customStyle="1" w:styleId="13">
    <w:name w:val="Table Paragraph"/>
    <w:basedOn w:val="1"/>
    <w:qFormat/>
    <w:uiPriority w:val="1"/>
    <w:pPr>
      <w:autoSpaceDE w:val="0"/>
      <w:autoSpaceDN w:val="0"/>
      <w:adjustRightInd w:val="0"/>
      <w:jc w:val="left"/>
    </w:pPr>
    <w:rPr>
      <w:rFonts w:ascii="Times New Roman" w:hAnsi="Times New Roman" w:eastAsia="等线" w:cs="Times New Roman"/>
      <w:kern w:val="0"/>
      <w:sz w:val="24"/>
      <w:szCs w:val="24"/>
    </w:rPr>
  </w:style>
  <w:style w:type="character" w:customStyle="1" w:styleId="14">
    <w:name w:val="批注文字 字符"/>
    <w:basedOn w:val="9"/>
    <w:link w:val="4"/>
    <w:qFormat/>
    <w:uiPriority w:val="99"/>
    <w:rPr>
      <w:rFonts w:ascii="Calibri" w:hAnsi="Calibri"/>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1095</Words>
  <Characters>1111</Characters>
  <Lines>95</Lines>
  <Paragraphs>26</Paragraphs>
  <TotalTime>55</TotalTime>
  <ScaleCrop>false</ScaleCrop>
  <LinksUpToDate>false</LinksUpToDate>
  <CharactersWithSpaces>1139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dd</cp:lastModifiedBy>
  <dcterms:modified xsi:type="dcterms:W3CDTF">2026-08-16T06:07:47Z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E94FEC2E1B114F42B7236B0D74BA3B2F_13</vt:lpwstr>
  </property>
  <property fmtid="{D5CDD505-2E9C-101B-9397-08002B2CF9AE}" pid="4" name="KSOTemplateDocerSaveRecord">
    <vt:lpwstr>eyJoZGlkIjoiYzVlYmI3M2M4OWE3YWUyYTVmNWVhOGI1NmY0NTYxMTciLCJ1c2VySWQiOiIxNTM1ODk5ODk4In0=</vt:lpwstr>
  </property>
</Properties>
</file>