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FE702">
      <w:pPr>
        <w:widowControl/>
        <w:adjustRightInd w:val="0"/>
        <w:snapToGrid w:val="0"/>
        <w:spacing w:line="600" w:lineRule="exact"/>
        <w:jc w:val="left"/>
        <w:outlineLvl w:val="1"/>
        <w:rPr>
          <w:rFonts w:hint="eastAsia"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216E0B0D">
      <w:pPr>
        <w:pStyle w:val="4"/>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15AAA49A">
      <w:pPr>
        <w:pStyle w:val="4"/>
        <w:spacing w:before="0" w:after="0" w:line="360" w:lineRule="auto"/>
        <w:jc w:val="center"/>
        <w:rPr>
          <w:rFonts w:hint="eastAsia" w:ascii="宋体" w:hAnsi="宋体"/>
          <w:szCs w:val="28"/>
        </w:rPr>
      </w:pPr>
    </w:p>
    <w:p w14:paraId="4E79683C">
      <w:pPr>
        <w:pStyle w:val="4"/>
        <w:spacing w:before="0" w:after="0" w:line="360" w:lineRule="auto"/>
        <w:jc w:val="center"/>
        <w:rPr>
          <w:rFonts w:hint="eastAsia" w:ascii="宋体" w:hAnsi="宋体"/>
          <w:szCs w:val="28"/>
        </w:rPr>
      </w:pPr>
    </w:p>
    <w:p w14:paraId="22A099CB"/>
    <w:p w14:paraId="0638CBFA">
      <w:pPr>
        <w:rPr>
          <w:rFonts w:hint="eastAsia" w:ascii="宋体" w:hAnsi="宋体"/>
          <w:szCs w:val="28"/>
        </w:rPr>
      </w:pPr>
    </w:p>
    <w:p w14:paraId="4BF5F762">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362041F8"/>
    <w:p w14:paraId="0E8F98FE">
      <w:pPr>
        <w:ind w:firstLine="1044" w:firstLineChars="400"/>
        <w:rPr>
          <w:rFonts w:hint="eastAsia" w:ascii="仿宋" w:hAnsi="仿宋" w:eastAsia="仿宋" w:cs="仿宋"/>
          <w:b/>
          <w:bCs/>
          <w:color w:val="000000"/>
          <w:kern w:val="0"/>
          <w:sz w:val="26"/>
          <w:szCs w:val="26"/>
          <w:shd w:val="clear" w:color="auto" w:fill="FFFFFF"/>
        </w:rPr>
      </w:pPr>
    </w:p>
    <w:p w14:paraId="35ED1035">
      <w:pPr>
        <w:ind w:firstLine="1044" w:firstLineChars="400"/>
        <w:rPr>
          <w:rFonts w:hint="eastAsia" w:ascii="仿宋" w:hAnsi="仿宋" w:eastAsia="仿宋" w:cs="仿宋"/>
          <w:b/>
          <w:bCs/>
          <w:color w:val="000000"/>
          <w:kern w:val="0"/>
          <w:sz w:val="26"/>
          <w:szCs w:val="26"/>
          <w:shd w:val="clear" w:color="auto" w:fill="FFFFFF"/>
        </w:rPr>
      </w:pPr>
    </w:p>
    <w:p w14:paraId="6293831D">
      <w:pPr>
        <w:ind w:firstLine="1044" w:firstLineChars="400"/>
        <w:rPr>
          <w:rFonts w:hint="eastAsia" w:ascii="仿宋" w:hAnsi="仿宋" w:eastAsia="仿宋" w:cs="仿宋"/>
          <w:b/>
          <w:bCs/>
          <w:color w:val="000000"/>
          <w:kern w:val="0"/>
          <w:sz w:val="26"/>
          <w:szCs w:val="26"/>
          <w:shd w:val="clear" w:color="auto" w:fill="FFFFFF"/>
        </w:rPr>
      </w:pPr>
    </w:p>
    <w:p w14:paraId="5019E2C6">
      <w:pPr>
        <w:tabs>
          <w:tab w:val="left" w:pos="1276"/>
        </w:tabs>
        <w:spacing w:line="720" w:lineRule="auto"/>
        <w:ind w:left="1558" w:leftChars="742"/>
        <w:rPr>
          <w:rFonts w:hint="default" w:ascii="方正小标宋简体" w:hAnsi="方正小标宋简体" w:eastAsia="方正小标宋简体" w:cs="Calibri"/>
          <w:color w:val="000000"/>
          <w:kern w:val="0"/>
          <w:sz w:val="32"/>
          <w:szCs w:val="32"/>
          <w:u w:val="single"/>
          <w:shd w:val="clear" w:color="auto" w:fill="FFFFFF"/>
          <w:lang w:val="en-US" w:eastAsia="zh-CN"/>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中国地质大学（武汉）</w:t>
      </w:r>
      <w:r>
        <w:rPr>
          <w:rFonts w:ascii="Cambria" w:hAnsi="Cambria" w:eastAsia="方正小标宋简体" w:cs="Cambria"/>
          <w:color w:val="000000"/>
          <w:kern w:val="0"/>
          <w:sz w:val="32"/>
          <w:szCs w:val="32"/>
          <w:u w:val="single"/>
          <w:shd w:val="clear" w:color="auto" w:fill="FFFFFF"/>
        </w:rPr>
        <w:t>构造物理模拟综合实验</w:t>
      </w:r>
      <w:r>
        <w:rPr>
          <w:rFonts w:hint="eastAsia" w:ascii="Cambria" w:hAnsi="Cambria" w:eastAsia="方正小标宋简体" w:cs="Cambria"/>
          <w:color w:val="000000"/>
          <w:kern w:val="0"/>
          <w:sz w:val="32"/>
          <w:szCs w:val="32"/>
          <w:u w:val="single"/>
          <w:shd w:val="clear" w:color="auto" w:fill="FFFFFF"/>
        </w:rPr>
        <w:t>教学设备</w:t>
      </w:r>
      <w:r>
        <w:rPr>
          <w:rFonts w:hint="eastAsia" w:ascii="Cambria" w:hAnsi="Cambria" w:eastAsia="方正小标宋简体" w:cs="Cambria"/>
          <w:color w:val="000000"/>
          <w:kern w:val="0"/>
          <w:sz w:val="32"/>
          <w:szCs w:val="32"/>
          <w:u w:val="single"/>
          <w:shd w:val="clear" w:color="auto" w:fill="FFFFFF"/>
          <w:lang w:val="en-US" w:eastAsia="zh-CN"/>
        </w:rPr>
        <w:t xml:space="preserve">                          </w:t>
      </w:r>
    </w:p>
    <w:p w14:paraId="0C1DADB5">
      <w:pPr>
        <w:tabs>
          <w:tab w:val="left" w:pos="1276"/>
        </w:tabs>
        <w:spacing w:line="720" w:lineRule="auto"/>
        <w:ind w:left="1558" w:leftChars="742"/>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地球与行星科学学院</w:t>
      </w:r>
      <w:r>
        <w:rPr>
          <w:rFonts w:hint="eastAsia" w:ascii="Cambria" w:hAnsi="Cambria" w:eastAsia="方正小标宋简体" w:cs="Cambria"/>
          <w:color w:val="000000"/>
          <w:kern w:val="0"/>
          <w:sz w:val="32"/>
          <w:szCs w:val="32"/>
          <w:u w:val="single"/>
          <w:shd w:val="clear" w:color="auto" w:fill="FFFFFF"/>
          <w:lang w:val="en-US" w:eastAsia="zh-CN"/>
        </w:rPr>
        <w:t xml:space="preserve">        </w:t>
      </w:r>
      <w:r>
        <w:rPr>
          <w:rFonts w:ascii="Cambria" w:hAnsi="Cambria" w:eastAsia="方正小标宋简体" w:cs="Cambria"/>
          <w:color w:val="000000"/>
          <w:kern w:val="0"/>
          <w:sz w:val="32"/>
          <w:szCs w:val="32"/>
          <w:u w:val="single"/>
          <w:shd w:val="clear" w:color="auto" w:fill="FFFFFF"/>
        </w:rPr>
        <w:t>            </w:t>
      </w:r>
    </w:p>
    <w:p w14:paraId="699DC22E">
      <w:pPr>
        <w:tabs>
          <w:tab w:val="left" w:pos="1276"/>
        </w:tabs>
        <w:spacing w:line="720" w:lineRule="auto"/>
        <w:ind w:left="1558" w:leftChars="742" w:firstLine="16" w:firstLineChars="5"/>
        <w:rPr>
          <w:rFonts w:hint="eastAsia"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2026年7月25日</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 xml:space="preserve">    </w:t>
      </w:r>
      <w:r>
        <w:rPr>
          <w:rFonts w:hint="eastAsia" w:ascii="Cambria" w:hAnsi="Cambria" w:eastAsia="方正小标宋简体" w:cs="Cambria"/>
          <w:color w:val="000000"/>
          <w:kern w:val="0"/>
          <w:sz w:val="32"/>
          <w:szCs w:val="32"/>
          <w:u w:val="single"/>
          <w:shd w:val="clear" w:color="auto" w:fill="FFFFFF"/>
          <w:lang w:val="en-US" w:eastAsia="zh-CN"/>
        </w:rPr>
        <w:t xml:space="preserve">   </w:t>
      </w:r>
      <w:r>
        <w:rPr>
          <w:rFonts w:hint="eastAsia" w:ascii="Cambria" w:hAnsi="Cambria" w:eastAsia="方正小标宋简体" w:cs="Cambria"/>
          <w:color w:val="000000"/>
          <w:kern w:val="0"/>
          <w:sz w:val="32"/>
          <w:szCs w:val="32"/>
          <w:u w:val="single"/>
          <w:shd w:val="clear" w:color="auto" w:fill="FFFFFF"/>
        </w:rPr>
        <w:t xml:space="preserve">    </w:t>
      </w:r>
    </w:p>
    <w:p w14:paraId="642F5F36">
      <w:pPr>
        <w:rPr>
          <w:rFonts w:hint="eastAsia" w:ascii="宋体" w:hAnsi="宋体"/>
          <w:color w:val="FF0000"/>
          <w:sz w:val="28"/>
          <w:szCs w:val="28"/>
        </w:rPr>
      </w:pPr>
    </w:p>
    <w:p w14:paraId="0864882B">
      <w:pPr>
        <w:rPr>
          <w:rFonts w:hint="eastAsia" w:ascii="宋体" w:hAnsi="宋体"/>
          <w:color w:val="FF0000"/>
          <w:sz w:val="28"/>
          <w:szCs w:val="28"/>
        </w:rPr>
      </w:pPr>
    </w:p>
    <w:p w14:paraId="13C87C2B">
      <w:pPr>
        <w:rPr>
          <w:rFonts w:hint="eastAsia" w:ascii="宋体" w:hAnsi="宋体"/>
          <w:color w:val="FF0000"/>
          <w:sz w:val="28"/>
          <w:szCs w:val="28"/>
        </w:rPr>
      </w:pPr>
    </w:p>
    <w:p w14:paraId="56F44F36">
      <w:pPr>
        <w:jc w:val="center"/>
        <w:rPr>
          <w:rFonts w:hint="eastAsia" w:ascii="方正小标宋简体" w:hAnsi="方正小标宋简体" w:eastAsia="方正小标宋简体" w:cs="仿宋"/>
          <w:color w:val="000000"/>
          <w:kern w:val="0"/>
          <w:sz w:val="32"/>
          <w:szCs w:val="32"/>
          <w:shd w:val="clear" w:color="auto" w:fill="FFFFFF"/>
        </w:rPr>
      </w:pPr>
    </w:p>
    <w:p w14:paraId="758FB743">
      <w:pPr>
        <w:widowControl/>
        <w:jc w:val="left"/>
        <w:rPr>
          <w:rFonts w:hint="eastAsia"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25766DB8">
      <w:pPr>
        <w:jc w:val="center"/>
        <w:rPr>
          <w:rFonts w:hint="eastAsia"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4B5BE05E">
      <w:pPr>
        <w:widowControl/>
        <w:spacing w:line="560" w:lineRule="atLeast"/>
        <w:ind w:firstLine="640"/>
        <w:jc w:val="left"/>
        <w:rPr>
          <w:rFonts w:hint="eastAsia" w:ascii="宋体" w:hAnsi="宋体" w:cs="仿宋"/>
          <w:color w:val="000000"/>
          <w:kern w:val="0"/>
          <w:sz w:val="28"/>
          <w:szCs w:val="28"/>
          <w:shd w:val="clear" w:color="auto" w:fill="FFFFFF"/>
        </w:rPr>
      </w:pPr>
    </w:p>
    <w:p w14:paraId="1EBB5CA7">
      <w:pPr>
        <w:widowControl/>
        <w:spacing w:line="560" w:lineRule="atLeast"/>
        <w:ind w:firstLine="640"/>
        <w:jc w:val="left"/>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14DE38BB">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2C330B0B">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3D3B65CF">
      <w:pPr>
        <w:widowControl/>
        <w:spacing w:line="560" w:lineRule="atLeast"/>
        <w:ind w:firstLine="640"/>
        <w:jc w:val="left"/>
        <w:rPr>
          <w:rFonts w:hint="eastAsia"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2ABD949C"/>
    <w:p w14:paraId="45FAF96A">
      <w:pPr>
        <w:spacing w:line="360" w:lineRule="auto"/>
      </w:pPr>
    </w:p>
    <w:p w14:paraId="483F420E">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3DD5F82A">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549E3E5F">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55CB978E">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7E8202A4">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5CAC4889">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58678C74">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1784326F">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458F7C34">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2C9CB35B">
      <w:pPr>
        <w:widowControl/>
        <w:shd w:val="clear" w:color="auto" w:fill="FFFFFF"/>
        <w:spacing w:line="360" w:lineRule="auto"/>
        <w:ind w:firstLine="562" w:firstLineChars="200"/>
        <w:jc w:val="left"/>
        <w:rPr>
          <w:rFonts w:hint="eastAsia" w:ascii="宋体" w:hAnsi="宋体" w:cs="Arial"/>
          <w:b/>
          <w:color w:val="333333"/>
          <w:kern w:val="0"/>
          <w:sz w:val="28"/>
          <w:szCs w:val="28"/>
        </w:rPr>
      </w:pPr>
    </w:p>
    <w:p w14:paraId="12996315">
      <w:pPr>
        <w:widowControl/>
        <w:shd w:val="clear" w:color="auto" w:fill="FFFFFF"/>
        <w:spacing w:line="360" w:lineRule="auto"/>
        <w:jc w:val="left"/>
        <w:rPr>
          <w:rFonts w:hint="eastAsia" w:ascii="宋体" w:hAnsi="宋体" w:cs="Arial"/>
          <w:b/>
          <w:color w:val="333333"/>
          <w:kern w:val="0"/>
          <w:sz w:val="28"/>
          <w:szCs w:val="28"/>
        </w:rPr>
      </w:pPr>
    </w:p>
    <w:p w14:paraId="217AD8E0">
      <w:pPr>
        <w:widowControl/>
        <w:ind w:firstLine="482" w:firstLineChars="200"/>
        <w:jc w:val="left"/>
        <w:rPr>
          <w:rFonts w:hint="eastAsia"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宋体" w:hAnsi="宋体" w:cs="Arial"/>
          <w:b/>
          <w:color w:val="333333"/>
          <w:kern w:val="0"/>
          <w:sz w:val="24"/>
          <w:szCs w:val="24"/>
        </w:rPr>
        <w:t xml:space="preserve">  </w:t>
      </w:r>
      <w:r>
        <w:rPr>
          <w:rFonts w:hint="eastAsia" w:ascii="仿宋_GB2312" w:hAnsi="宋体" w:eastAsia="仿宋_GB2312" w:cs="仿宋"/>
          <w:b/>
          <w:color w:val="000000"/>
          <w:kern w:val="0"/>
          <w:sz w:val="32"/>
          <w:szCs w:val="28"/>
          <w:shd w:val="clear" w:color="auto" w:fill="FFFFFF"/>
        </w:rPr>
        <w:t>一、项目概况</w:t>
      </w:r>
    </w:p>
    <w:p w14:paraId="5B6132FD">
      <w:pPr>
        <w:spacing w:line="360" w:lineRule="auto"/>
        <w:ind w:firstLine="482" w:firstLineChars="200"/>
        <w:rPr>
          <w:rFonts w:hint="eastAsia" w:asciiTheme="minorEastAsia" w:hAnsiTheme="minorEastAsia"/>
          <w:b/>
          <w:bCs/>
          <w:sz w:val="24"/>
          <w:szCs w:val="24"/>
          <w:shd w:val="clear" w:color="auto" w:fill="FFFFFF"/>
        </w:rPr>
      </w:pPr>
      <w:r>
        <w:rPr>
          <w:rFonts w:hint="eastAsia" w:asciiTheme="minorEastAsia" w:hAnsiTheme="minorEastAsia"/>
          <w:b/>
          <w:bCs/>
          <w:sz w:val="24"/>
          <w:szCs w:val="24"/>
          <w:shd w:val="clear" w:color="auto" w:fill="FFFFFF"/>
        </w:rPr>
        <w:t>1.项目背景和立项目的</w:t>
      </w:r>
    </w:p>
    <w:p w14:paraId="7DDA4B61">
      <w:pPr>
        <w:spacing w:line="360" w:lineRule="auto"/>
        <w:ind w:firstLine="482" w:firstLineChars="200"/>
        <w:rPr>
          <w:rFonts w:hint="eastAsia" w:asciiTheme="minorEastAsia" w:hAnsiTheme="minorEastAsia"/>
          <w:sz w:val="24"/>
          <w:szCs w:val="24"/>
          <w:shd w:val="clear" w:color="auto" w:fill="FFFFFF"/>
        </w:rPr>
      </w:pPr>
      <w:r>
        <w:rPr>
          <w:rFonts w:asciiTheme="minorEastAsia" w:hAnsiTheme="minorEastAsia"/>
          <w:b/>
          <w:bCs/>
          <w:sz w:val="24"/>
          <w:szCs w:val="24"/>
          <w:shd w:val="clear" w:color="auto" w:fill="FFFFFF"/>
        </w:rPr>
        <w:t>构造物理模拟设备依托相似原理</w:t>
      </w:r>
      <w:r>
        <w:rPr>
          <w:rFonts w:hint="eastAsia" w:asciiTheme="minorEastAsia" w:hAnsiTheme="minorEastAsia"/>
          <w:b/>
          <w:bCs/>
          <w:sz w:val="24"/>
          <w:szCs w:val="24"/>
          <w:shd w:val="clear" w:color="auto" w:fill="FFFFFF"/>
        </w:rPr>
        <w:t>，对构造变形过程进行实验模拟和定量解析，为造山带和盆地构造演化、石油和金属控矿</w:t>
      </w:r>
      <w:r>
        <w:rPr>
          <w:rFonts w:asciiTheme="minorEastAsia" w:hAnsiTheme="minorEastAsia"/>
          <w:b/>
          <w:bCs/>
          <w:sz w:val="24"/>
          <w:szCs w:val="24"/>
          <w:shd w:val="clear" w:color="auto" w:fill="FFFFFF"/>
        </w:rPr>
        <w:t>构造</w:t>
      </w:r>
      <w:r>
        <w:rPr>
          <w:rFonts w:hint="eastAsia" w:asciiTheme="minorEastAsia" w:hAnsiTheme="minorEastAsia"/>
          <w:b/>
          <w:bCs/>
          <w:sz w:val="24"/>
          <w:szCs w:val="24"/>
          <w:shd w:val="clear" w:color="auto" w:fill="FFFFFF"/>
        </w:rPr>
        <w:t>机制研究提供重要科学支</w:t>
      </w:r>
      <w:r>
        <w:rPr>
          <w:rFonts w:asciiTheme="minorEastAsia" w:hAnsiTheme="minorEastAsia"/>
          <w:b/>
          <w:bCs/>
          <w:sz w:val="24"/>
          <w:szCs w:val="24"/>
          <w:shd w:val="clear" w:color="auto" w:fill="FFFFFF"/>
        </w:rPr>
        <w:t>撑。</w:t>
      </w:r>
      <w:r>
        <w:rPr>
          <w:rFonts w:hint="eastAsia" w:asciiTheme="minorEastAsia" w:hAnsiTheme="minorEastAsia"/>
          <w:sz w:val="24"/>
          <w:szCs w:val="24"/>
          <w:shd w:val="clear" w:color="auto" w:fill="FFFFFF"/>
        </w:rPr>
        <w:t>构造物理模拟实验设备依托相似原理还原地层受挤压、拉伸、剪切产生的褶皱、断层、滑脱构造等形变过程。教学方面，将抽象的应力传递、构造演化动态展示出来，便于学生理解构造形成机制，提升构造解析、野外填图的实操素养，完善地质专业实践教学环节。科研层面，可重现造山带演化、盆地发育、控矿断裂系统等地质过程，获取量化形变参数，校正数值模拟结果，厘清地质现象的成因机理。天然地质过程尺度大、周期漫长，仅依靠野外观测与理论推演存在多解问题。该实验设备是衔接理论、野外、数值模拟的桥梁，既是高校地质实践教学的刚需设施，也是构造地质、矿产勘查、深地研究不可或缺的科研平台。</w:t>
      </w:r>
    </w:p>
    <w:p w14:paraId="188803A6">
      <w:pPr>
        <w:spacing w:line="360" w:lineRule="auto"/>
        <w:ind w:firstLine="482" w:firstLineChars="200"/>
        <w:rPr>
          <w:rFonts w:hint="eastAsia" w:asciiTheme="minorEastAsia" w:hAnsiTheme="minorEastAsia"/>
          <w:sz w:val="24"/>
          <w:szCs w:val="24"/>
          <w:shd w:val="clear" w:color="auto" w:fill="FFFFFF"/>
        </w:rPr>
      </w:pPr>
      <w:r>
        <w:rPr>
          <w:rFonts w:hint="eastAsia" w:asciiTheme="minorEastAsia" w:hAnsiTheme="minorEastAsia"/>
          <w:b/>
          <w:bCs/>
          <w:sz w:val="24"/>
          <w:szCs w:val="24"/>
          <w:shd w:val="clear" w:color="auto" w:fill="FFFFFF"/>
        </w:rPr>
        <w:t>构造物理模拟实验平台已是全球地学高校和研究机构配置的重要实验和教学实验平台。</w:t>
      </w:r>
      <w:r>
        <w:rPr>
          <w:rFonts w:hint="eastAsia" w:asciiTheme="minorEastAsia" w:hAnsiTheme="minorEastAsia"/>
          <w:sz w:val="24"/>
          <w:szCs w:val="24"/>
          <w:shd w:val="clear" w:color="auto" w:fill="FFFFFF"/>
        </w:rPr>
        <w:t>国外麻省理工、德州大学、伦敦大学等均搭建专业化模拟系统，支撑构造动力学研究。国内地矿类高校，如南京大学，石油大学等，普遍配套该装置，服务本科实践教学与盆地、造山带、控矿构造科研。该设备现已成为高校地质学专业重要的教学平台。</w:t>
      </w:r>
    </w:p>
    <w:p w14:paraId="0B8665D2">
      <w:pPr>
        <w:spacing w:line="360" w:lineRule="auto"/>
        <w:ind w:firstLine="482" w:firstLineChars="200"/>
        <w:rPr>
          <w:rFonts w:hint="eastAsia" w:asciiTheme="minorEastAsia" w:hAnsiTheme="minorEastAsia"/>
          <w:sz w:val="24"/>
          <w:szCs w:val="24"/>
          <w:shd w:val="clear" w:color="auto" w:fill="FFFFFF"/>
        </w:rPr>
      </w:pPr>
      <w:r>
        <w:rPr>
          <w:rFonts w:hint="eastAsia" w:asciiTheme="minorEastAsia" w:hAnsiTheme="minorEastAsia"/>
          <w:b/>
          <w:bCs/>
          <w:sz w:val="24"/>
          <w:szCs w:val="24"/>
          <w:shd w:val="clear" w:color="auto" w:fill="FFFFFF"/>
        </w:rPr>
        <w:t>目前，现有“构造物理模拟综合实验平台”设备投入使用超过10年以上，</w:t>
      </w:r>
      <w:r>
        <w:rPr>
          <w:rFonts w:asciiTheme="minorEastAsia" w:hAnsiTheme="minorEastAsia"/>
          <w:b/>
          <w:bCs/>
          <w:sz w:val="24"/>
          <w:szCs w:val="24"/>
          <w:shd w:val="clear" w:color="auto" w:fill="FFFFFF"/>
        </w:rPr>
        <w:t>已超过规定期限</w:t>
      </w:r>
      <w:r>
        <w:rPr>
          <w:rFonts w:hint="eastAsia" w:asciiTheme="minorEastAsia" w:hAnsiTheme="minorEastAsia"/>
          <w:b/>
          <w:bCs/>
          <w:sz w:val="24"/>
          <w:szCs w:val="24"/>
          <w:shd w:val="clear" w:color="auto" w:fill="FFFFFF"/>
        </w:rPr>
        <w:t>。</w:t>
      </w:r>
      <w:r>
        <w:rPr>
          <w:rFonts w:asciiTheme="minorEastAsia" w:hAnsiTheme="minorEastAsia"/>
          <w:sz w:val="24"/>
          <w:szCs w:val="24"/>
          <w:shd w:val="clear" w:color="auto" w:fill="FFFFFF"/>
        </w:rPr>
        <w:t>设备老化，技术性能已不能满足地球动力学</w:t>
      </w:r>
      <w:r>
        <w:rPr>
          <w:rFonts w:hint="eastAsia" w:asciiTheme="minorEastAsia" w:hAnsiTheme="minorEastAsia"/>
          <w:sz w:val="24"/>
          <w:szCs w:val="24"/>
          <w:shd w:val="clear" w:color="auto" w:fill="FFFFFF"/>
        </w:rPr>
        <w:t>模拟等</w:t>
      </w:r>
      <w:r>
        <w:rPr>
          <w:rFonts w:asciiTheme="minorEastAsia" w:hAnsiTheme="minorEastAsia"/>
          <w:sz w:val="24"/>
          <w:szCs w:val="24"/>
          <w:shd w:val="clear" w:color="auto" w:fill="FFFFFF"/>
        </w:rPr>
        <w:t>相关教学科研需要，</w:t>
      </w:r>
      <w:r>
        <w:rPr>
          <w:rFonts w:hint="eastAsia" w:asciiTheme="minorEastAsia" w:hAnsiTheme="minorEastAsia"/>
          <w:sz w:val="24"/>
          <w:szCs w:val="24"/>
          <w:shd w:val="clear" w:color="auto" w:fill="FFFFFF"/>
        </w:rPr>
        <w:t>无法满足高层次创新型地质人才的实验教学培养需求，</w:t>
      </w:r>
      <w:r>
        <w:rPr>
          <w:rFonts w:asciiTheme="minorEastAsia" w:hAnsiTheme="minorEastAsia"/>
          <w:sz w:val="24"/>
          <w:szCs w:val="24"/>
          <w:shd w:val="clear" w:color="auto" w:fill="FFFFFF"/>
        </w:rPr>
        <w:t>亟需以旧换新。</w:t>
      </w:r>
    </w:p>
    <w:p w14:paraId="160DF105">
      <w:pPr>
        <w:spacing w:line="360" w:lineRule="auto"/>
        <w:ind w:firstLine="480" w:firstLineChars="200"/>
        <w:rPr>
          <w:rFonts w:hint="eastAsia" w:cs="宋体" w:asciiTheme="minorEastAsia" w:hAnsiTheme="minorEastAsia"/>
          <w:sz w:val="24"/>
          <w:szCs w:val="24"/>
        </w:rPr>
      </w:pPr>
      <w:r>
        <w:rPr>
          <w:rFonts w:hint="eastAsia" w:asciiTheme="minorEastAsia" w:hAnsiTheme="minorEastAsia"/>
          <w:sz w:val="24"/>
          <w:szCs w:val="24"/>
          <w:shd w:val="clear" w:color="auto" w:fill="FFFFFF"/>
        </w:rPr>
        <w:t>本次拟采购的</w:t>
      </w:r>
      <w:r>
        <w:rPr>
          <w:rFonts w:asciiTheme="minorEastAsia" w:hAnsiTheme="minorEastAsia"/>
          <w:sz w:val="24"/>
          <w:szCs w:val="24"/>
          <w:shd w:val="clear" w:color="auto" w:fill="FFFFFF"/>
        </w:rPr>
        <w:t>构造物理模拟综合教学和实验平台</w:t>
      </w:r>
      <w:r>
        <w:rPr>
          <w:rFonts w:hint="eastAsia" w:asciiTheme="minorEastAsia" w:hAnsiTheme="minorEastAsia"/>
          <w:sz w:val="24"/>
          <w:szCs w:val="24"/>
          <w:shd w:val="clear" w:color="auto" w:fill="FFFFFF"/>
        </w:rPr>
        <w:t>设备，将专项服务于造山带与盆地构造演化，油气构造和金属成矿构造理论和应用实验研究，设备投入使用后，将全面开放服务于本学院及其他学院相关学科的科研与教学工作。</w:t>
      </w:r>
    </w:p>
    <w:p w14:paraId="7A77CCED">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2.现有环境和条件：</w:t>
      </w:r>
    </w:p>
    <w:p w14:paraId="0810AB6C">
      <w:pPr>
        <w:spacing w:line="360" w:lineRule="auto"/>
        <w:ind w:firstLine="480" w:firstLineChars="200"/>
        <w:rPr>
          <w:rFonts w:hint="eastAsia" w:cs="宋体" w:asciiTheme="minorEastAsia" w:hAnsiTheme="minorEastAsia"/>
          <w:sz w:val="24"/>
          <w:szCs w:val="24"/>
          <w:highlight w:val="yellow"/>
        </w:rPr>
      </w:pPr>
      <w:r>
        <w:rPr>
          <w:rFonts w:hint="eastAsia" w:ascii="宋体" w:hAnsi="宋体" w:cs="宋体"/>
          <w:sz w:val="24"/>
          <w:szCs w:val="24"/>
        </w:rPr>
        <w:t>实验室已全部重新装修，具备设备安装调试空间，实验室水、电配置满足设备运行条件。</w:t>
      </w:r>
    </w:p>
    <w:p w14:paraId="7C394647">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7FB58B86">
      <w:pPr>
        <w:spacing w:after="156" w:afterLines="5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866"/>
        <w:gridCol w:w="1412"/>
        <w:gridCol w:w="958"/>
        <w:gridCol w:w="839"/>
        <w:gridCol w:w="1430"/>
        <w:gridCol w:w="892"/>
        <w:gridCol w:w="1251"/>
      </w:tblGrid>
      <w:tr w14:paraId="20264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72B69202">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508" w:type="pct"/>
            <w:vAlign w:val="center"/>
          </w:tcPr>
          <w:p w14:paraId="610C3A28">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货物</w:t>
            </w:r>
          </w:p>
          <w:p w14:paraId="2D1FEBDF">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名称</w:t>
            </w:r>
          </w:p>
        </w:tc>
        <w:tc>
          <w:tcPr>
            <w:tcW w:w="828" w:type="pct"/>
            <w:vAlign w:val="center"/>
          </w:tcPr>
          <w:p w14:paraId="3CA88D99">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是否接受进口产品</w:t>
            </w:r>
          </w:p>
        </w:tc>
        <w:tc>
          <w:tcPr>
            <w:tcW w:w="562" w:type="pct"/>
            <w:vAlign w:val="center"/>
          </w:tcPr>
          <w:p w14:paraId="294CFA47">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单位</w:t>
            </w:r>
          </w:p>
        </w:tc>
        <w:tc>
          <w:tcPr>
            <w:tcW w:w="492" w:type="pct"/>
            <w:vAlign w:val="center"/>
          </w:tcPr>
          <w:p w14:paraId="092A4B84">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数量</w:t>
            </w:r>
          </w:p>
        </w:tc>
        <w:tc>
          <w:tcPr>
            <w:tcW w:w="839" w:type="pct"/>
            <w:vAlign w:val="center"/>
          </w:tcPr>
          <w:p w14:paraId="369FB2A3">
            <w:pPr>
              <w:widowControl/>
              <w:spacing w:line="360" w:lineRule="auto"/>
              <w:jc w:val="center"/>
              <w:rPr>
                <w:rFonts w:hint="eastAsia" w:ascii="仿宋_GB2312" w:hAnsi="宋体" w:eastAsia="仿宋_GB2312"/>
                <w:b/>
                <w:sz w:val="24"/>
                <w:szCs w:val="24"/>
              </w:rPr>
            </w:pPr>
            <w:r>
              <w:rPr>
                <w:rFonts w:hint="eastAsia" w:ascii="仿宋_GB2312" w:hAnsi="宋体" w:eastAsia="仿宋_GB2312"/>
                <w:b/>
                <w:color w:val="EE0000"/>
                <w:sz w:val="24"/>
                <w:szCs w:val="24"/>
              </w:rPr>
              <w:t>主要规格/性能</w:t>
            </w:r>
          </w:p>
        </w:tc>
        <w:tc>
          <w:tcPr>
            <w:tcW w:w="523" w:type="pct"/>
            <w:vAlign w:val="center"/>
          </w:tcPr>
          <w:p w14:paraId="2794ED16">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交货期</w:t>
            </w:r>
          </w:p>
        </w:tc>
        <w:tc>
          <w:tcPr>
            <w:tcW w:w="734" w:type="pct"/>
            <w:vAlign w:val="center"/>
          </w:tcPr>
          <w:p w14:paraId="17581E9D">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是否为</w:t>
            </w:r>
          </w:p>
          <w:p w14:paraId="2A9B3AAA">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核心产品</w:t>
            </w:r>
          </w:p>
        </w:tc>
      </w:tr>
      <w:tr w14:paraId="74FD1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775D2691">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508" w:type="pct"/>
            <w:vAlign w:val="center"/>
          </w:tcPr>
          <w:p w14:paraId="4B9D8CED">
            <w:pPr>
              <w:widowControl/>
              <w:spacing w:line="360" w:lineRule="auto"/>
              <w:jc w:val="center"/>
              <w:rPr>
                <w:rFonts w:hint="eastAsia" w:ascii="仿宋_GB2312" w:hAnsi="宋体" w:eastAsia="仿宋_GB2312"/>
                <w:sz w:val="24"/>
                <w:szCs w:val="24"/>
              </w:rPr>
            </w:pPr>
            <w:r>
              <w:rPr>
                <w:rFonts w:ascii="仿宋_GB2312" w:hAnsi="宋体" w:eastAsia="仿宋_GB2312"/>
                <w:sz w:val="24"/>
                <w:szCs w:val="24"/>
              </w:rPr>
              <w:t>构造物理模拟综合教学和实验平台</w:t>
            </w:r>
          </w:p>
        </w:tc>
        <w:tc>
          <w:tcPr>
            <w:tcW w:w="828" w:type="pct"/>
            <w:vAlign w:val="center"/>
          </w:tcPr>
          <w:p w14:paraId="76342A80">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否</w:t>
            </w:r>
          </w:p>
        </w:tc>
        <w:tc>
          <w:tcPr>
            <w:tcW w:w="562" w:type="pct"/>
            <w:vAlign w:val="center"/>
          </w:tcPr>
          <w:p w14:paraId="4A4F5880">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台</w:t>
            </w:r>
          </w:p>
        </w:tc>
        <w:tc>
          <w:tcPr>
            <w:tcW w:w="492" w:type="pct"/>
            <w:vAlign w:val="center"/>
          </w:tcPr>
          <w:p w14:paraId="610304D5">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839" w:type="pct"/>
          </w:tcPr>
          <w:p w14:paraId="5B449B3F">
            <w:pPr>
              <w:adjustRightInd w:val="0"/>
              <w:rPr>
                <w:rFonts w:hint="eastAsia" w:ascii="宋体" w:hAnsi="宋体" w:cs="宋体"/>
                <w:sz w:val="18"/>
                <w:szCs w:val="18"/>
              </w:rPr>
            </w:pPr>
            <w:r>
              <w:rPr>
                <w:rFonts w:hint="eastAsia" w:ascii="宋体" w:hAnsi="宋体" w:cs="宋体"/>
                <w:sz w:val="18"/>
                <w:szCs w:val="18"/>
              </w:rPr>
              <w:t>（1）模型试验主平台：750mm半径，实验主平台，承载实验箱及底辟装置等。</w:t>
            </w:r>
          </w:p>
          <w:p w14:paraId="7204AA0F">
            <w:pPr>
              <w:adjustRightInd w:val="0"/>
              <w:rPr>
                <w:rFonts w:hint="eastAsia" w:ascii="宋体" w:hAnsi="宋体" w:cs="宋体"/>
                <w:sz w:val="18"/>
                <w:szCs w:val="18"/>
              </w:rPr>
            </w:pPr>
            <w:r>
              <w:rPr>
                <w:rFonts w:hint="eastAsia" w:ascii="宋体" w:hAnsi="宋体" w:cs="宋体"/>
                <w:sz w:val="18"/>
                <w:szCs w:val="18"/>
              </w:rPr>
              <w:t>（2）模型驱动平台：扇形驱动台面，承载多方向动力驱动装置，台面组成平面270度扇形。</w:t>
            </w:r>
          </w:p>
          <w:p w14:paraId="63A7D86F">
            <w:pPr>
              <w:adjustRightInd w:val="0"/>
              <w:rPr>
                <w:rFonts w:hint="eastAsia" w:ascii="宋体" w:hAnsi="宋体" w:cs="宋体"/>
                <w:sz w:val="18"/>
                <w:szCs w:val="18"/>
              </w:rPr>
            </w:pPr>
            <w:r>
              <w:rPr>
                <w:rFonts w:hint="eastAsia" w:ascii="宋体" w:hAnsi="宋体" w:cs="宋体"/>
                <w:sz w:val="18"/>
                <w:szCs w:val="18"/>
              </w:rPr>
              <w:t>（3）实验箱：多规格组合实验箱规格组合，长度最大1600mm，宽度最大1200mm，高度400mm。</w:t>
            </w:r>
          </w:p>
          <w:p w14:paraId="39270BFE">
            <w:pPr>
              <w:adjustRightInd w:val="0"/>
              <w:rPr>
                <w:rFonts w:hint="eastAsia" w:ascii="宋体" w:hAnsi="宋体" w:cs="宋体"/>
                <w:sz w:val="18"/>
                <w:szCs w:val="18"/>
              </w:rPr>
            </w:pPr>
            <w:r>
              <w:rPr>
                <w:rFonts w:hint="eastAsia" w:ascii="宋体" w:hAnsi="宋体" w:cs="宋体"/>
                <w:sz w:val="18"/>
                <w:szCs w:val="18"/>
              </w:rPr>
              <w:t>（4）动力加载装置：电缸及减速机、电机推力高达7800 N，行程长达1000 mm，平面6组电动缸，底辟一组电动缸。提供平面270度动力加载力及底部垂直拱升力。</w:t>
            </w:r>
          </w:p>
          <w:p w14:paraId="4BDD5384">
            <w:pPr>
              <w:adjustRightInd w:val="0"/>
              <w:rPr>
                <w:rFonts w:hint="eastAsia" w:ascii="宋体" w:hAnsi="宋体" w:cs="宋体"/>
                <w:sz w:val="18"/>
                <w:szCs w:val="18"/>
              </w:rPr>
            </w:pPr>
            <w:r>
              <w:rPr>
                <w:rFonts w:hint="eastAsia" w:ascii="宋体" w:hAnsi="宋体" w:cs="宋体"/>
                <w:sz w:val="18"/>
                <w:szCs w:val="18"/>
              </w:rPr>
              <w:t>（5）动力控制软硬件系统：提供实验运功控制系统软硬件系统（挤压、拉伸、走滑、拱升），完成7轴电动缸驱动，电动缸控制精度优于0.001mm/s</w:t>
            </w:r>
          </w:p>
        </w:tc>
        <w:tc>
          <w:tcPr>
            <w:tcW w:w="523" w:type="pct"/>
          </w:tcPr>
          <w:p w14:paraId="04D9DDA0">
            <w:pPr>
              <w:widowControl/>
              <w:spacing w:line="360" w:lineRule="auto"/>
              <w:jc w:val="center"/>
              <w:rPr>
                <w:rFonts w:hint="eastAsia" w:ascii="仿宋_GB2312" w:hAnsi="宋体" w:eastAsia="仿宋_GB2312"/>
                <w:sz w:val="24"/>
                <w:szCs w:val="24"/>
              </w:rPr>
            </w:pPr>
            <w:r>
              <w:rPr>
                <w:rFonts w:ascii="仿宋_GB2312" w:hAnsi="宋体" w:eastAsia="仿宋_GB2312"/>
                <w:sz w:val="24"/>
                <w:szCs w:val="24"/>
              </w:rPr>
              <w:t>合同签订后</w:t>
            </w:r>
            <w:r>
              <w:rPr>
                <w:rFonts w:hint="eastAsia" w:ascii="仿宋_GB2312" w:hAnsi="宋体" w:eastAsia="仿宋_GB2312"/>
                <w:sz w:val="24"/>
                <w:szCs w:val="24"/>
              </w:rPr>
              <w:t>120</w:t>
            </w:r>
            <w:r>
              <w:rPr>
                <w:rFonts w:ascii="仿宋_GB2312" w:hAnsi="宋体" w:eastAsia="仿宋_GB2312"/>
                <w:sz w:val="24"/>
                <w:szCs w:val="24"/>
              </w:rPr>
              <w:t>天内交货并完成安装调试</w:t>
            </w:r>
          </w:p>
        </w:tc>
        <w:tc>
          <w:tcPr>
            <w:tcW w:w="734" w:type="pct"/>
            <w:vAlign w:val="center"/>
          </w:tcPr>
          <w:p w14:paraId="35180177">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r w14:paraId="45A09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2B7CD7F0">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508" w:type="pct"/>
            <w:vAlign w:val="center"/>
          </w:tcPr>
          <w:p w14:paraId="6F74CA28">
            <w:pPr>
              <w:widowControl/>
              <w:spacing w:line="360" w:lineRule="auto"/>
              <w:jc w:val="center"/>
              <w:rPr>
                <w:rFonts w:hint="eastAsia" w:ascii="仿宋_GB2312" w:hAnsi="宋体" w:eastAsia="仿宋_GB2312"/>
                <w:sz w:val="24"/>
                <w:szCs w:val="24"/>
              </w:rPr>
            </w:pPr>
          </w:p>
        </w:tc>
        <w:tc>
          <w:tcPr>
            <w:tcW w:w="828" w:type="pct"/>
            <w:vAlign w:val="center"/>
          </w:tcPr>
          <w:p w14:paraId="6E7C54AB">
            <w:pPr>
              <w:widowControl/>
              <w:spacing w:line="360" w:lineRule="auto"/>
              <w:jc w:val="center"/>
              <w:rPr>
                <w:rFonts w:hint="eastAsia" w:ascii="仿宋_GB2312" w:hAnsi="宋体" w:eastAsia="仿宋_GB2312"/>
                <w:sz w:val="24"/>
                <w:szCs w:val="24"/>
              </w:rPr>
            </w:pPr>
          </w:p>
        </w:tc>
        <w:tc>
          <w:tcPr>
            <w:tcW w:w="562" w:type="pct"/>
            <w:vAlign w:val="center"/>
          </w:tcPr>
          <w:p w14:paraId="32C912F1">
            <w:pPr>
              <w:widowControl/>
              <w:spacing w:line="360" w:lineRule="auto"/>
              <w:jc w:val="center"/>
              <w:rPr>
                <w:rFonts w:hint="eastAsia" w:ascii="仿宋_GB2312" w:hAnsi="宋体" w:eastAsia="仿宋_GB2312"/>
                <w:sz w:val="24"/>
                <w:szCs w:val="24"/>
              </w:rPr>
            </w:pPr>
          </w:p>
        </w:tc>
        <w:tc>
          <w:tcPr>
            <w:tcW w:w="492" w:type="pct"/>
            <w:vAlign w:val="center"/>
          </w:tcPr>
          <w:p w14:paraId="66E873E7">
            <w:pPr>
              <w:widowControl/>
              <w:spacing w:line="360" w:lineRule="auto"/>
              <w:jc w:val="center"/>
              <w:rPr>
                <w:rFonts w:hint="eastAsia" w:ascii="仿宋_GB2312" w:hAnsi="宋体" w:eastAsia="仿宋_GB2312"/>
                <w:sz w:val="24"/>
                <w:szCs w:val="24"/>
              </w:rPr>
            </w:pPr>
          </w:p>
        </w:tc>
        <w:tc>
          <w:tcPr>
            <w:tcW w:w="839" w:type="pct"/>
          </w:tcPr>
          <w:p w14:paraId="7EB34246">
            <w:pPr>
              <w:widowControl/>
              <w:spacing w:line="360" w:lineRule="auto"/>
              <w:jc w:val="center"/>
              <w:rPr>
                <w:rFonts w:hint="eastAsia" w:ascii="仿宋_GB2312" w:hAnsi="宋体" w:eastAsia="仿宋_GB2312"/>
                <w:sz w:val="24"/>
                <w:szCs w:val="24"/>
              </w:rPr>
            </w:pPr>
          </w:p>
        </w:tc>
        <w:tc>
          <w:tcPr>
            <w:tcW w:w="523" w:type="pct"/>
          </w:tcPr>
          <w:p w14:paraId="3E028412">
            <w:pPr>
              <w:widowControl/>
              <w:spacing w:line="360" w:lineRule="auto"/>
              <w:jc w:val="center"/>
              <w:rPr>
                <w:rFonts w:hint="eastAsia" w:ascii="仿宋_GB2312" w:hAnsi="宋体" w:eastAsia="仿宋_GB2312"/>
                <w:sz w:val="24"/>
                <w:szCs w:val="24"/>
              </w:rPr>
            </w:pPr>
          </w:p>
        </w:tc>
        <w:tc>
          <w:tcPr>
            <w:tcW w:w="734" w:type="pct"/>
            <w:vAlign w:val="center"/>
          </w:tcPr>
          <w:p w14:paraId="01917E22">
            <w:pPr>
              <w:widowControl/>
              <w:spacing w:line="360" w:lineRule="auto"/>
              <w:jc w:val="center"/>
              <w:rPr>
                <w:rFonts w:hint="eastAsia" w:ascii="仿宋_GB2312" w:hAnsi="宋体" w:eastAsia="仿宋_GB2312"/>
                <w:sz w:val="24"/>
                <w:szCs w:val="24"/>
              </w:rPr>
            </w:pPr>
          </w:p>
        </w:tc>
      </w:tr>
      <w:tr w14:paraId="00452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3DF88D51">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508" w:type="pct"/>
            <w:vAlign w:val="center"/>
          </w:tcPr>
          <w:p w14:paraId="03522AE1">
            <w:pPr>
              <w:widowControl/>
              <w:spacing w:line="360" w:lineRule="auto"/>
              <w:jc w:val="center"/>
              <w:rPr>
                <w:rFonts w:hint="eastAsia" w:ascii="仿宋_GB2312" w:hAnsi="宋体" w:eastAsia="仿宋_GB2312"/>
                <w:sz w:val="24"/>
                <w:szCs w:val="24"/>
              </w:rPr>
            </w:pPr>
          </w:p>
        </w:tc>
        <w:tc>
          <w:tcPr>
            <w:tcW w:w="828" w:type="pct"/>
            <w:vAlign w:val="center"/>
          </w:tcPr>
          <w:p w14:paraId="0243B409">
            <w:pPr>
              <w:widowControl/>
              <w:spacing w:line="360" w:lineRule="auto"/>
              <w:jc w:val="center"/>
              <w:rPr>
                <w:rFonts w:hint="eastAsia" w:ascii="仿宋_GB2312" w:hAnsi="宋体" w:eastAsia="仿宋_GB2312"/>
                <w:sz w:val="24"/>
                <w:szCs w:val="24"/>
              </w:rPr>
            </w:pPr>
          </w:p>
        </w:tc>
        <w:tc>
          <w:tcPr>
            <w:tcW w:w="562" w:type="pct"/>
            <w:vAlign w:val="center"/>
          </w:tcPr>
          <w:p w14:paraId="7A5E7CE2">
            <w:pPr>
              <w:widowControl/>
              <w:spacing w:line="360" w:lineRule="auto"/>
              <w:jc w:val="center"/>
              <w:rPr>
                <w:rFonts w:hint="eastAsia" w:ascii="仿宋_GB2312" w:hAnsi="宋体" w:eastAsia="仿宋_GB2312"/>
                <w:sz w:val="24"/>
                <w:szCs w:val="24"/>
              </w:rPr>
            </w:pPr>
          </w:p>
        </w:tc>
        <w:tc>
          <w:tcPr>
            <w:tcW w:w="492" w:type="pct"/>
            <w:vAlign w:val="center"/>
          </w:tcPr>
          <w:p w14:paraId="15E9E31C">
            <w:pPr>
              <w:widowControl/>
              <w:spacing w:line="360" w:lineRule="auto"/>
              <w:jc w:val="center"/>
              <w:rPr>
                <w:rFonts w:hint="eastAsia" w:ascii="仿宋_GB2312" w:hAnsi="宋体" w:eastAsia="仿宋_GB2312"/>
                <w:sz w:val="24"/>
                <w:szCs w:val="24"/>
              </w:rPr>
            </w:pPr>
          </w:p>
        </w:tc>
        <w:tc>
          <w:tcPr>
            <w:tcW w:w="839" w:type="pct"/>
          </w:tcPr>
          <w:p w14:paraId="48BA627E">
            <w:pPr>
              <w:widowControl/>
              <w:spacing w:line="360" w:lineRule="auto"/>
              <w:jc w:val="center"/>
              <w:rPr>
                <w:rFonts w:hint="eastAsia" w:ascii="仿宋_GB2312" w:hAnsi="宋体" w:eastAsia="仿宋_GB2312"/>
                <w:sz w:val="24"/>
                <w:szCs w:val="24"/>
              </w:rPr>
            </w:pPr>
          </w:p>
        </w:tc>
        <w:tc>
          <w:tcPr>
            <w:tcW w:w="523" w:type="pct"/>
          </w:tcPr>
          <w:p w14:paraId="316153E4">
            <w:pPr>
              <w:widowControl/>
              <w:spacing w:line="360" w:lineRule="auto"/>
              <w:jc w:val="center"/>
              <w:rPr>
                <w:rFonts w:hint="eastAsia" w:ascii="仿宋_GB2312" w:hAnsi="宋体" w:eastAsia="仿宋_GB2312"/>
                <w:sz w:val="24"/>
                <w:szCs w:val="24"/>
              </w:rPr>
            </w:pPr>
          </w:p>
        </w:tc>
        <w:tc>
          <w:tcPr>
            <w:tcW w:w="734" w:type="pct"/>
            <w:vAlign w:val="center"/>
          </w:tcPr>
          <w:p w14:paraId="7DDC1CAE">
            <w:pPr>
              <w:widowControl/>
              <w:spacing w:line="360" w:lineRule="auto"/>
              <w:jc w:val="center"/>
              <w:rPr>
                <w:rFonts w:hint="eastAsia" w:ascii="仿宋_GB2312" w:hAnsi="宋体" w:eastAsia="仿宋_GB2312"/>
                <w:sz w:val="24"/>
                <w:szCs w:val="24"/>
              </w:rPr>
            </w:pPr>
          </w:p>
        </w:tc>
      </w:tr>
      <w:tr w14:paraId="0418E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78825B26">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508" w:type="pct"/>
            <w:vAlign w:val="center"/>
          </w:tcPr>
          <w:p w14:paraId="3BEFC521">
            <w:pPr>
              <w:widowControl/>
              <w:spacing w:line="360" w:lineRule="auto"/>
              <w:jc w:val="center"/>
              <w:rPr>
                <w:rFonts w:hint="eastAsia" w:ascii="仿宋_GB2312" w:hAnsi="宋体" w:eastAsia="仿宋_GB2312"/>
                <w:sz w:val="24"/>
                <w:szCs w:val="24"/>
              </w:rPr>
            </w:pPr>
          </w:p>
        </w:tc>
        <w:tc>
          <w:tcPr>
            <w:tcW w:w="828" w:type="pct"/>
            <w:vAlign w:val="center"/>
          </w:tcPr>
          <w:p w14:paraId="786A62AB">
            <w:pPr>
              <w:widowControl/>
              <w:spacing w:line="360" w:lineRule="auto"/>
              <w:jc w:val="center"/>
              <w:rPr>
                <w:rFonts w:hint="eastAsia" w:ascii="仿宋_GB2312" w:hAnsi="宋体" w:eastAsia="仿宋_GB2312"/>
                <w:sz w:val="24"/>
                <w:szCs w:val="24"/>
              </w:rPr>
            </w:pPr>
          </w:p>
        </w:tc>
        <w:tc>
          <w:tcPr>
            <w:tcW w:w="562" w:type="pct"/>
            <w:vAlign w:val="center"/>
          </w:tcPr>
          <w:p w14:paraId="2458389A">
            <w:pPr>
              <w:widowControl/>
              <w:spacing w:line="360" w:lineRule="auto"/>
              <w:jc w:val="center"/>
              <w:rPr>
                <w:rFonts w:hint="eastAsia" w:ascii="仿宋_GB2312" w:hAnsi="宋体" w:eastAsia="仿宋_GB2312"/>
                <w:sz w:val="24"/>
                <w:szCs w:val="24"/>
              </w:rPr>
            </w:pPr>
          </w:p>
        </w:tc>
        <w:tc>
          <w:tcPr>
            <w:tcW w:w="492" w:type="pct"/>
            <w:vAlign w:val="center"/>
          </w:tcPr>
          <w:p w14:paraId="678036CC">
            <w:pPr>
              <w:widowControl/>
              <w:spacing w:line="360" w:lineRule="auto"/>
              <w:jc w:val="center"/>
              <w:rPr>
                <w:rFonts w:hint="eastAsia" w:ascii="仿宋_GB2312" w:hAnsi="宋体" w:eastAsia="仿宋_GB2312"/>
                <w:sz w:val="24"/>
                <w:szCs w:val="24"/>
              </w:rPr>
            </w:pPr>
          </w:p>
        </w:tc>
        <w:tc>
          <w:tcPr>
            <w:tcW w:w="839" w:type="pct"/>
          </w:tcPr>
          <w:p w14:paraId="3CC31B8F">
            <w:pPr>
              <w:widowControl/>
              <w:spacing w:line="360" w:lineRule="auto"/>
              <w:jc w:val="center"/>
              <w:rPr>
                <w:rFonts w:hint="eastAsia" w:ascii="仿宋_GB2312" w:hAnsi="宋体" w:eastAsia="仿宋_GB2312"/>
                <w:sz w:val="24"/>
                <w:szCs w:val="24"/>
              </w:rPr>
            </w:pPr>
          </w:p>
        </w:tc>
        <w:tc>
          <w:tcPr>
            <w:tcW w:w="523" w:type="pct"/>
          </w:tcPr>
          <w:p w14:paraId="2405028F">
            <w:pPr>
              <w:widowControl/>
              <w:spacing w:line="360" w:lineRule="auto"/>
              <w:jc w:val="center"/>
              <w:rPr>
                <w:rFonts w:hint="eastAsia" w:ascii="仿宋_GB2312" w:hAnsi="宋体" w:eastAsia="仿宋_GB2312"/>
                <w:sz w:val="24"/>
                <w:szCs w:val="24"/>
              </w:rPr>
            </w:pPr>
          </w:p>
        </w:tc>
        <w:tc>
          <w:tcPr>
            <w:tcW w:w="734" w:type="pct"/>
            <w:vAlign w:val="center"/>
          </w:tcPr>
          <w:p w14:paraId="6F3FF7F8">
            <w:pPr>
              <w:widowControl/>
              <w:spacing w:line="360" w:lineRule="auto"/>
              <w:jc w:val="center"/>
              <w:rPr>
                <w:rFonts w:hint="eastAsia" w:ascii="仿宋_GB2312" w:hAnsi="宋体" w:eastAsia="仿宋_GB2312"/>
                <w:sz w:val="24"/>
                <w:szCs w:val="24"/>
              </w:rPr>
            </w:pPr>
          </w:p>
        </w:tc>
      </w:tr>
    </w:tbl>
    <w:p w14:paraId="4B95A519">
      <w:pPr>
        <w:spacing w:line="360" w:lineRule="auto"/>
        <w:ind w:firstLine="360" w:firstLineChars="150"/>
        <w:rPr>
          <w:rFonts w:hint="eastAsia" w:ascii="仿宋_GB2312" w:hAnsi="宋体" w:eastAsia="仿宋_GB2312"/>
          <w:i/>
          <w:iCs/>
          <w:sz w:val="24"/>
          <w:szCs w:val="24"/>
        </w:rPr>
      </w:pPr>
    </w:p>
    <w:p w14:paraId="46EB83B4">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2BD6BE3F">
      <w:pPr>
        <w:widowControl/>
        <w:shd w:val="clear" w:color="auto" w:fill="FFFFFF"/>
        <w:spacing w:line="360" w:lineRule="auto"/>
        <w:ind w:firstLine="560" w:firstLineChars="200"/>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（一）（货物/服务名称1）（数量）</w:t>
      </w:r>
    </w:p>
    <w:p w14:paraId="684D4C61">
      <w:pPr>
        <w:widowControl/>
        <w:shd w:val="clear" w:color="auto" w:fill="FFFFFF"/>
        <w:spacing w:line="360" w:lineRule="auto"/>
        <w:ind w:firstLine="482" w:firstLineChars="200"/>
        <w:jc w:val="left"/>
        <w:rPr>
          <w:rFonts w:hint="eastAsia" w:ascii="仿宋_GB2312" w:hAnsi="宋体" w:eastAsia="仿宋_GB2312"/>
          <w:b/>
          <w:bCs/>
          <w:i/>
          <w:iCs/>
          <w:sz w:val="24"/>
          <w:szCs w:val="24"/>
        </w:rPr>
      </w:pPr>
      <w:r>
        <w:rPr>
          <w:rFonts w:hint="eastAsia" w:ascii="仿宋_GB2312" w:hAnsi="宋体" w:eastAsia="仿宋_GB2312"/>
          <w:b/>
          <w:bCs/>
          <w:sz w:val="24"/>
          <w:szCs w:val="24"/>
        </w:rPr>
        <w:t>1.功能要求：</w:t>
      </w:r>
      <w:bookmarkStart w:id="0" w:name="_GoBack"/>
      <w:bookmarkEnd w:id="0"/>
    </w:p>
    <w:p w14:paraId="60A5EB95">
      <w:pPr>
        <w:tabs>
          <w:tab w:val="left" w:pos="3675"/>
        </w:tabs>
        <w:spacing w:line="520" w:lineRule="exact"/>
        <w:ind w:firstLine="480" w:firstLineChars="200"/>
        <w:rPr>
          <w:rFonts w:hint="eastAsia" w:ascii="宋体" w:hAnsi="宋体" w:cs="宋体"/>
          <w:sz w:val="24"/>
          <w:szCs w:val="24"/>
        </w:rPr>
      </w:pPr>
      <w:r>
        <w:rPr>
          <w:rFonts w:ascii="宋体" w:hAnsi="宋体" w:cs="宋体"/>
          <w:sz w:val="24"/>
          <w:szCs w:val="24"/>
        </w:rPr>
        <w:t>构造物理模拟实验是根据实验相似性基本原理，利用机械装置，对于满足某些条件的材料进行地层演变规律的模拟试验，是从构造</w:t>
      </w:r>
      <w:r>
        <w:rPr>
          <w:rFonts w:hint="eastAsia" w:ascii="宋体" w:hAnsi="宋体" w:cs="宋体"/>
          <w:sz w:val="24"/>
          <w:szCs w:val="24"/>
        </w:rPr>
        <w:t>地质</w:t>
      </w:r>
      <w:r>
        <w:rPr>
          <w:rFonts w:ascii="宋体" w:hAnsi="宋体" w:cs="宋体"/>
          <w:sz w:val="24"/>
          <w:szCs w:val="24"/>
        </w:rPr>
        <w:t>研究领域一种半定量乃至定量分析的新方法。构造模拟实验对于解释不同类型构造的成因机制有独到之处，是进行</w:t>
      </w:r>
      <w:r>
        <w:rPr>
          <w:rFonts w:hint="eastAsia" w:ascii="宋体" w:hAnsi="宋体" w:cs="宋体"/>
          <w:sz w:val="24"/>
          <w:szCs w:val="24"/>
        </w:rPr>
        <w:t>构造地质学研究的重要实验技术方法</w:t>
      </w:r>
    </w:p>
    <w:p w14:paraId="6601510A">
      <w:pPr>
        <w:tabs>
          <w:tab w:val="left" w:pos="3675"/>
        </w:tabs>
        <w:spacing w:line="520" w:lineRule="exact"/>
        <w:ind w:firstLine="480" w:firstLineChars="200"/>
        <w:rPr>
          <w:rFonts w:hint="eastAsia" w:ascii="宋体" w:hAnsi="宋体" w:cs="宋体"/>
          <w:sz w:val="24"/>
          <w:szCs w:val="24"/>
        </w:rPr>
      </w:pPr>
      <w:r>
        <w:rPr>
          <w:rFonts w:ascii="宋体" w:hAnsi="宋体" w:cs="宋体"/>
          <w:sz w:val="24"/>
          <w:szCs w:val="24"/>
        </w:rPr>
        <w:t>物理模拟的实验台是三维空间内可多方向加载-施力的多功能实验平台，可实现模型的挤压、拉伸、走滑、塑性变形、脆性变形等多项实验功能。实验台可直接观察构造变形过程，对模型表面变形状态进行跟踪测量，实现模拟过程定量化、数字化、高精度化；实验台可实现不同边界条件和物理参数的模型试验，分别了解单项和多项因素对构造变形机制和动力学过程的控制作用，检验各种复杂构造解释模型的合理性，再现</w:t>
      </w:r>
      <w:r>
        <w:rPr>
          <w:rFonts w:hint="eastAsia" w:ascii="宋体" w:hAnsi="宋体" w:cs="宋体"/>
          <w:sz w:val="24"/>
          <w:szCs w:val="24"/>
        </w:rPr>
        <w:t>各种复杂</w:t>
      </w:r>
      <w:r>
        <w:rPr>
          <w:rFonts w:ascii="宋体" w:hAnsi="宋体" w:cs="宋体"/>
          <w:sz w:val="24"/>
          <w:szCs w:val="24"/>
        </w:rPr>
        <w:t>构造的原型及其发育过程。</w:t>
      </w:r>
    </w:p>
    <w:p w14:paraId="6B6B0CAD">
      <w:pPr>
        <w:widowControl/>
        <w:shd w:val="clear" w:color="auto" w:fill="FFFFFF"/>
        <w:spacing w:line="360" w:lineRule="auto"/>
        <w:ind w:firstLine="480" w:firstLineChars="200"/>
        <w:jc w:val="left"/>
        <w:rPr>
          <w:rFonts w:hint="eastAsia" w:ascii="宋体" w:hAnsi="宋体" w:cs="宋体"/>
          <w:sz w:val="24"/>
          <w:szCs w:val="24"/>
        </w:rPr>
      </w:pPr>
      <w:r>
        <w:rPr>
          <w:rFonts w:ascii="宋体" w:hAnsi="宋体" w:cs="宋体"/>
          <w:sz w:val="24"/>
          <w:szCs w:val="24"/>
        </w:rPr>
        <w:t>实验设备包括多种检测设备，要求仪器具有可操作性、结果具有可重复性、数据具有可信性。实验过程要求实现精确、定量的控制，能根据需要调整应力条件、调节边界位置和形态、设置地层介质；能立体展示构造变形几何学特征和运动学过程；实验过程可自动化控制，测试结果可以实时记录、重复和反演，及对实验现象进行回放和分析处理等；在满足模拟实验“相似性原理”的基础上，对模型的几何学、动力学和运动学进行研究。</w:t>
      </w:r>
    </w:p>
    <w:p w14:paraId="787808BD">
      <w:pPr>
        <w:widowControl/>
        <w:shd w:val="clear" w:color="auto" w:fill="FFFFFF"/>
        <w:spacing w:line="360" w:lineRule="auto"/>
        <w:ind w:firstLine="482" w:firstLineChars="200"/>
        <w:jc w:val="left"/>
        <w:rPr>
          <w:rFonts w:hint="eastAsia" w:ascii="仿宋_GB2312" w:hAnsi="宋体" w:eastAsia="仿宋_GB2312"/>
          <w:b/>
          <w:bCs/>
          <w:color w:val="EE0000"/>
          <w:sz w:val="24"/>
          <w:szCs w:val="24"/>
        </w:rPr>
      </w:pPr>
      <w:r>
        <w:rPr>
          <w:rFonts w:hint="eastAsia" w:ascii="仿宋_GB2312" w:hAnsi="宋体" w:eastAsia="仿宋_GB2312"/>
          <w:b/>
          <w:bCs/>
          <w:color w:val="EE0000"/>
          <w:sz w:val="24"/>
          <w:szCs w:val="24"/>
        </w:rPr>
        <w:t>2.应遵循的相关国家标准、行业标准、地方标准等标准、规范：</w:t>
      </w:r>
    </w:p>
    <w:p w14:paraId="43BC6BB9">
      <w:pPr>
        <w:widowControl/>
        <w:shd w:val="clear" w:color="auto" w:fill="FFFFFF"/>
        <w:spacing w:line="360" w:lineRule="auto"/>
        <w:ind w:firstLine="480" w:firstLineChars="200"/>
        <w:jc w:val="left"/>
        <w:rPr>
          <w:rFonts w:hint="eastAsia" w:ascii="宋体" w:hAnsi="宋体" w:cs="宋体"/>
          <w:sz w:val="24"/>
          <w:szCs w:val="24"/>
        </w:rPr>
      </w:pPr>
      <w:r>
        <w:rPr>
          <w:rFonts w:hint="eastAsia" w:ascii="宋体" w:hAnsi="宋体" w:cs="宋体"/>
          <w:sz w:val="24"/>
          <w:szCs w:val="24"/>
        </w:rPr>
        <w:t>本构造物理模拟实验平台无专门专项国家标准，设备机械系统执行</w:t>
      </w:r>
      <w:r>
        <w:rPr>
          <w:rFonts w:ascii="宋体" w:hAnsi="宋体" w:cs="宋体"/>
          <w:sz w:val="24"/>
          <w:szCs w:val="24"/>
        </w:rPr>
        <w:t>GB/T 2611</w:t>
      </w:r>
      <w:r>
        <w:rPr>
          <w:rFonts w:ascii="Cambria Math" w:hAnsi="Cambria Math" w:cs="Cambria Math"/>
          <w:sz w:val="24"/>
          <w:szCs w:val="24"/>
        </w:rPr>
        <w:t>‑</w:t>
      </w:r>
      <w:r>
        <w:rPr>
          <w:rFonts w:ascii="宋体" w:hAnsi="宋体" w:cs="宋体"/>
          <w:sz w:val="24"/>
          <w:szCs w:val="24"/>
        </w:rPr>
        <w:t>2022</w:t>
      </w:r>
      <w:r>
        <w:rPr>
          <w:rFonts w:hint="eastAsia" w:ascii="宋体" w:hAnsi="宋体" w:cs="宋体"/>
          <w:sz w:val="24"/>
          <w:szCs w:val="24"/>
        </w:rPr>
        <w:t>、</w:t>
      </w:r>
      <w:r>
        <w:rPr>
          <w:rFonts w:ascii="宋体" w:hAnsi="宋体" w:cs="宋体"/>
          <w:sz w:val="24"/>
          <w:szCs w:val="24"/>
        </w:rPr>
        <w:t>GB/T 16491</w:t>
      </w:r>
      <w:r>
        <w:rPr>
          <w:rFonts w:ascii="Cambria Math" w:hAnsi="Cambria Math" w:cs="Cambria Math"/>
          <w:sz w:val="24"/>
          <w:szCs w:val="24"/>
        </w:rPr>
        <w:t>‑</w:t>
      </w:r>
      <w:r>
        <w:rPr>
          <w:rFonts w:ascii="宋体" w:hAnsi="宋体" w:cs="宋体"/>
          <w:sz w:val="24"/>
          <w:szCs w:val="24"/>
        </w:rPr>
        <w:t>2022</w:t>
      </w:r>
      <w:r>
        <w:rPr>
          <w:rFonts w:hint="eastAsia" w:ascii="宋体" w:hAnsi="宋体" w:cs="宋体"/>
          <w:sz w:val="24"/>
          <w:szCs w:val="24"/>
        </w:rPr>
        <w:t>；整机电气安全执行</w:t>
      </w:r>
      <w:r>
        <w:rPr>
          <w:rFonts w:ascii="宋体" w:hAnsi="宋体" w:cs="宋体"/>
          <w:sz w:val="24"/>
          <w:szCs w:val="24"/>
        </w:rPr>
        <w:t>GB/T 5226.1</w:t>
      </w:r>
      <w:r>
        <w:rPr>
          <w:rFonts w:ascii="Cambria Math" w:hAnsi="Cambria Math" w:cs="Cambria Math"/>
          <w:sz w:val="24"/>
          <w:szCs w:val="24"/>
        </w:rPr>
        <w:t>‑</w:t>
      </w:r>
      <w:r>
        <w:rPr>
          <w:rFonts w:ascii="宋体" w:hAnsi="宋体" w:cs="宋体"/>
          <w:sz w:val="24"/>
          <w:szCs w:val="24"/>
        </w:rPr>
        <w:t>2019</w:t>
      </w:r>
      <w:r>
        <w:rPr>
          <w:rFonts w:hint="eastAsia" w:ascii="宋体" w:hAnsi="宋体" w:cs="宋体"/>
          <w:sz w:val="24"/>
          <w:szCs w:val="24"/>
        </w:rPr>
        <w:t>；设备整机校准调试完成后，整机性能应满足上述国家标准的相关技术指标。</w:t>
      </w:r>
    </w:p>
    <w:p w14:paraId="2FF44341">
      <w:pPr>
        <w:widowControl/>
        <w:shd w:val="clear" w:color="auto" w:fill="FFFFFF"/>
        <w:spacing w:line="360" w:lineRule="auto"/>
        <w:ind w:firstLine="482" w:firstLineChars="200"/>
        <w:jc w:val="left"/>
        <w:rPr>
          <w:rFonts w:hint="eastAsia" w:ascii="仿宋_GB2312" w:hAnsi="宋体" w:eastAsia="仿宋_GB2312"/>
          <w:b/>
          <w:bCs/>
          <w:color w:val="EE0000"/>
          <w:sz w:val="24"/>
          <w:szCs w:val="24"/>
        </w:rPr>
      </w:pPr>
      <w:r>
        <w:rPr>
          <w:rFonts w:hint="eastAsia" w:ascii="仿宋_GB2312" w:hAnsi="宋体" w:eastAsia="仿宋_GB2312"/>
          <w:b/>
          <w:bCs/>
          <w:color w:val="EE0000"/>
          <w:sz w:val="24"/>
          <w:szCs w:val="24"/>
        </w:rPr>
        <w:t>3.后续运营维护、升级更新、备品备件等要求：</w:t>
      </w:r>
    </w:p>
    <w:p w14:paraId="138173EE">
      <w:pPr>
        <w:widowControl/>
        <w:shd w:val="clear" w:color="auto" w:fill="FFFFFF"/>
        <w:spacing w:line="360" w:lineRule="auto"/>
        <w:ind w:firstLine="480" w:firstLineChars="200"/>
        <w:jc w:val="left"/>
        <w:rPr>
          <w:rFonts w:hint="eastAsia" w:ascii="宋体" w:hAnsi="宋体" w:cs="宋体"/>
          <w:sz w:val="24"/>
          <w:szCs w:val="24"/>
        </w:rPr>
      </w:pPr>
      <w:r>
        <w:rPr>
          <w:rFonts w:hint="eastAsia" w:ascii="宋体" w:hAnsi="宋体" w:cs="宋体"/>
          <w:sz w:val="24"/>
          <w:szCs w:val="24"/>
        </w:rPr>
        <w:t>运维服务：供应商需提供1年免费整机质保，故障响应时间≤24小时，修复时间≤72小时；提供原厂操作培训（不少于2天，8课时，含理论+实操），确保操作人员独立掌握设备使用及基础维护技能。</w:t>
      </w:r>
    </w:p>
    <w:p w14:paraId="68493186">
      <w:pPr>
        <w:widowControl/>
        <w:shd w:val="clear" w:color="auto" w:fill="FFFFFF"/>
        <w:spacing w:line="360" w:lineRule="auto"/>
        <w:ind w:firstLine="480" w:firstLineChars="200"/>
        <w:jc w:val="left"/>
        <w:rPr>
          <w:rFonts w:hint="eastAsia" w:ascii="宋体" w:hAnsi="宋体" w:cs="宋体"/>
          <w:sz w:val="24"/>
          <w:szCs w:val="24"/>
        </w:rPr>
      </w:pPr>
      <w:r>
        <w:rPr>
          <w:rFonts w:hint="eastAsia" w:ascii="宋体" w:hAnsi="宋体" w:cs="宋体"/>
          <w:sz w:val="24"/>
          <w:szCs w:val="24"/>
        </w:rPr>
        <w:t>升级更新：设备软件终身升级，供应商需在新技术推出后30日内告知用户升级方案。</w:t>
      </w:r>
    </w:p>
    <w:p w14:paraId="790CC4A7">
      <w:pPr>
        <w:widowControl/>
        <w:shd w:val="clear" w:color="auto" w:fill="FFFFFF"/>
        <w:spacing w:line="360" w:lineRule="auto"/>
        <w:ind w:firstLine="480" w:firstLineChars="200"/>
        <w:jc w:val="left"/>
        <w:rPr>
          <w:rFonts w:hint="eastAsia" w:ascii="宋体" w:hAnsi="宋体" w:cs="宋体"/>
          <w:sz w:val="24"/>
          <w:szCs w:val="24"/>
        </w:rPr>
      </w:pPr>
      <w:r>
        <w:rPr>
          <w:rFonts w:hint="eastAsia" w:ascii="宋体" w:hAnsi="宋体" w:cs="宋体"/>
          <w:sz w:val="24"/>
          <w:szCs w:val="24"/>
        </w:rPr>
        <w:t>备品备件：质保期外提供全生命周期备件供应保障，常用备件需在用户提出需求后7个工作日内到货；提供备件价格清单，确保价格不高于市场同期水平。</w:t>
      </w:r>
    </w:p>
    <w:p w14:paraId="48C4F38C">
      <w:pPr>
        <w:spacing w:line="360" w:lineRule="auto"/>
        <w:ind w:firstLine="482" w:firstLineChars="200"/>
        <w:outlineLvl w:val="0"/>
        <w:rPr>
          <w:rFonts w:hint="eastAsia" w:ascii="仿宋_GB2312" w:hAnsi="宋体" w:eastAsia="仿宋_GB2312"/>
          <w:b/>
          <w:bCs/>
          <w:color w:val="EE0000"/>
          <w:sz w:val="24"/>
          <w:szCs w:val="24"/>
        </w:rPr>
      </w:pPr>
      <w:r>
        <w:rPr>
          <w:rFonts w:hint="eastAsia" w:ascii="仿宋_GB2312" w:hAnsi="宋体" w:eastAsia="仿宋_GB2312"/>
          <w:b/>
          <w:bCs/>
          <w:color w:val="EE0000"/>
          <w:sz w:val="24"/>
          <w:szCs w:val="24"/>
        </w:rPr>
        <w:t>4.各项指标要求：</w:t>
      </w:r>
    </w:p>
    <w:tbl>
      <w:tblPr>
        <w:tblStyle w:val="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519"/>
        <w:gridCol w:w="1003"/>
        <w:gridCol w:w="3108"/>
        <w:gridCol w:w="1882"/>
      </w:tblGrid>
      <w:tr w14:paraId="4C967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6C02105">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1519" w:type="dxa"/>
            <w:vAlign w:val="center"/>
          </w:tcPr>
          <w:p w14:paraId="53BF8A84">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指标项</w:t>
            </w:r>
          </w:p>
        </w:tc>
        <w:tc>
          <w:tcPr>
            <w:tcW w:w="1003" w:type="dxa"/>
            <w:vAlign w:val="center"/>
          </w:tcPr>
          <w:p w14:paraId="7631D1A7">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重要性</w:t>
            </w:r>
          </w:p>
        </w:tc>
        <w:tc>
          <w:tcPr>
            <w:tcW w:w="3108" w:type="dxa"/>
            <w:vAlign w:val="center"/>
          </w:tcPr>
          <w:p w14:paraId="7044DC7D">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指标要求</w:t>
            </w:r>
          </w:p>
        </w:tc>
        <w:tc>
          <w:tcPr>
            <w:tcW w:w="1882" w:type="dxa"/>
            <w:vAlign w:val="center"/>
          </w:tcPr>
          <w:p w14:paraId="1CCBAC1C">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证明材料要求</w:t>
            </w:r>
          </w:p>
        </w:tc>
      </w:tr>
      <w:tr w14:paraId="159FA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420C174">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519" w:type="dxa"/>
            <w:vAlign w:val="center"/>
          </w:tcPr>
          <w:p w14:paraId="37AA5FB9">
            <w:pPr>
              <w:widowControl/>
              <w:spacing w:line="360" w:lineRule="auto"/>
              <w:rPr>
                <w:rFonts w:hint="eastAsia" w:ascii="仿宋_GB2312" w:hAnsi="宋体" w:eastAsia="仿宋_GB2312"/>
                <w:sz w:val="24"/>
                <w:szCs w:val="24"/>
              </w:rPr>
            </w:pPr>
            <w:r>
              <w:rPr>
                <w:rFonts w:hint="eastAsia" w:ascii="宋体" w:hAnsi="宋体" w:cs="宋体"/>
                <w:sz w:val="24"/>
                <w:szCs w:val="24"/>
              </w:rPr>
              <w:t>模型试验主平台</w:t>
            </w:r>
          </w:p>
        </w:tc>
        <w:tc>
          <w:tcPr>
            <w:tcW w:w="1003" w:type="dxa"/>
            <w:vAlign w:val="center"/>
          </w:tcPr>
          <w:p w14:paraId="1E271B38">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3108" w:type="dxa"/>
            <w:vAlign w:val="center"/>
          </w:tcPr>
          <w:p w14:paraId="5D4BF31B">
            <w:pPr>
              <w:widowControl/>
              <w:spacing w:line="360" w:lineRule="auto"/>
              <w:rPr>
                <w:rFonts w:hint="eastAsia" w:ascii="仿宋_GB2312" w:hAnsi="宋体" w:eastAsia="仿宋_GB2312"/>
                <w:sz w:val="24"/>
                <w:szCs w:val="24"/>
              </w:rPr>
            </w:pPr>
            <w:r>
              <w:rPr>
                <w:rFonts w:hint="eastAsia" w:ascii="宋体" w:hAnsi="宋体" w:cs="宋体"/>
                <w:sz w:val="24"/>
                <w:szCs w:val="24"/>
              </w:rPr>
              <w:t>750mm半径，实验主平台，承载实验箱及底辟装置等。</w:t>
            </w:r>
          </w:p>
        </w:tc>
        <w:tc>
          <w:tcPr>
            <w:tcW w:w="1882" w:type="dxa"/>
            <w:vAlign w:val="center"/>
          </w:tcPr>
          <w:p w14:paraId="45BA42C0">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6E0D5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8F62EF5">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519" w:type="dxa"/>
            <w:vAlign w:val="center"/>
          </w:tcPr>
          <w:p w14:paraId="077436AA">
            <w:pPr>
              <w:widowControl/>
              <w:spacing w:line="360" w:lineRule="auto"/>
              <w:rPr>
                <w:rFonts w:hint="eastAsia" w:ascii="仿宋_GB2312" w:hAnsi="宋体" w:eastAsia="仿宋_GB2312"/>
                <w:sz w:val="24"/>
                <w:szCs w:val="24"/>
              </w:rPr>
            </w:pPr>
            <w:r>
              <w:rPr>
                <w:rFonts w:hint="eastAsia" w:ascii="宋体" w:hAnsi="宋体" w:cs="宋体"/>
                <w:sz w:val="24"/>
                <w:szCs w:val="24"/>
              </w:rPr>
              <w:t>模型驱动平台</w:t>
            </w:r>
          </w:p>
        </w:tc>
        <w:tc>
          <w:tcPr>
            <w:tcW w:w="1003" w:type="dxa"/>
            <w:vAlign w:val="center"/>
          </w:tcPr>
          <w:p w14:paraId="1061BA14">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3108" w:type="dxa"/>
            <w:vAlign w:val="center"/>
          </w:tcPr>
          <w:p w14:paraId="102C4C16">
            <w:pPr>
              <w:widowControl/>
              <w:spacing w:line="360" w:lineRule="auto"/>
              <w:rPr>
                <w:rFonts w:hint="eastAsia" w:ascii="仿宋_GB2312" w:hAnsi="宋体" w:eastAsia="仿宋_GB2312"/>
                <w:sz w:val="24"/>
                <w:szCs w:val="24"/>
              </w:rPr>
            </w:pPr>
            <w:r>
              <w:rPr>
                <w:rFonts w:hint="eastAsia" w:ascii="宋体" w:hAnsi="宋体" w:cs="宋体"/>
                <w:sz w:val="24"/>
                <w:szCs w:val="24"/>
              </w:rPr>
              <w:t>扇形驱动台面，承载多方向动力驱动装置，台面组成平面270度扇形。</w:t>
            </w:r>
          </w:p>
        </w:tc>
        <w:tc>
          <w:tcPr>
            <w:tcW w:w="1882" w:type="dxa"/>
            <w:vAlign w:val="center"/>
          </w:tcPr>
          <w:p w14:paraId="0E6FB206">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194EC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08FB72F">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519" w:type="dxa"/>
            <w:vAlign w:val="center"/>
          </w:tcPr>
          <w:p w14:paraId="74735220">
            <w:pPr>
              <w:widowControl/>
              <w:spacing w:line="360" w:lineRule="auto"/>
              <w:rPr>
                <w:rFonts w:hint="eastAsia" w:ascii="仿宋_GB2312" w:hAnsi="宋体" w:eastAsia="仿宋_GB2312"/>
                <w:sz w:val="24"/>
                <w:szCs w:val="24"/>
              </w:rPr>
            </w:pPr>
            <w:r>
              <w:rPr>
                <w:rFonts w:hint="eastAsia" w:ascii="宋体" w:hAnsi="宋体" w:cs="宋体"/>
                <w:sz w:val="24"/>
                <w:szCs w:val="24"/>
              </w:rPr>
              <w:t>实验箱</w:t>
            </w:r>
          </w:p>
        </w:tc>
        <w:tc>
          <w:tcPr>
            <w:tcW w:w="1003" w:type="dxa"/>
            <w:vAlign w:val="center"/>
          </w:tcPr>
          <w:p w14:paraId="07227D7B">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3108" w:type="dxa"/>
            <w:vAlign w:val="center"/>
          </w:tcPr>
          <w:p w14:paraId="513481DE">
            <w:pPr>
              <w:widowControl/>
              <w:spacing w:line="360" w:lineRule="auto"/>
              <w:rPr>
                <w:rFonts w:hint="eastAsia" w:ascii="仿宋_GB2312" w:hAnsi="宋体" w:eastAsia="仿宋_GB2312"/>
                <w:sz w:val="24"/>
                <w:szCs w:val="24"/>
              </w:rPr>
            </w:pPr>
            <w:r>
              <w:rPr>
                <w:rFonts w:hint="eastAsia" w:ascii="宋体" w:hAnsi="宋体" w:cs="宋体"/>
                <w:sz w:val="24"/>
                <w:szCs w:val="24"/>
              </w:rPr>
              <w:t>多规格组合实验箱规格组合，长度最大1600mm，宽度最大1200mm，高度400mm。</w:t>
            </w:r>
          </w:p>
        </w:tc>
        <w:tc>
          <w:tcPr>
            <w:tcW w:w="1882" w:type="dxa"/>
            <w:vAlign w:val="center"/>
          </w:tcPr>
          <w:p w14:paraId="6667059A">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438FB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CB75466">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4</w:t>
            </w:r>
          </w:p>
        </w:tc>
        <w:tc>
          <w:tcPr>
            <w:tcW w:w="1519" w:type="dxa"/>
            <w:vAlign w:val="center"/>
          </w:tcPr>
          <w:p w14:paraId="702D858C">
            <w:pPr>
              <w:widowControl/>
              <w:spacing w:line="360" w:lineRule="auto"/>
              <w:rPr>
                <w:rFonts w:hint="eastAsia" w:ascii="仿宋_GB2312" w:hAnsi="宋体" w:eastAsia="仿宋_GB2312"/>
                <w:sz w:val="24"/>
                <w:szCs w:val="24"/>
              </w:rPr>
            </w:pPr>
            <w:r>
              <w:rPr>
                <w:rFonts w:hint="eastAsia" w:ascii="宋体" w:hAnsi="宋体" w:cs="宋体"/>
                <w:sz w:val="24"/>
                <w:szCs w:val="24"/>
              </w:rPr>
              <w:t>动力加载装置</w:t>
            </w:r>
          </w:p>
        </w:tc>
        <w:tc>
          <w:tcPr>
            <w:tcW w:w="1003" w:type="dxa"/>
            <w:vAlign w:val="center"/>
          </w:tcPr>
          <w:p w14:paraId="1D694A6A">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lang w:val="zh-CN"/>
              </w:rPr>
              <w:t>★</w:t>
            </w:r>
          </w:p>
        </w:tc>
        <w:tc>
          <w:tcPr>
            <w:tcW w:w="3108" w:type="dxa"/>
            <w:vAlign w:val="center"/>
          </w:tcPr>
          <w:p w14:paraId="6B589667">
            <w:pPr>
              <w:widowControl/>
              <w:spacing w:line="360" w:lineRule="auto"/>
              <w:rPr>
                <w:rFonts w:hint="eastAsia" w:ascii="仿宋_GB2312" w:hAnsi="宋体" w:eastAsia="仿宋_GB2312"/>
                <w:sz w:val="24"/>
                <w:szCs w:val="24"/>
              </w:rPr>
            </w:pPr>
            <w:r>
              <w:rPr>
                <w:rFonts w:hint="eastAsia" w:ascii="宋体" w:hAnsi="宋体" w:cs="宋体"/>
                <w:sz w:val="24"/>
                <w:szCs w:val="24"/>
              </w:rPr>
              <w:t>专业电缸及减速机、电机推力高达7800 N，行程长达1000 mm，平面6组电动缸，底辟一组拱升机构。提供平面270度动力加载力及底部垂直拱升力。</w:t>
            </w:r>
          </w:p>
        </w:tc>
        <w:tc>
          <w:tcPr>
            <w:tcW w:w="1882" w:type="dxa"/>
            <w:vAlign w:val="center"/>
          </w:tcPr>
          <w:p w14:paraId="408EDBB6">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r w14:paraId="5DB1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54C573A">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5</w:t>
            </w:r>
          </w:p>
        </w:tc>
        <w:tc>
          <w:tcPr>
            <w:tcW w:w="1519" w:type="dxa"/>
            <w:vAlign w:val="center"/>
          </w:tcPr>
          <w:p w14:paraId="0CBB4B87">
            <w:pPr>
              <w:widowControl/>
              <w:spacing w:line="360" w:lineRule="auto"/>
              <w:rPr>
                <w:rFonts w:hint="eastAsia" w:ascii="仿宋_GB2312" w:hAnsi="宋体" w:eastAsia="仿宋_GB2312"/>
                <w:sz w:val="24"/>
                <w:szCs w:val="24"/>
              </w:rPr>
            </w:pPr>
            <w:r>
              <w:rPr>
                <w:rFonts w:hint="eastAsia" w:ascii="宋体" w:hAnsi="宋体" w:cs="宋体"/>
                <w:sz w:val="24"/>
                <w:szCs w:val="24"/>
              </w:rPr>
              <w:t>动力控制软硬件系统</w:t>
            </w:r>
          </w:p>
        </w:tc>
        <w:tc>
          <w:tcPr>
            <w:tcW w:w="1003" w:type="dxa"/>
            <w:vAlign w:val="center"/>
          </w:tcPr>
          <w:p w14:paraId="084D2C79">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lang w:val="zh-CN"/>
              </w:rPr>
              <w:t>★</w:t>
            </w:r>
          </w:p>
        </w:tc>
        <w:tc>
          <w:tcPr>
            <w:tcW w:w="3108" w:type="dxa"/>
            <w:vAlign w:val="center"/>
          </w:tcPr>
          <w:p w14:paraId="13AFDACD">
            <w:pPr>
              <w:widowControl/>
              <w:spacing w:line="360" w:lineRule="auto"/>
              <w:rPr>
                <w:rFonts w:hint="eastAsia" w:ascii="仿宋_GB2312" w:hAnsi="宋体" w:eastAsia="仿宋_GB2312"/>
                <w:sz w:val="24"/>
                <w:szCs w:val="24"/>
              </w:rPr>
            </w:pPr>
            <w:r>
              <w:rPr>
                <w:rFonts w:hint="eastAsia" w:ascii="宋体" w:hAnsi="宋体" w:cs="宋体"/>
                <w:sz w:val="24"/>
                <w:szCs w:val="24"/>
              </w:rPr>
              <w:t>提供实验运功控制系统软硬件系统（挤压、拉伸、走滑、拱升），完成6轴电动缸驱动及1台拱升机构控制，电动缸控制精度优于0.001mm/s</w:t>
            </w:r>
          </w:p>
        </w:tc>
        <w:tc>
          <w:tcPr>
            <w:tcW w:w="1882" w:type="dxa"/>
            <w:vAlign w:val="center"/>
          </w:tcPr>
          <w:p w14:paraId="5C69B0D4">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r w14:paraId="402C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D060821">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6</w:t>
            </w:r>
          </w:p>
        </w:tc>
        <w:tc>
          <w:tcPr>
            <w:tcW w:w="1519" w:type="dxa"/>
            <w:vAlign w:val="center"/>
          </w:tcPr>
          <w:p w14:paraId="1B72CBCF">
            <w:pPr>
              <w:widowControl/>
              <w:spacing w:line="360" w:lineRule="auto"/>
              <w:rPr>
                <w:rFonts w:hint="eastAsia" w:ascii="仿宋_GB2312" w:hAnsi="宋体" w:eastAsia="仿宋_GB2312"/>
                <w:sz w:val="24"/>
                <w:szCs w:val="24"/>
              </w:rPr>
            </w:pPr>
            <w:r>
              <w:rPr>
                <w:rFonts w:hint="eastAsia" w:ascii="宋体" w:hAnsi="宋体" w:cs="宋体"/>
                <w:sz w:val="24"/>
                <w:szCs w:val="24"/>
              </w:rPr>
              <w:t>平面图像记录系统</w:t>
            </w:r>
          </w:p>
        </w:tc>
        <w:tc>
          <w:tcPr>
            <w:tcW w:w="1003" w:type="dxa"/>
            <w:vAlign w:val="center"/>
          </w:tcPr>
          <w:p w14:paraId="1E017461">
            <w:pPr>
              <w:widowControl/>
              <w:spacing w:line="360" w:lineRule="auto"/>
              <w:jc w:val="center"/>
              <w:rPr>
                <w:rFonts w:hint="eastAsia" w:ascii="仿宋_GB2312" w:hAnsi="宋体" w:eastAsia="仿宋_GB2312"/>
                <w:sz w:val="24"/>
                <w:szCs w:val="24"/>
              </w:rPr>
            </w:pPr>
          </w:p>
        </w:tc>
        <w:tc>
          <w:tcPr>
            <w:tcW w:w="3108" w:type="dxa"/>
            <w:vAlign w:val="center"/>
          </w:tcPr>
          <w:p w14:paraId="38DA7F36">
            <w:pPr>
              <w:widowControl/>
              <w:spacing w:line="360" w:lineRule="auto"/>
              <w:rPr>
                <w:rFonts w:hint="eastAsia" w:ascii="仿宋_GB2312" w:hAnsi="宋体" w:eastAsia="仿宋_GB2312"/>
                <w:sz w:val="24"/>
                <w:szCs w:val="24"/>
              </w:rPr>
            </w:pPr>
            <w:r>
              <w:rPr>
                <w:rFonts w:hint="eastAsia" w:ascii="宋体" w:hAnsi="宋体" w:cs="宋体"/>
                <w:sz w:val="24"/>
                <w:szCs w:val="24"/>
              </w:rPr>
              <w:t>两台相机：镜头18-200mm，有效像素</w:t>
            </w:r>
            <w:r>
              <w:rPr>
                <w:rFonts w:hint="eastAsia" w:ascii="宋体" w:hAnsi="宋体" w:eastAsia="宋体" w:cs="宋体"/>
                <w:b/>
                <w:bCs/>
                <w:szCs w:val="21"/>
              </w:rPr>
              <w:t>≥</w:t>
            </w:r>
            <w:r>
              <w:rPr>
                <w:rFonts w:hint="eastAsia" w:ascii="宋体" w:hAnsi="宋体" w:cs="宋体"/>
                <w:sz w:val="24"/>
                <w:szCs w:val="24"/>
              </w:rPr>
              <w:t>2</w:t>
            </w:r>
            <w:r>
              <w:rPr>
                <w:rFonts w:ascii="宋体" w:hAnsi="宋体" w:cs="宋体"/>
                <w:sz w:val="24"/>
                <w:szCs w:val="24"/>
              </w:rPr>
              <w:t>000</w:t>
            </w:r>
            <w:r>
              <w:rPr>
                <w:rFonts w:hint="eastAsia" w:ascii="宋体" w:hAnsi="宋体" w:cs="宋体"/>
                <w:sz w:val="24"/>
                <w:szCs w:val="24"/>
              </w:rPr>
              <w:t>万，含摄影摄像辅助配件；配备三脚架两个。</w:t>
            </w:r>
          </w:p>
        </w:tc>
        <w:tc>
          <w:tcPr>
            <w:tcW w:w="1882" w:type="dxa"/>
            <w:vAlign w:val="center"/>
          </w:tcPr>
          <w:p w14:paraId="314F0985">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556AE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7D484A9">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7</w:t>
            </w:r>
          </w:p>
        </w:tc>
        <w:tc>
          <w:tcPr>
            <w:tcW w:w="1519" w:type="dxa"/>
            <w:vAlign w:val="center"/>
          </w:tcPr>
          <w:p w14:paraId="4EF20B5B">
            <w:pPr>
              <w:widowControl/>
              <w:spacing w:line="360" w:lineRule="auto"/>
              <w:rPr>
                <w:rFonts w:hint="eastAsia" w:ascii="仿宋_GB2312" w:hAnsi="宋体" w:eastAsia="仿宋_GB2312"/>
                <w:sz w:val="24"/>
                <w:szCs w:val="24"/>
              </w:rPr>
            </w:pPr>
            <w:r>
              <w:rPr>
                <w:rFonts w:hint="eastAsia" w:ascii="宋体" w:hAnsi="宋体" w:cs="宋体"/>
                <w:sz w:val="24"/>
                <w:szCs w:val="24"/>
              </w:rPr>
              <w:t>计算机软硬系统</w:t>
            </w:r>
          </w:p>
        </w:tc>
        <w:tc>
          <w:tcPr>
            <w:tcW w:w="1003" w:type="dxa"/>
            <w:vAlign w:val="center"/>
          </w:tcPr>
          <w:p w14:paraId="36AA723C">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3108" w:type="dxa"/>
            <w:vAlign w:val="center"/>
          </w:tcPr>
          <w:p w14:paraId="43ED28E9">
            <w:pPr>
              <w:widowControl/>
              <w:spacing w:line="360" w:lineRule="auto"/>
              <w:rPr>
                <w:rFonts w:hint="eastAsia" w:ascii="仿宋_GB2312" w:hAnsi="宋体" w:eastAsia="仿宋_GB2312"/>
                <w:sz w:val="24"/>
                <w:szCs w:val="24"/>
              </w:rPr>
            </w:pPr>
            <w:r>
              <w:rPr>
                <w:rFonts w:hint="eastAsia" w:ascii="宋体" w:hAnsi="宋体" w:cs="宋体"/>
                <w:sz w:val="24"/>
                <w:szCs w:val="24"/>
              </w:rPr>
              <w:t>台式机，</w:t>
            </w:r>
            <w:r>
              <w:rPr>
                <w:rFonts w:hint="eastAsia" w:ascii="宋体" w:hAnsi="宋体" w:cs="宋体"/>
                <w:szCs w:val="21"/>
              </w:rPr>
              <w:t>性能要求CPU：主频≥2.1GHz、核心数≥16、线程数≥20；内存≥16G，硬盘容量≥1T，具备独立显卡≥4G，配置显示器≥</w:t>
            </w:r>
            <w:r>
              <w:rPr>
                <w:rFonts w:hint="eastAsia" w:ascii="宋体" w:hAnsi="宋体" w:cs="宋体"/>
                <w:sz w:val="24"/>
                <w:szCs w:val="24"/>
              </w:rPr>
              <w:t>27英寸</w:t>
            </w:r>
          </w:p>
        </w:tc>
        <w:tc>
          <w:tcPr>
            <w:tcW w:w="1882" w:type="dxa"/>
            <w:vAlign w:val="center"/>
          </w:tcPr>
          <w:p w14:paraId="7C474690">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0FC1F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10BF57E">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8</w:t>
            </w:r>
          </w:p>
        </w:tc>
        <w:tc>
          <w:tcPr>
            <w:tcW w:w="1519" w:type="dxa"/>
            <w:vAlign w:val="center"/>
          </w:tcPr>
          <w:p w14:paraId="42D59C65">
            <w:pPr>
              <w:widowControl/>
              <w:spacing w:line="360" w:lineRule="auto"/>
              <w:rPr>
                <w:rFonts w:hint="eastAsia" w:ascii="仿宋_GB2312" w:hAnsi="宋体" w:eastAsia="仿宋_GB2312"/>
                <w:sz w:val="24"/>
                <w:szCs w:val="24"/>
              </w:rPr>
            </w:pPr>
            <w:r>
              <w:rPr>
                <w:rFonts w:hint="eastAsia" w:ascii="宋体" w:hAnsi="宋体" w:cs="宋体"/>
                <w:sz w:val="24"/>
                <w:szCs w:val="24"/>
              </w:rPr>
              <w:t>PIV系统</w:t>
            </w:r>
          </w:p>
        </w:tc>
        <w:tc>
          <w:tcPr>
            <w:tcW w:w="1003" w:type="dxa"/>
            <w:vAlign w:val="center"/>
          </w:tcPr>
          <w:p w14:paraId="17DD9C52">
            <w:pPr>
              <w:widowControl/>
              <w:spacing w:line="360" w:lineRule="auto"/>
              <w:jc w:val="center"/>
              <w:rPr>
                <w:rFonts w:hint="eastAsia" w:ascii="仿宋_GB2312" w:hAnsi="宋体" w:eastAsia="仿宋_GB2312"/>
                <w:sz w:val="24"/>
                <w:szCs w:val="24"/>
              </w:rPr>
            </w:pPr>
          </w:p>
        </w:tc>
        <w:tc>
          <w:tcPr>
            <w:tcW w:w="3108" w:type="dxa"/>
            <w:vAlign w:val="center"/>
          </w:tcPr>
          <w:p w14:paraId="2BC2BBA0">
            <w:pPr>
              <w:widowControl/>
              <w:spacing w:line="360" w:lineRule="auto"/>
              <w:rPr>
                <w:rFonts w:hint="eastAsia" w:ascii="仿宋_GB2312" w:hAnsi="宋体" w:eastAsia="仿宋_GB2312"/>
                <w:sz w:val="24"/>
                <w:szCs w:val="24"/>
              </w:rPr>
            </w:pPr>
            <w:r>
              <w:rPr>
                <w:rFonts w:hint="eastAsia" w:ascii="宋体" w:hAnsi="宋体" w:cs="宋体"/>
                <w:sz w:val="24"/>
                <w:szCs w:val="24"/>
              </w:rPr>
              <w:t>PIV工业相机，性能包括10二维PIV分析软件；具备互相关迭代（支持4重迭代）、窗口变形、自动向量滤波功能；集成图像控制、实时PIV 计算、存储、分析功能。</w:t>
            </w:r>
          </w:p>
        </w:tc>
        <w:tc>
          <w:tcPr>
            <w:tcW w:w="1882" w:type="dxa"/>
            <w:vAlign w:val="center"/>
          </w:tcPr>
          <w:p w14:paraId="68A4A7B0">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72C7F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C7EED80">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9</w:t>
            </w:r>
          </w:p>
        </w:tc>
        <w:tc>
          <w:tcPr>
            <w:tcW w:w="1519" w:type="dxa"/>
            <w:vAlign w:val="center"/>
          </w:tcPr>
          <w:p w14:paraId="4C6A0DC8">
            <w:pPr>
              <w:widowControl/>
              <w:spacing w:line="360" w:lineRule="auto"/>
              <w:rPr>
                <w:rFonts w:hint="eastAsia" w:ascii="仿宋_GB2312" w:hAnsi="宋体" w:eastAsia="仿宋_GB2312"/>
                <w:sz w:val="24"/>
                <w:szCs w:val="24"/>
              </w:rPr>
            </w:pPr>
            <w:r>
              <w:rPr>
                <w:rFonts w:hint="eastAsia" w:ascii="宋体" w:hAnsi="宋体" w:cs="宋体"/>
                <w:sz w:val="24"/>
                <w:szCs w:val="24"/>
              </w:rPr>
              <w:t>实验材料</w:t>
            </w:r>
          </w:p>
        </w:tc>
        <w:tc>
          <w:tcPr>
            <w:tcW w:w="1003" w:type="dxa"/>
            <w:vAlign w:val="center"/>
          </w:tcPr>
          <w:p w14:paraId="1B9F9A09">
            <w:pPr>
              <w:widowControl/>
              <w:spacing w:line="360" w:lineRule="auto"/>
              <w:jc w:val="center"/>
              <w:rPr>
                <w:rFonts w:hint="eastAsia" w:ascii="仿宋_GB2312" w:hAnsi="宋体" w:eastAsia="仿宋_GB2312"/>
                <w:sz w:val="24"/>
                <w:szCs w:val="24"/>
              </w:rPr>
            </w:pPr>
          </w:p>
        </w:tc>
        <w:tc>
          <w:tcPr>
            <w:tcW w:w="3108" w:type="dxa"/>
            <w:vAlign w:val="center"/>
          </w:tcPr>
          <w:p w14:paraId="54E4FFB8">
            <w:pPr>
              <w:spacing w:line="360" w:lineRule="auto"/>
              <w:rPr>
                <w:rFonts w:hint="eastAsia" w:ascii="宋体" w:hAnsi="宋体" w:cs="宋体"/>
                <w:sz w:val="24"/>
                <w:szCs w:val="24"/>
              </w:rPr>
            </w:pPr>
            <w:r>
              <w:rPr>
                <w:rFonts w:hint="eastAsia" w:ascii="宋体" w:hAnsi="宋体" w:cs="宋体"/>
                <w:sz w:val="24"/>
                <w:szCs w:val="24"/>
              </w:rPr>
              <w:t>40目-120目纯净石英砂、彩色石英砂、玻璃珠共400KG、硅胶50KG。</w:t>
            </w:r>
          </w:p>
        </w:tc>
        <w:tc>
          <w:tcPr>
            <w:tcW w:w="1882" w:type="dxa"/>
            <w:vAlign w:val="center"/>
          </w:tcPr>
          <w:p w14:paraId="70331560">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r w14:paraId="612F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B99BEC4">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10</w:t>
            </w:r>
          </w:p>
        </w:tc>
        <w:tc>
          <w:tcPr>
            <w:tcW w:w="1519" w:type="dxa"/>
            <w:vAlign w:val="center"/>
          </w:tcPr>
          <w:p w14:paraId="14382CC3">
            <w:pPr>
              <w:widowControl/>
              <w:spacing w:line="360" w:lineRule="auto"/>
              <w:rPr>
                <w:rFonts w:hint="eastAsia" w:ascii="仿宋_GB2312" w:hAnsi="宋体" w:eastAsia="仿宋_GB2312"/>
                <w:sz w:val="24"/>
                <w:szCs w:val="24"/>
              </w:rPr>
            </w:pPr>
            <w:r>
              <w:rPr>
                <w:rFonts w:hint="eastAsia" w:ascii="宋体" w:hAnsi="宋体" w:cs="宋体"/>
                <w:sz w:val="24"/>
                <w:szCs w:val="24"/>
              </w:rPr>
              <w:t>相关辅助设备</w:t>
            </w:r>
          </w:p>
        </w:tc>
        <w:tc>
          <w:tcPr>
            <w:tcW w:w="1003" w:type="dxa"/>
            <w:vAlign w:val="center"/>
          </w:tcPr>
          <w:p w14:paraId="4A19FA39">
            <w:pPr>
              <w:widowControl/>
              <w:spacing w:line="360" w:lineRule="auto"/>
              <w:jc w:val="center"/>
              <w:rPr>
                <w:rFonts w:hint="eastAsia" w:ascii="仿宋_GB2312" w:hAnsi="宋体" w:eastAsia="仿宋_GB2312"/>
                <w:sz w:val="24"/>
                <w:szCs w:val="24"/>
              </w:rPr>
            </w:pPr>
          </w:p>
        </w:tc>
        <w:tc>
          <w:tcPr>
            <w:tcW w:w="3108" w:type="dxa"/>
            <w:vAlign w:val="center"/>
          </w:tcPr>
          <w:p w14:paraId="61A13E30">
            <w:pPr>
              <w:widowControl/>
              <w:spacing w:line="360" w:lineRule="auto"/>
              <w:rPr>
                <w:rFonts w:hint="eastAsia" w:ascii="仿宋_GB2312" w:hAnsi="宋体" w:eastAsia="仿宋_GB2312"/>
                <w:sz w:val="24"/>
                <w:szCs w:val="24"/>
              </w:rPr>
            </w:pPr>
            <w:r>
              <w:rPr>
                <w:rFonts w:hint="eastAsia" w:ascii="宋体" w:hAnsi="宋体" w:cs="宋体"/>
                <w:sz w:val="24"/>
                <w:szCs w:val="24"/>
              </w:rPr>
              <w:t>相关辅助设备：设备维护工具、实验工具等。</w:t>
            </w:r>
          </w:p>
        </w:tc>
        <w:tc>
          <w:tcPr>
            <w:tcW w:w="1882" w:type="dxa"/>
            <w:vAlign w:val="center"/>
          </w:tcPr>
          <w:p w14:paraId="01DB9D58">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否</w:t>
            </w:r>
          </w:p>
        </w:tc>
      </w:tr>
    </w:tbl>
    <w:p w14:paraId="2A136C1D">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46276FCC">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71F8C816">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166698E0">
      <w:pPr>
        <w:widowControl/>
        <w:ind w:firstLine="643" w:firstLineChars="200"/>
        <w:jc w:val="left"/>
        <w:rPr>
          <w:rFonts w:hint="eastAsia" w:ascii="仿宋_GB2312" w:hAnsi="宋体" w:eastAsia="仿宋_GB2312" w:cs="仿宋"/>
          <w:b/>
          <w:color w:val="EE0000"/>
          <w:kern w:val="0"/>
          <w:sz w:val="32"/>
          <w:szCs w:val="28"/>
          <w:shd w:val="clear" w:color="auto" w:fill="FFFFFF"/>
        </w:rPr>
      </w:pPr>
      <w:r>
        <w:rPr>
          <w:rFonts w:hint="eastAsia" w:ascii="仿宋_GB2312" w:hAnsi="宋体" w:eastAsia="仿宋_GB2312" w:cs="仿宋"/>
          <w:b/>
          <w:color w:val="EE0000"/>
          <w:kern w:val="0"/>
          <w:sz w:val="32"/>
          <w:szCs w:val="28"/>
          <w:shd w:val="clear" w:color="auto" w:fill="FFFFFF"/>
        </w:rPr>
        <w:t>四、商务要求</w:t>
      </w:r>
    </w:p>
    <w:tbl>
      <w:tblPr>
        <w:tblStyle w:val="8"/>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28B19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790396B3">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19B93C41">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72493A64">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7E51F1AE">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71240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4094DD91">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2A04D9D8">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报价要求</w:t>
            </w:r>
          </w:p>
        </w:tc>
        <w:tc>
          <w:tcPr>
            <w:tcW w:w="940" w:type="dxa"/>
            <w:vAlign w:val="center"/>
          </w:tcPr>
          <w:p w14:paraId="172608F7">
            <w:pPr>
              <w:autoSpaceDE w:val="0"/>
              <w:autoSpaceDN w:val="0"/>
              <w:adjustRightInd w:val="0"/>
              <w:snapToGrid w:val="0"/>
              <w:jc w:val="both"/>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tcPr>
          <w:p w14:paraId="63DA455C">
            <w:pPr>
              <w:autoSpaceDE w:val="0"/>
              <w:autoSpaceDN w:val="0"/>
              <w:adjustRightInd w:val="0"/>
              <w:snapToGrid w:val="0"/>
              <w:spacing w:line="360" w:lineRule="auto"/>
              <w:jc w:val="left"/>
              <w:rPr>
                <w:rFonts w:hint="eastAsia" w:ascii="仿宋_GB2312" w:hAnsi="宋体" w:eastAsia="仿宋_GB2312"/>
                <w:sz w:val="24"/>
                <w:szCs w:val="24"/>
              </w:rPr>
            </w:pPr>
          </w:p>
          <w:p w14:paraId="6BA94794">
            <w:pPr>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（1）投标人的报价均应以人民币进行报价。</w:t>
            </w:r>
          </w:p>
          <w:p w14:paraId="1785553F">
            <w:pPr>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2）投标报价应包含完成本项目的全部费用，包括但不限于货物的设计、制造、采购、运输、保险、装卸、仓储、保管、安装实施所需的线材、管材、辅材及实施人员费、检测、调试、培训、验收、售后服务、利润等费用。</w:t>
            </w:r>
          </w:p>
        </w:tc>
      </w:tr>
      <w:tr w14:paraId="5A6A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52EBC7CC">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2</w:t>
            </w:r>
          </w:p>
        </w:tc>
        <w:tc>
          <w:tcPr>
            <w:tcW w:w="1603" w:type="dxa"/>
            <w:vAlign w:val="center"/>
          </w:tcPr>
          <w:p w14:paraId="3A5CBE4B">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vAlign w:val="center"/>
          </w:tcPr>
          <w:p w14:paraId="12FD0D47">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tcPr>
          <w:p w14:paraId="10F321F4">
            <w:pPr>
              <w:autoSpaceDE w:val="0"/>
              <w:autoSpaceDN w:val="0"/>
              <w:adjustRightInd w:val="0"/>
              <w:snapToGrid w:val="0"/>
              <w:spacing w:line="360" w:lineRule="auto"/>
              <w:jc w:val="left"/>
              <w:rPr>
                <w:rFonts w:hint="eastAsia" w:ascii="仿宋_GB2312" w:hAnsi="宋体" w:eastAsia="仿宋_GB2312"/>
                <w:sz w:val="24"/>
                <w:szCs w:val="24"/>
              </w:rPr>
            </w:pPr>
            <w:r>
              <w:rPr>
                <w:rFonts w:hint="eastAsia" w:ascii="仿宋_GB2312" w:hAnsi="宋体" w:eastAsia="仿宋_GB2312"/>
                <w:sz w:val="24"/>
                <w:szCs w:val="24"/>
              </w:rPr>
              <w:t>合同签订后120天内交货并完成安装调试</w:t>
            </w:r>
          </w:p>
        </w:tc>
      </w:tr>
      <w:tr w14:paraId="19764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21F3D64B">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3</w:t>
            </w:r>
          </w:p>
        </w:tc>
        <w:tc>
          <w:tcPr>
            <w:tcW w:w="1603" w:type="dxa"/>
            <w:vAlign w:val="center"/>
          </w:tcPr>
          <w:p w14:paraId="2270C25B">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940" w:type="dxa"/>
            <w:vAlign w:val="center"/>
          </w:tcPr>
          <w:p w14:paraId="5ADCDEFF">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tcPr>
          <w:p w14:paraId="6663B07B">
            <w:pPr>
              <w:autoSpaceDE w:val="0"/>
              <w:autoSpaceDN w:val="0"/>
              <w:adjustRightInd w:val="0"/>
              <w:snapToGrid w:val="0"/>
              <w:spacing w:line="360" w:lineRule="auto"/>
              <w:jc w:val="left"/>
              <w:rPr>
                <w:rFonts w:hint="eastAsia" w:ascii="仿宋_GB2312" w:hAnsi="宋体" w:eastAsia="仿宋_GB2312"/>
                <w:sz w:val="24"/>
                <w:szCs w:val="24"/>
              </w:rPr>
            </w:pPr>
            <w:r>
              <w:rPr>
                <w:rFonts w:hint="eastAsia" w:ascii="仿宋_GB2312" w:hAnsi="宋体" w:eastAsia="仿宋_GB2312"/>
                <w:sz w:val="24"/>
                <w:szCs w:val="24"/>
              </w:rPr>
              <w:t>货物价格包含包装费、运输费、装卸费、运输保险及货物交付采购人验收合格前全部安全风险。投标人负责全部货物的包装和运输，包括运输过程中的中转和货到现场前的保管及安全。投标人负责运输过程中的装卸与货物在现场存放点的就位，存放点由采购人或采购人指定收货人现场确定。在运输和装卸过程中应避免产品受到雨或其他液体物质淋湿和损伤，并有防晒、防挤压措施，搬运时应轻拿轻放，在运输和装卸过程中所造成的损坏或缺失等，响应速度同质保期内响应速度。提供终身维修、维护与技术咨询。由投标人承担一切责任。</w:t>
            </w:r>
          </w:p>
        </w:tc>
      </w:tr>
      <w:tr w14:paraId="47EB0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0EAF29CC">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4</w:t>
            </w:r>
          </w:p>
        </w:tc>
        <w:tc>
          <w:tcPr>
            <w:tcW w:w="1603" w:type="dxa"/>
            <w:vAlign w:val="center"/>
          </w:tcPr>
          <w:p w14:paraId="70E322A4">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40" w:type="dxa"/>
            <w:vAlign w:val="center"/>
          </w:tcPr>
          <w:p w14:paraId="54B4DBDF">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3963E23D">
            <w:pPr>
              <w:autoSpaceDE w:val="0"/>
              <w:autoSpaceDN w:val="0"/>
              <w:adjustRightInd w:val="0"/>
              <w:snapToGrid w:val="0"/>
              <w:spacing w:line="360" w:lineRule="auto"/>
              <w:jc w:val="left"/>
              <w:rPr>
                <w:rFonts w:hint="eastAsia" w:ascii="仿宋_GB2312" w:hAnsi="宋体" w:eastAsia="仿宋_GB2312" w:cs="宋体"/>
                <w:i/>
                <w:snapToGrid w:val="0"/>
                <w:kern w:val="0"/>
                <w:sz w:val="24"/>
                <w:szCs w:val="24"/>
                <w:lang w:val="zh-CN"/>
              </w:rPr>
            </w:pPr>
            <w:r>
              <w:rPr>
                <w:rFonts w:hint="eastAsia" w:ascii="仿宋_GB2312" w:hAnsi="宋体" w:eastAsia="仿宋_GB2312" w:cs="宋体"/>
                <w:i/>
                <w:snapToGrid w:val="0"/>
                <w:kern w:val="0"/>
                <w:sz w:val="24"/>
                <w:szCs w:val="24"/>
                <w:lang w:val="zh-CN"/>
              </w:rPr>
              <w:t>采购人指定地点</w:t>
            </w:r>
          </w:p>
        </w:tc>
      </w:tr>
      <w:tr w14:paraId="7A85F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1F13400C">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603" w:type="dxa"/>
            <w:vAlign w:val="center"/>
          </w:tcPr>
          <w:p w14:paraId="408CD5CA">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940" w:type="dxa"/>
            <w:vAlign w:val="center"/>
          </w:tcPr>
          <w:p w14:paraId="75F28085">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73395BDC">
            <w:pPr>
              <w:autoSpaceDE w:val="0"/>
              <w:autoSpaceDN w:val="0"/>
              <w:adjustRightInd w:val="0"/>
              <w:snapToGrid w:val="0"/>
              <w:spacing w:line="360" w:lineRule="auto"/>
              <w:jc w:val="left"/>
              <w:rPr>
                <w:rFonts w:hint="eastAsia" w:ascii="仿宋_GB2312" w:hAnsi="宋体" w:eastAsia="仿宋_GB2312" w:cs="宋体"/>
                <w:i/>
                <w:snapToGrid w:val="0"/>
                <w:kern w:val="0"/>
                <w:sz w:val="24"/>
                <w:szCs w:val="24"/>
                <w:lang w:val="zh-CN"/>
              </w:rPr>
            </w:pPr>
            <w:r>
              <w:rPr>
                <w:rFonts w:hint="eastAsia" w:ascii="仿宋_GB2312" w:hAnsi="宋体" w:eastAsia="仿宋_GB2312" w:cs="宋体"/>
                <w:iCs/>
                <w:snapToGrid w:val="0"/>
                <w:kern w:val="0"/>
                <w:sz w:val="24"/>
                <w:szCs w:val="24"/>
                <w:lang w:val="zh-CN"/>
              </w:rPr>
              <w:t>自验收合格之日起计算</w:t>
            </w:r>
            <w:r>
              <w:rPr>
                <w:rFonts w:hint="eastAsia" w:ascii="仿宋_GB2312" w:hAnsi="宋体" w:eastAsia="仿宋_GB2312" w:cs="宋体"/>
                <w:iCs/>
                <w:snapToGrid w:val="0"/>
                <w:kern w:val="0"/>
                <w:sz w:val="24"/>
                <w:szCs w:val="24"/>
              </w:rPr>
              <w:t>，</w:t>
            </w:r>
            <w:r>
              <w:rPr>
                <w:rFonts w:hint="eastAsia" w:ascii="仿宋_GB2312" w:hAnsi="宋体" w:eastAsia="仿宋_GB2312" w:cs="宋体"/>
                <w:iCs/>
                <w:snapToGrid w:val="0"/>
                <w:kern w:val="0"/>
                <w:sz w:val="24"/>
                <w:szCs w:val="24"/>
                <w:lang w:val="zh-CN"/>
              </w:rPr>
              <w:t>所有硬件</w:t>
            </w:r>
            <w:r>
              <w:rPr>
                <w:rFonts w:hint="eastAsia" w:ascii="仿宋_GB2312" w:hAnsi="宋体" w:eastAsia="仿宋_GB2312" w:cs="宋体"/>
                <w:iCs/>
                <w:snapToGrid w:val="0"/>
                <w:kern w:val="0"/>
                <w:sz w:val="24"/>
                <w:szCs w:val="24"/>
              </w:rPr>
              <w:t>1</w:t>
            </w:r>
            <w:r>
              <w:rPr>
                <w:rFonts w:hint="eastAsia" w:ascii="仿宋_GB2312" w:hAnsi="宋体" w:eastAsia="仿宋_GB2312" w:cs="宋体"/>
                <w:iCs/>
                <w:snapToGrid w:val="0"/>
                <w:kern w:val="0"/>
                <w:sz w:val="24"/>
                <w:szCs w:val="24"/>
                <w:lang w:val="zh-CN"/>
              </w:rPr>
              <w:t>年免费保修、所有软件</w:t>
            </w:r>
            <w:r>
              <w:rPr>
                <w:rFonts w:hint="eastAsia" w:ascii="仿宋_GB2312" w:hAnsi="宋体" w:eastAsia="仿宋_GB2312" w:cs="宋体"/>
                <w:iCs/>
                <w:snapToGrid w:val="0"/>
                <w:kern w:val="0"/>
                <w:sz w:val="24"/>
                <w:szCs w:val="24"/>
              </w:rPr>
              <w:t>终身</w:t>
            </w:r>
            <w:r>
              <w:rPr>
                <w:rFonts w:hint="eastAsia" w:ascii="仿宋_GB2312" w:hAnsi="宋体" w:eastAsia="仿宋_GB2312" w:cs="宋体"/>
                <w:iCs/>
                <w:snapToGrid w:val="0"/>
                <w:kern w:val="0"/>
                <w:sz w:val="24"/>
                <w:szCs w:val="24"/>
                <w:lang w:val="zh-CN"/>
              </w:rPr>
              <w:t>免费升级</w:t>
            </w:r>
            <w:r>
              <w:rPr>
                <w:rFonts w:hint="eastAsia" w:ascii="仿宋_GB2312" w:hAnsi="宋体" w:eastAsia="仿宋_GB2312" w:cs="宋体"/>
                <w:iCs/>
                <w:snapToGrid w:val="0"/>
                <w:kern w:val="0"/>
                <w:sz w:val="24"/>
                <w:szCs w:val="24"/>
              </w:rPr>
              <w:t>.</w:t>
            </w:r>
          </w:p>
        </w:tc>
      </w:tr>
      <w:tr w14:paraId="5135B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2217E40">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6</w:t>
            </w:r>
          </w:p>
        </w:tc>
        <w:tc>
          <w:tcPr>
            <w:tcW w:w="1603" w:type="dxa"/>
            <w:vAlign w:val="center"/>
          </w:tcPr>
          <w:p w14:paraId="2BF6A592">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940" w:type="dxa"/>
            <w:vAlign w:val="center"/>
          </w:tcPr>
          <w:p w14:paraId="303A9C85">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2FF1256E">
            <w:pPr>
              <w:widowControl/>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iCs/>
                <w:snapToGrid w:val="0"/>
                <w:kern w:val="0"/>
                <w:sz w:val="24"/>
                <w:szCs w:val="24"/>
                <w:lang w:val="zh-CN"/>
              </w:rPr>
              <w:t>提供2天以上现场培训，交通等与培训相关的费用均由成交供应商承担。</w:t>
            </w:r>
          </w:p>
        </w:tc>
      </w:tr>
      <w:tr w14:paraId="44C77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65416DD">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603" w:type="dxa"/>
            <w:vAlign w:val="center"/>
          </w:tcPr>
          <w:p w14:paraId="72FDEFD4">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vAlign w:val="center"/>
          </w:tcPr>
          <w:p w14:paraId="12E6862A">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70475F03">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合同签订后，预付合同总金额的30%，仪器设备安装调试到位并验收合格后，一次性付清。</w:t>
            </w:r>
          </w:p>
          <w:p w14:paraId="30B5AD56">
            <w:pPr>
              <w:widowControl/>
              <w:autoSpaceDE w:val="0"/>
              <w:autoSpaceDN w:val="0"/>
              <w:adjustRightInd w:val="0"/>
              <w:snapToGrid w:val="0"/>
              <w:rPr>
                <w:rFonts w:hint="eastAsia" w:ascii="仿宋_GB2312" w:hAnsi="宋体" w:eastAsia="仿宋_GB2312" w:cs="宋体"/>
                <w:i/>
                <w:snapToGrid w:val="0"/>
                <w:kern w:val="0"/>
                <w:sz w:val="24"/>
                <w:szCs w:val="24"/>
                <w:lang w:val="zh-CN"/>
              </w:rPr>
            </w:pPr>
            <w:r>
              <w:rPr>
                <w:rFonts w:hint="eastAsia" w:ascii="仿宋_GB2312" w:hAnsi="宋体" w:eastAsia="仿宋_GB2312" w:cs="宋体"/>
                <w:i/>
                <w:snapToGrid w:val="0"/>
                <w:kern w:val="0"/>
                <w:sz w:val="24"/>
                <w:szCs w:val="24"/>
                <w:lang w:val="zh-CN"/>
              </w:rPr>
              <w:t>若中标人为中小企业，将落实《保障中小企业款项支付条例》。</w:t>
            </w:r>
          </w:p>
        </w:tc>
      </w:tr>
      <w:tr w14:paraId="703BB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377479C">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8</w:t>
            </w:r>
          </w:p>
        </w:tc>
        <w:tc>
          <w:tcPr>
            <w:tcW w:w="1603" w:type="dxa"/>
            <w:vAlign w:val="center"/>
          </w:tcPr>
          <w:p w14:paraId="0202FCE6">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940" w:type="dxa"/>
          </w:tcPr>
          <w:p w14:paraId="47ACB322">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tcPr>
          <w:p w14:paraId="4761064E">
            <w:pPr>
              <w:widowControl/>
              <w:autoSpaceDE w:val="0"/>
              <w:autoSpaceDN w:val="0"/>
              <w:adjustRightInd w:val="0"/>
              <w:snapToGrid w:val="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iCs/>
                <w:snapToGrid w:val="0"/>
                <w:kern w:val="0"/>
                <w:sz w:val="24"/>
                <w:szCs w:val="24"/>
                <w:lang w:val="zh-CN"/>
              </w:rPr>
              <w:t>按照供应商响应文件及采购文件确定的技术和服务指标进行验收。</w:t>
            </w:r>
          </w:p>
        </w:tc>
      </w:tr>
      <w:tr w14:paraId="55053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F153C83">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9</w:t>
            </w:r>
          </w:p>
        </w:tc>
        <w:tc>
          <w:tcPr>
            <w:tcW w:w="1603" w:type="dxa"/>
            <w:vAlign w:val="center"/>
          </w:tcPr>
          <w:p w14:paraId="2CBF318D">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940" w:type="dxa"/>
          </w:tcPr>
          <w:p w14:paraId="3DDCBE65">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tcPr>
          <w:p w14:paraId="559CD8FC">
            <w:pPr>
              <w:widowControl/>
              <w:autoSpaceDE w:val="0"/>
              <w:autoSpaceDN w:val="0"/>
              <w:adjustRightInd w:val="0"/>
              <w:snapToGrid w:val="0"/>
              <w:jc w:val="left"/>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提供1年免费整机质保，电话报修后48小时上门服务、72小时内排除故障或找到解决方案。</w:t>
            </w:r>
          </w:p>
          <w:p w14:paraId="29058D29">
            <w:pPr>
              <w:widowControl/>
              <w:autoSpaceDE w:val="0"/>
              <w:autoSpaceDN w:val="0"/>
              <w:adjustRightInd w:val="0"/>
              <w:snapToGrid w:val="0"/>
              <w:jc w:val="left"/>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所有硬件过免费保修期后、所有软件过免费保修升级期后继续提供技术支持，硬件优惠收取配件费用（参考投标所列价格或合同签订时的价格进行折扣优惠），软件优惠进行维修升级，响应速度同保修期响应速度。</w:t>
            </w:r>
          </w:p>
        </w:tc>
      </w:tr>
      <w:tr w14:paraId="46B8A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3CABDE2">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10</w:t>
            </w:r>
          </w:p>
        </w:tc>
        <w:tc>
          <w:tcPr>
            <w:tcW w:w="1603" w:type="dxa"/>
            <w:vAlign w:val="center"/>
          </w:tcPr>
          <w:p w14:paraId="53E363A3">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培训要求</w:t>
            </w:r>
          </w:p>
        </w:tc>
        <w:tc>
          <w:tcPr>
            <w:tcW w:w="940" w:type="dxa"/>
          </w:tcPr>
          <w:p w14:paraId="55724A91">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vAlign w:val="center"/>
          </w:tcPr>
          <w:p w14:paraId="1CA37B2A">
            <w:pPr>
              <w:widowControl/>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iCs/>
                <w:snapToGrid w:val="0"/>
                <w:kern w:val="0"/>
                <w:sz w:val="24"/>
                <w:szCs w:val="24"/>
                <w:lang w:val="zh-CN"/>
              </w:rPr>
              <w:t>提供2天以上现场培训，交通等与培训相关的费用均由成交供应商承担。</w:t>
            </w:r>
          </w:p>
        </w:tc>
      </w:tr>
      <w:tr w14:paraId="59AF6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635B3BD">
            <w:pPr>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1603" w:type="dxa"/>
            <w:vAlign w:val="center"/>
          </w:tcPr>
          <w:p w14:paraId="453D18C0">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940" w:type="dxa"/>
          </w:tcPr>
          <w:p w14:paraId="53EB5557">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tcPr>
          <w:p w14:paraId="0635D169">
            <w:pPr>
              <w:widowControl/>
              <w:autoSpaceDE w:val="0"/>
              <w:autoSpaceDN w:val="0"/>
              <w:adjustRightInd w:val="0"/>
              <w:snapToGrid w:val="0"/>
              <w:spacing w:line="360" w:lineRule="auto"/>
              <w:jc w:val="left"/>
              <w:rPr>
                <w:rFonts w:hint="eastAsia" w:ascii="仿宋_GB2312" w:hAnsi="宋体" w:eastAsia="仿宋_GB2312" w:cs="宋体"/>
                <w:snapToGrid w:val="0"/>
                <w:kern w:val="0"/>
                <w:sz w:val="24"/>
                <w:szCs w:val="24"/>
                <w:lang w:val="zh-CN"/>
              </w:rPr>
            </w:pPr>
          </w:p>
        </w:tc>
      </w:tr>
    </w:tbl>
    <w:p w14:paraId="38B78378">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733B54E7">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（一）本项目须落实节约能源、保护环境、促进中小企业发展、支持创新等政府采购政策的描述。</w:t>
      </w:r>
    </w:p>
    <w:p w14:paraId="4E82B163">
      <w:pPr>
        <w:spacing w:line="360" w:lineRule="auto"/>
        <w:ind w:firstLine="493"/>
        <w:jc w:val="left"/>
        <w:rPr>
          <w:rFonts w:hint="eastAsia" w:ascii="宋体" w:hAnsi="宋体" w:eastAsia="宋体"/>
          <w:iCs/>
          <w:sz w:val="24"/>
          <w:szCs w:val="24"/>
        </w:rPr>
      </w:pPr>
      <w:r>
        <w:rPr>
          <w:rFonts w:ascii="宋体" w:hAnsi="宋体" w:eastAsia="宋体"/>
          <w:iCs/>
          <w:sz w:val="24"/>
          <w:szCs w:val="24"/>
        </w:rPr>
        <w:t>本次</w:t>
      </w:r>
      <w:r>
        <w:rPr>
          <w:rFonts w:hint="eastAsia" w:ascii="宋体" w:hAnsi="宋体" w:eastAsia="宋体"/>
          <w:iCs/>
          <w:sz w:val="24"/>
          <w:szCs w:val="24"/>
        </w:rPr>
        <w:t>“</w:t>
      </w:r>
      <w:r>
        <w:rPr>
          <w:rFonts w:ascii="宋体" w:hAnsi="宋体" w:eastAsia="宋体"/>
          <w:iCs/>
          <w:sz w:val="24"/>
          <w:szCs w:val="24"/>
        </w:rPr>
        <w:t>构造物理模拟</w:t>
      </w:r>
      <w:r>
        <w:rPr>
          <w:rFonts w:hint="eastAsia" w:ascii="宋体" w:hAnsi="宋体" w:eastAsia="宋体"/>
          <w:iCs/>
          <w:sz w:val="24"/>
          <w:szCs w:val="24"/>
        </w:rPr>
        <w:t>综合</w:t>
      </w:r>
      <w:r>
        <w:rPr>
          <w:rFonts w:ascii="宋体" w:hAnsi="宋体" w:eastAsia="宋体"/>
          <w:iCs/>
          <w:sz w:val="24"/>
          <w:szCs w:val="24"/>
        </w:rPr>
        <w:t>实验</w:t>
      </w:r>
      <w:r>
        <w:rPr>
          <w:rFonts w:hint="eastAsia" w:ascii="宋体" w:hAnsi="宋体" w:eastAsia="宋体"/>
          <w:iCs/>
          <w:sz w:val="24"/>
          <w:szCs w:val="24"/>
        </w:rPr>
        <w:t>平台”</w:t>
      </w:r>
      <w:r>
        <w:rPr>
          <w:rFonts w:ascii="宋体" w:hAnsi="宋体" w:eastAsia="宋体"/>
          <w:iCs/>
          <w:sz w:val="24"/>
          <w:szCs w:val="24"/>
        </w:rPr>
        <w:t>设备采购严格落实政府采购各项政策性要求，全面践行节约能源、生态环保、支持科技创新、促进中小企业发展的采购原则。</w:t>
      </w:r>
    </w:p>
    <w:p w14:paraId="35F25177">
      <w:pPr>
        <w:spacing w:line="360" w:lineRule="auto"/>
        <w:ind w:firstLine="493"/>
        <w:jc w:val="left"/>
        <w:rPr>
          <w:rFonts w:hint="eastAsia" w:ascii="宋体" w:hAnsi="宋体" w:eastAsia="宋体"/>
          <w:iCs/>
          <w:sz w:val="24"/>
          <w:szCs w:val="24"/>
        </w:rPr>
      </w:pPr>
      <w:r>
        <w:rPr>
          <w:rFonts w:ascii="宋体" w:hAnsi="宋体" w:eastAsia="宋体"/>
          <w:iCs/>
          <w:sz w:val="24"/>
          <w:szCs w:val="24"/>
        </w:rPr>
        <w:t>采购过程优先选用节能低碳、绿色环保、性能先进的创新型设备，严控设备能耗与污染排放，积极推广创新技术装备应用，助力绿色低碳发展与科研设备技术升级。</w:t>
      </w:r>
    </w:p>
    <w:p w14:paraId="0D849BC9">
      <w:pPr>
        <w:spacing w:line="360" w:lineRule="auto"/>
        <w:ind w:firstLine="493"/>
        <w:jc w:val="left"/>
        <w:rPr>
          <w:rFonts w:hint="eastAsia" w:ascii="宋体" w:hAnsi="宋体" w:eastAsia="宋体"/>
          <w:iCs/>
          <w:sz w:val="24"/>
          <w:szCs w:val="24"/>
        </w:rPr>
      </w:pPr>
      <w:r>
        <w:rPr>
          <w:rFonts w:ascii="宋体" w:hAnsi="宋体" w:eastAsia="宋体"/>
          <w:iCs/>
          <w:sz w:val="24"/>
          <w:szCs w:val="24"/>
        </w:rPr>
        <w:t>同时严格执行中小企业扶持政策，本采购项目限额以上且未采用公开招标方式，项目货物服务适宜由中小企业承接，严格落实专门面向中小企业采购的要求。</w:t>
      </w:r>
    </w:p>
    <w:p w14:paraId="7DFDC15B">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（二）本项目为：</w:t>
      </w:r>
    </w:p>
    <w:p w14:paraId="0AEFB21A">
      <w:pPr>
        <w:spacing w:line="360" w:lineRule="auto"/>
        <w:ind w:firstLine="493"/>
        <w:jc w:val="left"/>
        <w:rPr>
          <w:rFonts w:hint="eastAsia" w:ascii="仿宋_GB2312" w:hAnsi="宋体" w:eastAsia="仿宋_GB2312"/>
          <w:sz w:val="24"/>
          <w:szCs w:val="24"/>
        </w:rPr>
      </w:pPr>
      <w:r>
        <w:rPr>
          <w:rFonts w:hint="eastAsia" w:ascii="仿宋_GB2312" w:hAnsi="宋体" w:eastAsia="仿宋_GB2312"/>
          <w:b/>
          <w:sz w:val="24"/>
          <w:szCs w:val="24"/>
        </w:rPr>
        <w:sym w:font="Wingdings 2" w:char="0052"/>
      </w:r>
      <w:r>
        <w:rPr>
          <w:rFonts w:hint="eastAsia" w:ascii="仿宋_GB2312" w:hAnsi="宋体" w:eastAsia="仿宋_GB2312"/>
          <w:sz w:val="24"/>
          <w:szCs w:val="24"/>
        </w:rPr>
        <w:t>专门面向中小企业采购项目</w:t>
      </w:r>
    </w:p>
    <w:p w14:paraId="2890549B">
      <w:pPr>
        <w:spacing w:line="360" w:lineRule="auto"/>
        <w:ind w:firstLine="493"/>
        <w:jc w:val="left"/>
        <w:rPr>
          <w:rFonts w:hint="eastAsia"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440A8AE3">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□非专门面向中小企业采购项目</w:t>
      </w:r>
    </w:p>
    <w:p w14:paraId="58CE7074">
      <w:pPr>
        <w:spacing w:line="360" w:lineRule="auto"/>
        <w:ind w:firstLine="493"/>
        <w:jc w:val="left"/>
        <w:rPr>
          <w:rFonts w:hint="eastAsia" w:ascii="仿宋_GB2312" w:hAnsi="宋体" w:eastAsia="仿宋_GB2312"/>
          <w:sz w:val="24"/>
          <w:szCs w:val="24"/>
          <w:u w:val="single"/>
        </w:rPr>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工业 </w:t>
      </w:r>
      <w:r>
        <w:rPr>
          <w:rFonts w:hint="eastAsia" w:ascii="仿宋_GB2312" w:hAnsi="宋体" w:eastAsia="仿宋_GB2312"/>
          <w:sz w:val="24"/>
          <w:szCs w:val="24"/>
        </w:rPr>
        <w:t xml:space="preserve">    </w:t>
      </w:r>
    </w:p>
    <w:p w14:paraId="02BCE76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zMjg5ZTk0ZmI5MWFhNTcyMmY3YTlmN2Y3NmI0YzkifQ=="/>
  </w:docVars>
  <w:rsids>
    <w:rsidRoot w:val="5DAD333C"/>
    <w:rsid w:val="00015B7C"/>
    <w:rsid w:val="000342A3"/>
    <w:rsid w:val="00062F0C"/>
    <w:rsid w:val="000B1160"/>
    <w:rsid w:val="00104C08"/>
    <w:rsid w:val="0011693E"/>
    <w:rsid w:val="001440FF"/>
    <w:rsid w:val="001E4C36"/>
    <w:rsid w:val="00202EBC"/>
    <w:rsid w:val="002141BD"/>
    <w:rsid w:val="00233BB7"/>
    <w:rsid w:val="002658B1"/>
    <w:rsid w:val="00270E8F"/>
    <w:rsid w:val="00272718"/>
    <w:rsid w:val="00282CEC"/>
    <w:rsid w:val="002A16C3"/>
    <w:rsid w:val="002C770F"/>
    <w:rsid w:val="00307AA6"/>
    <w:rsid w:val="00385D94"/>
    <w:rsid w:val="003C7049"/>
    <w:rsid w:val="003D7FB2"/>
    <w:rsid w:val="00421CCA"/>
    <w:rsid w:val="0042378E"/>
    <w:rsid w:val="004D3C5C"/>
    <w:rsid w:val="005335E6"/>
    <w:rsid w:val="0055005F"/>
    <w:rsid w:val="005A3E4B"/>
    <w:rsid w:val="0066220C"/>
    <w:rsid w:val="00671098"/>
    <w:rsid w:val="007B0793"/>
    <w:rsid w:val="008173BA"/>
    <w:rsid w:val="008A24C6"/>
    <w:rsid w:val="008C0BAF"/>
    <w:rsid w:val="008F6882"/>
    <w:rsid w:val="00903CAB"/>
    <w:rsid w:val="00912192"/>
    <w:rsid w:val="009134C0"/>
    <w:rsid w:val="00952BFB"/>
    <w:rsid w:val="009B4690"/>
    <w:rsid w:val="009C2B96"/>
    <w:rsid w:val="00A23E02"/>
    <w:rsid w:val="00AC209C"/>
    <w:rsid w:val="00AC3AE5"/>
    <w:rsid w:val="00B24646"/>
    <w:rsid w:val="00B305CA"/>
    <w:rsid w:val="00B5023C"/>
    <w:rsid w:val="00B50713"/>
    <w:rsid w:val="00B63D61"/>
    <w:rsid w:val="00B910FB"/>
    <w:rsid w:val="00BA05AF"/>
    <w:rsid w:val="00BE43FC"/>
    <w:rsid w:val="00C367DF"/>
    <w:rsid w:val="00CE6835"/>
    <w:rsid w:val="00CF07DF"/>
    <w:rsid w:val="00D11C2F"/>
    <w:rsid w:val="00D47EC0"/>
    <w:rsid w:val="00D60C75"/>
    <w:rsid w:val="00E22BF7"/>
    <w:rsid w:val="00E55B14"/>
    <w:rsid w:val="00EC4DC9"/>
    <w:rsid w:val="00F21463"/>
    <w:rsid w:val="00F72831"/>
    <w:rsid w:val="00F915B7"/>
    <w:rsid w:val="0B6D7FA6"/>
    <w:rsid w:val="1FE5048E"/>
    <w:rsid w:val="34C543EF"/>
    <w:rsid w:val="353324CE"/>
    <w:rsid w:val="566C007F"/>
    <w:rsid w:val="5DAD3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3">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4">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footer"/>
    <w:basedOn w:val="1"/>
    <w:link w:val="16"/>
    <w:qFormat/>
    <w:uiPriority w:val="0"/>
    <w:pPr>
      <w:tabs>
        <w:tab w:val="center" w:pos="4153"/>
        <w:tab w:val="right" w:pos="8306"/>
      </w:tabs>
      <w:snapToGrid w:val="0"/>
      <w:jc w:val="left"/>
    </w:pPr>
    <w:rPr>
      <w:sz w:val="18"/>
      <w:szCs w:val="18"/>
    </w:rPr>
  </w:style>
  <w:style w:type="paragraph" w:styleId="7">
    <w:name w:val="header"/>
    <w:basedOn w:val="1"/>
    <w:link w:val="15"/>
    <w:qFormat/>
    <w:uiPriority w:val="0"/>
    <w:pP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Hyperlink"/>
    <w:basedOn w:val="10"/>
    <w:qFormat/>
    <w:uiPriority w:val="0"/>
    <w:rPr>
      <w:color w:val="0000FF"/>
      <w:u w:val="none"/>
    </w:rPr>
  </w:style>
  <w:style w:type="character" w:styleId="13">
    <w:name w:val="annotation reference"/>
    <w:basedOn w:val="10"/>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页眉 字符"/>
    <w:basedOn w:val="10"/>
    <w:link w:val="7"/>
    <w:qFormat/>
    <w:uiPriority w:val="0"/>
    <w:rPr>
      <w:rFonts w:asciiTheme="minorHAnsi" w:hAnsiTheme="minorHAnsi" w:eastAsiaTheme="minorEastAsia" w:cstheme="minorBidi"/>
      <w:kern w:val="2"/>
      <w:sz w:val="18"/>
      <w:szCs w:val="18"/>
    </w:rPr>
  </w:style>
  <w:style w:type="character" w:customStyle="1" w:styleId="16">
    <w:name w:val="页脚 字符"/>
    <w:basedOn w:val="10"/>
    <w:link w:val="6"/>
    <w:qFormat/>
    <w:uiPriority w:val="0"/>
    <w:rPr>
      <w:rFonts w:asciiTheme="minorHAnsi" w:hAnsiTheme="minorHAnsi" w:eastAsiaTheme="minorEastAsia" w:cstheme="minorBidi"/>
      <w:kern w:val="2"/>
      <w:sz w:val="18"/>
      <w:szCs w:val="18"/>
    </w:rPr>
  </w:style>
  <w:style w:type="paragraph" w:customStyle="1" w:styleId="17">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4093</Words>
  <Characters>4279</Characters>
  <Lines>35</Lines>
  <Paragraphs>10</Paragraphs>
  <TotalTime>31</TotalTime>
  <ScaleCrop>false</ScaleCrop>
  <LinksUpToDate>false</LinksUpToDate>
  <CharactersWithSpaces>4372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2026-07-20T04:42:00Z</dcterms:created>
  <dc:creator>Administrator</dc:creator>
  <cp:lastModifiedBy>地大</cp:lastModifiedBy>
  <dcterms:modified xsi:type="dcterms:W3CDTF">2026-08-12T02:30:57Z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CE4504FB34874B5B80A3FD09D1392145_11</vt:lpwstr>
  </property>
  <property fmtid="{D5CDD505-2E9C-101B-9397-08002B2CF9AE}" pid="4" name="KSOTemplateDocerSaveRecord">
    <vt:lpwstr>eyJoZGlkIjoiMzA1NjlhNjE3NTU3YTVjMzhiZDI3ODZkNzkwYTg1YTEiLCJ1c2VySWQiOiIxNzIyMTg0MDYyIn0=</vt:lpwstr>
  </property>
</Properties>
</file>