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16BB46">
      <w:pPr>
        <w:widowControl/>
        <w:adjustRightInd w:val="0"/>
        <w:snapToGrid w:val="0"/>
        <w:spacing w:line="600" w:lineRule="exact"/>
        <w:jc w:val="left"/>
        <w:outlineLvl w:val="1"/>
        <w:rPr>
          <w:rFonts w:ascii="仿宋_GB2312" w:hAnsi="方正小标宋简体" w:eastAsia="仿宋_GB2312" w:cs="宋体"/>
          <w:b/>
          <w:bCs/>
          <w:kern w:val="36"/>
          <w:sz w:val="32"/>
          <w:szCs w:val="32"/>
        </w:rPr>
      </w:pPr>
      <w:r>
        <w:rPr>
          <w:rFonts w:hint="eastAsia" w:ascii="仿宋_GB2312" w:hAnsi="方正小标宋简体" w:eastAsia="仿宋_GB2312" w:cs="宋体"/>
          <w:b/>
          <w:bCs/>
          <w:kern w:val="36"/>
          <w:sz w:val="32"/>
          <w:szCs w:val="32"/>
        </w:rPr>
        <w:t>附件1：</w:t>
      </w:r>
    </w:p>
    <w:p w14:paraId="1FB42D39">
      <w:pPr>
        <w:pStyle w:val="3"/>
        <w:spacing w:before="0" w:after="0" w:line="360" w:lineRule="auto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drawing>
          <wp:inline distT="0" distB="0" distL="114300" distR="114300">
            <wp:extent cx="2712085" cy="636270"/>
            <wp:effectExtent l="0" t="0" r="635" b="3810"/>
            <wp:docPr id="6" name="图片 1" descr="1668069378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16680693786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208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0A138">
      <w:pPr>
        <w:pStyle w:val="3"/>
        <w:spacing w:before="0" w:after="0" w:line="360" w:lineRule="auto"/>
        <w:jc w:val="center"/>
        <w:rPr>
          <w:rFonts w:ascii="宋体" w:hAnsi="宋体"/>
          <w:szCs w:val="28"/>
        </w:rPr>
      </w:pPr>
    </w:p>
    <w:p w14:paraId="7C50288D"/>
    <w:p w14:paraId="5FD21A7E">
      <w:pPr>
        <w:pStyle w:val="5"/>
      </w:pPr>
    </w:p>
    <w:p w14:paraId="17600F67">
      <w:pPr>
        <w:pStyle w:val="5"/>
      </w:pPr>
    </w:p>
    <w:p w14:paraId="7013AF59">
      <w:pPr>
        <w:rPr>
          <w:rFonts w:ascii="宋体" w:hAnsi="宋体"/>
          <w:szCs w:val="28"/>
        </w:rPr>
      </w:pPr>
    </w:p>
    <w:p w14:paraId="6F40FCF4">
      <w:pPr>
        <w:jc w:val="center"/>
        <w:rPr>
          <w:rFonts w:ascii="方正小标宋简体" w:hAnsi="方正小标宋简体" w:eastAsia="方正小标宋简体"/>
          <w:sz w:val="48"/>
          <w:szCs w:val="48"/>
        </w:rPr>
      </w:pPr>
      <w:r>
        <w:rPr>
          <w:rFonts w:hint="eastAsia" w:ascii="方正小标宋简体" w:hAnsi="方正小标宋简体" w:eastAsia="方正小标宋简体"/>
          <w:sz w:val="48"/>
          <w:szCs w:val="48"/>
        </w:rPr>
        <w:t>采 购 需 求 书</w:t>
      </w:r>
    </w:p>
    <w:p w14:paraId="613BDAF2"/>
    <w:p w14:paraId="1AAB3B7D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53C19B5A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7B8A5A98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5EF2C2A9">
      <w:pPr>
        <w:spacing w:line="720" w:lineRule="auto"/>
        <w:ind w:firstLine="2108" w:firstLineChars="659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项目名称：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教育部安管平台对接服务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</w:t>
      </w:r>
    </w:p>
    <w:p w14:paraId="13A8692B">
      <w:pPr>
        <w:spacing w:line="720" w:lineRule="auto"/>
        <w:ind w:firstLine="2108" w:firstLineChars="659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用户单位：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信息化工作办公室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</w:t>
      </w:r>
    </w:p>
    <w:p w14:paraId="2B201681">
      <w:pPr>
        <w:spacing w:line="720" w:lineRule="auto"/>
        <w:ind w:firstLine="2108" w:firstLineChars="659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编制时间：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2026年9月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 </w:t>
      </w:r>
    </w:p>
    <w:p w14:paraId="5CB57F5D">
      <w:pPr>
        <w:rPr>
          <w:rFonts w:ascii="宋体" w:hAnsi="宋体"/>
          <w:color w:val="FF0000"/>
          <w:sz w:val="28"/>
          <w:szCs w:val="28"/>
        </w:rPr>
      </w:pPr>
    </w:p>
    <w:p w14:paraId="79CAE573">
      <w:pPr>
        <w:rPr>
          <w:rFonts w:ascii="宋体" w:hAnsi="宋体"/>
          <w:color w:val="FF0000"/>
          <w:sz w:val="28"/>
          <w:szCs w:val="28"/>
        </w:rPr>
      </w:pPr>
    </w:p>
    <w:p w14:paraId="7FC92AF3">
      <w:pPr>
        <w:rPr>
          <w:rFonts w:ascii="宋体" w:hAnsi="宋体"/>
          <w:color w:val="FF0000"/>
          <w:sz w:val="28"/>
          <w:szCs w:val="28"/>
        </w:rPr>
      </w:pPr>
    </w:p>
    <w:p w14:paraId="4718CAF9">
      <w:pPr>
        <w:rPr>
          <w:rFonts w:ascii="宋体" w:hAnsi="宋体"/>
          <w:color w:val="FF0000"/>
          <w:sz w:val="28"/>
          <w:szCs w:val="28"/>
        </w:rPr>
      </w:pPr>
    </w:p>
    <w:p w14:paraId="64A77294">
      <w:pPr>
        <w:jc w:val="center"/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</w:p>
    <w:p w14:paraId="0D8C4650">
      <w:pPr>
        <w:widowControl/>
        <w:jc w:val="left"/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  <w:br w:type="page"/>
      </w:r>
    </w:p>
    <w:p w14:paraId="0BF2DB3F">
      <w:pPr>
        <w:jc w:val="center"/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  <w:t>编制说明</w:t>
      </w:r>
    </w:p>
    <w:p w14:paraId="1E40676B">
      <w:pPr>
        <w:widowControl/>
        <w:spacing w:line="560" w:lineRule="atLeast"/>
        <w:ind w:firstLine="640"/>
        <w:jc w:val="left"/>
        <w:rPr>
          <w:rFonts w:ascii="宋体" w:hAnsi="宋体" w:cs="仿宋"/>
          <w:color w:val="000000"/>
          <w:kern w:val="0"/>
          <w:sz w:val="28"/>
          <w:szCs w:val="28"/>
          <w:shd w:val="clear" w:color="auto" w:fill="FFFFFF"/>
        </w:rPr>
      </w:pPr>
    </w:p>
    <w:p w14:paraId="402BAA51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一、用户单位依据咨询、论证、问卷等方式调查的具体情况自行编制采购需求书。</w:t>
      </w:r>
    </w:p>
    <w:p w14:paraId="6D96E15A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二、编制的采购需求书应当符合《财政部关于印发政府采购需求管理办法的通知》（财库〔2021〕22号）要求及政府采购的相关规定。除单一来源采购外，标的物名称、指标要求等不能指向单一供应商。</w:t>
      </w:r>
    </w:p>
    <w:p w14:paraId="1A011706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三、斜体字部分属于提醒内容，编制时应删除。</w:t>
      </w:r>
    </w:p>
    <w:p w14:paraId="7FD2B2D7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四、对不适用的内容应删除，并调整相应序号。</w:t>
      </w:r>
    </w:p>
    <w:p w14:paraId="20538303"/>
    <w:p w14:paraId="1B9C990D">
      <w:pPr>
        <w:spacing w:line="360" w:lineRule="auto"/>
      </w:pPr>
    </w:p>
    <w:p w14:paraId="5327C200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C1FD4C8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81AECA3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2668121C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062D840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2BB860E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D1763E9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795E0304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3BDB70B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6D83D4B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54A90356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5A11DB37">
      <w:pPr>
        <w:widowControl/>
        <w:ind w:firstLine="482" w:firstLineChars="200"/>
        <w:jc w:val="left"/>
        <w:rPr>
          <w:rFonts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ascii="宋体" w:hAnsi="宋体" w:cs="Arial"/>
          <w:b/>
          <w:color w:val="333333"/>
          <w:kern w:val="0"/>
          <w:sz w:val="24"/>
          <w:szCs w:val="24"/>
        </w:rPr>
        <w:br w:type="page"/>
      </w: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 xml:space="preserve">  </w:t>
      </w: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一、项目概况</w:t>
      </w:r>
    </w:p>
    <w:p w14:paraId="69D81016">
      <w:pPr>
        <w:widowControl/>
        <w:jc w:val="left"/>
        <w:rPr>
          <w:rFonts w:hint="eastAsia" w:ascii="仿宋_GB2312" w:hAnsi="宋体" w:eastAsia="仿宋_GB2312" w:cs="仿宋"/>
          <w:bCs/>
          <w:i/>
          <w:iCs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Cs/>
          <w:i/>
          <w:iCs/>
          <w:color w:val="000000"/>
          <w:kern w:val="0"/>
          <w:sz w:val="28"/>
          <w:szCs w:val="28"/>
          <w:shd w:val="clear" w:color="auto" w:fill="FFFFFF"/>
        </w:rPr>
        <w:t>（项目背景、立项目的、现有环境和条件、需要与其他项目配合情况等）</w:t>
      </w:r>
    </w:p>
    <w:p w14:paraId="75EAF41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142" w:firstLine="560" w:firstLineChars="200"/>
        <w:textAlignment w:val="auto"/>
        <w:rPr>
          <w:rFonts w:hint="default" w:ascii="仿宋_GB2312" w:hAnsi="宋体" w:eastAsia="仿宋_GB2312" w:cs="仿宋"/>
          <w:bCs/>
          <w:i w:val="0"/>
          <w:iCs w:val="0"/>
          <w:color w:val="000000"/>
          <w:kern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_GB2312" w:hAnsi="宋体" w:eastAsia="仿宋_GB2312" w:cs="仿宋"/>
          <w:bCs/>
          <w:i w:val="0"/>
          <w:iCs w:val="0"/>
          <w:color w:val="000000"/>
          <w:kern w:val="0"/>
          <w:sz w:val="28"/>
          <w:szCs w:val="28"/>
          <w:shd w:val="clear" w:color="auto" w:fill="FFFFFF"/>
          <w:lang w:val="en-US" w:eastAsia="zh-CN"/>
        </w:rPr>
        <w:t>教育部安管平台覆盖教育系统网络安全业务全链条的管理，支撑教育系统网络安全业务的线上办理。支持与各单位资产管理和威胁管理对接，实现平台间的业务对接、信息共享、数据互通。项目对教育部安全管理平台进行我校具体情况接口对接，实现资产数据、威胁情报、安全事件的直接推送。</w:t>
      </w:r>
    </w:p>
    <w:p w14:paraId="5A910F89">
      <w:pPr>
        <w:pStyle w:val="5"/>
        <w:ind w:left="0" w:leftChars="0" w:firstLine="0" w:firstLineChars="0"/>
        <w:rPr>
          <w:rFonts w:hint="default" w:ascii="仿宋_GB2312" w:hAnsi="宋体" w:eastAsia="仿宋_GB2312" w:cs="仿宋"/>
          <w:bCs/>
          <w:i w:val="0"/>
          <w:iCs w:val="0"/>
          <w:color w:val="000000"/>
          <w:kern w:val="0"/>
          <w:sz w:val="28"/>
          <w:szCs w:val="28"/>
          <w:shd w:val="clear" w:color="auto" w:fill="FFFFFF"/>
          <w:lang w:val="en-US" w:eastAsia="zh-CN"/>
        </w:rPr>
      </w:pPr>
    </w:p>
    <w:p w14:paraId="09CDC1A8">
      <w:pPr>
        <w:widowControl/>
        <w:ind w:firstLine="643" w:firstLineChars="200"/>
        <w:jc w:val="left"/>
        <w:rPr>
          <w:rFonts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二、主要标的</w:t>
      </w:r>
    </w:p>
    <w:p w14:paraId="7211EC5E">
      <w:pPr>
        <w:spacing w:before="156" w:beforeLines="50" w:line="360" w:lineRule="auto"/>
        <w:ind w:firstLine="480" w:firstLineChars="20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服务：</w:t>
      </w:r>
      <w:r>
        <w:rPr>
          <w:rFonts w:hint="eastAsia" w:ascii="仿宋_GB2312" w:hAnsi="宋体" w:eastAsia="仿宋_GB2312"/>
          <w:b/>
          <w:sz w:val="24"/>
          <w:szCs w:val="24"/>
        </w:rPr>
        <w:t xml:space="preserve">是否属于科研活动相关采购 </w:t>
      </w:r>
      <w:r>
        <w:rPr>
          <w:rFonts w:hint="eastAsia" w:ascii="仿宋_GB2312" w:hAnsi="宋体" w:eastAsia="仿宋_GB2312"/>
          <w:b/>
          <w:sz w:val="24"/>
          <w:szCs w:val="24"/>
        </w:rPr>
        <w:sym w:font="Wingdings 2" w:char="00A3"/>
      </w:r>
      <w:r>
        <w:rPr>
          <w:rFonts w:hint="eastAsia" w:ascii="仿宋_GB2312" w:hAnsi="宋体" w:eastAsia="仿宋_GB2312"/>
          <w:b/>
          <w:sz w:val="24"/>
          <w:szCs w:val="24"/>
        </w:rPr>
        <w:t xml:space="preserve">是 </w:t>
      </w:r>
      <w:r>
        <w:rPr>
          <w:rFonts w:hint="eastAsia" w:ascii="仿宋_GB2312" w:hAnsi="宋体" w:eastAsia="仿宋_GB2312"/>
          <w:b/>
          <w:sz w:val="24"/>
          <w:szCs w:val="24"/>
        </w:rPr>
        <w:sym w:font="Wingdings 2" w:char="00A3"/>
      </w:r>
      <w:r>
        <w:rPr>
          <w:rFonts w:hint="eastAsia" w:ascii="仿宋_GB2312" w:hAnsi="宋体" w:eastAsia="仿宋_GB2312"/>
          <w:b/>
          <w:sz w:val="24"/>
          <w:szCs w:val="24"/>
        </w:rPr>
        <w:t>否</w:t>
      </w:r>
    </w:p>
    <w:tbl>
      <w:tblPr>
        <w:tblStyle w:val="6"/>
        <w:tblpPr w:leftFromText="180" w:rightFromText="180" w:vertAnchor="text" w:horzAnchor="page" w:tblpX="1807" w:tblpY="223"/>
        <w:tblOverlap w:val="never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5"/>
        <w:gridCol w:w="2547"/>
        <w:gridCol w:w="1451"/>
        <w:gridCol w:w="4261"/>
      </w:tblGrid>
      <w:tr w14:paraId="2A059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2" w:type="pct"/>
            <w:vAlign w:val="center"/>
          </w:tcPr>
          <w:p w14:paraId="2A3EF0C6">
            <w:pPr>
              <w:spacing w:line="360" w:lineRule="auto"/>
              <w:jc w:val="center"/>
              <w:rPr>
                <w:rFonts w:ascii="仿宋_GB2312" w:hAnsi="宋体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  <w:szCs w:val="24"/>
              </w:rPr>
              <w:t>序号</w:t>
            </w:r>
          </w:p>
        </w:tc>
        <w:tc>
          <w:tcPr>
            <w:tcW w:w="1371" w:type="pct"/>
            <w:vAlign w:val="center"/>
          </w:tcPr>
          <w:p w14:paraId="18D1C4B8">
            <w:pPr>
              <w:widowControl/>
              <w:spacing w:line="360" w:lineRule="auto"/>
              <w:jc w:val="center"/>
              <w:rPr>
                <w:rFonts w:ascii="仿宋_GB2312" w:hAnsi="宋体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  <w:szCs w:val="24"/>
              </w:rPr>
              <w:t>服务名称</w:t>
            </w:r>
          </w:p>
        </w:tc>
        <w:tc>
          <w:tcPr>
            <w:tcW w:w="781" w:type="pct"/>
            <w:vAlign w:val="center"/>
          </w:tcPr>
          <w:p w14:paraId="4CAA9BD0">
            <w:pPr>
              <w:widowControl/>
              <w:spacing w:line="360" w:lineRule="auto"/>
              <w:jc w:val="center"/>
              <w:rPr>
                <w:rFonts w:ascii="仿宋_GB2312" w:hAnsi="宋体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  <w:szCs w:val="24"/>
              </w:rPr>
              <w:t>服务期限</w:t>
            </w:r>
          </w:p>
        </w:tc>
        <w:tc>
          <w:tcPr>
            <w:tcW w:w="2294" w:type="pct"/>
            <w:vAlign w:val="center"/>
          </w:tcPr>
          <w:p w14:paraId="6D3DC130">
            <w:pPr>
              <w:widowControl/>
              <w:spacing w:line="360" w:lineRule="auto"/>
              <w:jc w:val="center"/>
              <w:rPr>
                <w:rFonts w:ascii="仿宋_GB2312" w:hAnsi="宋体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  <w:szCs w:val="24"/>
              </w:rPr>
              <w:t>服务说明</w:t>
            </w:r>
          </w:p>
        </w:tc>
      </w:tr>
      <w:tr w14:paraId="6AB0C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552" w:type="pct"/>
            <w:vAlign w:val="center"/>
          </w:tcPr>
          <w:p w14:paraId="097E669E">
            <w:pPr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</w:t>
            </w:r>
          </w:p>
        </w:tc>
        <w:tc>
          <w:tcPr>
            <w:tcW w:w="1371" w:type="pct"/>
            <w:vAlign w:val="center"/>
          </w:tcPr>
          <w:p w14:paraId="21EE2FF5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eastAsia="zh-CN"/>
              </w:rPr>
              <w:t>教育部安管平台对接服务</w:t>
            </w:r>
          </w:p>
        </w:tc>
        <w:tc>
          <w:tcPr>
            <w:tcW w:w="781" w:type="pct"/>
          </w:tcPr>
          <w:p w14:paraId="552D1BC7"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</w:pPr>
          </w:p>
          <w:p w14:paraId="4F982DAE">
            <w:pPr>
              <w:spacing w:line="360" w:lineRule="auto"/>
              <w:jc w:val="center"/>
              <w:rPr>
                <w:rFonts w:hint="default" w:ascii="仿宋_GB2312" w:hAns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12个月</w:t>
            </w:r>
          </w:p>
        </w:tc>
        <w:tc>
          <w:tcPr>
            <w:tcW w:w="2294" w:type="pct"/>
            <w:vAlign w:val="center"/>
          </w:tcPr>
          <w:p w14:paraId="19BDED24">
            <w:pPr>
              <w:widowControl/>
              <w:spacing w:line="360" w:lineRule="auto"/>
              <w:ind w:firstLine="480" w:firstLineChars="200"/>
              <w:jc w:val="left"/>
              <w:rPr>
                <w:rFonts w:hint="default" w:ascii="仿宋_GB2312" w:hAns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提供本地数据收集下发工具对我校资产数据、威胁情报、安全事件等功能数据开展教育部安全管理平台进行口对接服务</w:t>
            </w:r>
          </w:p>
        </w:tc>
      </w:tr>
    </w:tbl>
    <w:p w14:paraId="50E2646F">
      <w:pPr>
        <w:spacing w:line="360" w:lineRule="auto"/>
        <w:ind w:firstLine="360" w:firstLineChars="150"/>
        <w:rPr>
          <w:rFonts w:ascii="仿宋_GB2312" w:hAnsi="宋体" w:eastAsia="仿宋_GB2312"/>
          <w:i/>
          <w:iCs/>
          <w:sz w:val="24"/>
          <w:szCs w:val="24"/>
        </w:rPr>
      </w:pPr>
    </w:p>
    <w:p w14:paraId="2B22636E">
      <w:pPr>
        <w:widowControl/>
        <w:ind w:firstLine="643" w:firstLineChars="200"/>
        <w:jc w:val="left"/>
        <w:rPr>
          <w:rFonts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三、技术要求</w:t>
      </w:r>
    </w:p>
    <w:p w14:paraId="37F88976">
      <w:pPr>
        <w:spacing w:line="360" w:lineRule="auto"/>
        <w:ind w:firstLine="360" w:firstLineChars="150"/>
        <w:rPr>
          <w:rFonts w:ascii="仿宋_GB2312" w:hAnsi="宋体" w:eastAsia="仿宋_GB2312"/>
          <w:i/>
          <w:sz w:val="24"/>
          <w:szCs w:val="24"/>
          <w:u w:val="single"/>
        </w:rPr>
      </w:pPr>
      <w:r>
        <w:rPr>
          <w:rFonts w:hint="eastAsia" w:ascii="仿宋_GB2312" w:hAnsi="宋体" w:eastAsia="仿宋_GB2312"/>
          <w:i/>
          <w:sz w:val="24"/>
          <w:szCs w:val="24"/>
          <w:u w:val="single"/>
        </w:rPr>
        <w:t>（技术要求是指对采购标的的功能和质量要求，应包括性能、材料、结构、外观、安全，或者服务内容和标准等。信息化建设项目还应包括运行维护、数据共享、安全审查和保密、等级保护、分级保护等要求）</w:t>
      </w:r>
    </w:p>
    <w:p w14:paraId="67B528C4">
      <w:pPr>
        <w:widowControl/>
        <w:shd w:val="clear" w:color="auto" w:fill="FFFFFF"/>
        <w:spacing w:line="360" w:lineRule="auto"/>
        <w:ind w:firstLine="560" w:firstLineChars="200"/>
        <w:rPr>
          <w:rFonts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（一）服务名称（数量1）</w:t>
      </w:r>
    </w:p>
    <w:p w14:paraId="0B38F3F3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仿宋_GB2312" w:hAnsi="宋体" w:eastAsia="仿宋_GB2312"/>
          <w:sz w:val="24"/>
          <w:szCs w:val="24"/>
        </w:rPr>
        <w:t>1.功能要求：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  <w:lang w:val="en-US" w:eastAsia="zh-CN"/>
        </w:rPr>
        <w:t>用于推进网络安全管理工作，实现系统资产数据，网络安全威胁情报数据、安全事件处理过程直接与教育部安管平台对接同步。</w:t>
      </w:r>
    </w:p>
    <w:p w14:paraId="701AB00F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2.应遵循的相关国家标准、行业标准、地方标准等标准、规范：</w:t>
      </w:r>
    </w:p>
    <w:p w14:paraId="00692CC4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《中华人民共和国网络安全法》</w:t>
      </w:r>
    </w:p>
    <w:p w14:paraId="05C35857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《中华人民共和国数据安全法》</w:t>
      </w:r>
    </w:p>
    <w:p w14:paraId="0A18B503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《中华人民共和国个人信息保护法》</w:t>
      </w:r>
    </w:p>
    <w:p w14:paraId="2542DE36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 xml:space="preserve"> GB/T 22080-2016 / ISO27001 信息安全管理体系 要求</w:t>
      </w:r>
    </w:p>
    <w:p w14:paraId="7B17984D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 xml:space="preserve"> GB/T 22081-2016 / ISO27002 信息安全管理体系 实践指南</w:t>
      </w:r>
    </w:p>
    <w:p w14:paraId="55DCF5F3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 xml:space="preserve"> GB/T 45940-2025 网络安全技术 网络安全运维实施指南</w:t>
      </w:r>
    </w:p>
    <w:p w14:paraId="574F56FA"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hint="default" w:ascii="仿宋_GB2312" w:hAnsi="宋体" w:eastAsia="仿宋_GB2312"/>
          <w:sz w:val="24"/>
          <w:szCs w:val="24"/>
          <w:lang w:val="en-US" w:eastAsia="zh-CN"/>
        </w:rPr>
      </w:pPr>
      <w:r>
        <w:rPr>
          <w:rFonts w:hint="eastAsia" w:ascii="仿宋_GB2312" w:hAnsi="宋体" w:eastAsia="仿宋_GB2312"/>
          <w:sz w:val="24"/>
          <w:szCs w:val="24"/>
        </w:rPr>
        <w:t>3.后续运营维护、升级更新、备品备件等要求：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对接服务期间按教育部安管平台升级后10日内完成同步更新升级。</w:t>
      </w:r>
    </w:p>
    <w:p w14:paraId="743B46FD">
      <w:pPr>
        <w:widowControl/>
        <w:shd w:val="clear" w:color="auto" w:fill="FFFFFF"/>
        <w:spacing w:line="360" w:lineRule="auto"/>
        <w:ind w:firstLine="560" w:firstLineChars="200"/>
        <w:rPr>
          <w:rFonts w:hint="eastAsia" w:ascii="仿宋_GB2312" w:hAnsi="宋体" w:eastAsia="仿宋_GB2312" w:cs="仿宋"/>
          <w:i w:val="0"/>
          <w:iCs w:val="0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i w:val="0"/>
          <w:iCs w:val="0"/>
          <w:color w:val="000000"/>
          <w:kern w:val="0"/>
          <w:sz w:val="28"/>
          <w:szCs w:val="28"/>
          <w:shd w:val="clear" w:color="auto" w:fill="FFFFFF"/>
        </w:rPr>
        <w:t>（</w:t>
      </w:r>
      <w:r>
        <w:rPr>
          <w:rFonts w:hint="eastAsia" w:ascii="仿宋_GB2312" w:hAnsi="宋体" w:eastAsia="仿宋_GB2312" w:cs="仿宋"/>
          <w:i w:val="0"/>
          <w:iCs w:val="0"/>
          <w:color w:val="000000"/>
          <w:kern w:val="0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仿宋_GB2312" w:hAnsi="宋体" w:eastAsia="仿宋_GB2312" w:cs="仿宋"/>
          <w:i w:val="0"/>
          <w:iCs w:val="0"/>
          <w:color w:val="000000"/>
          <w:kern w:val="0"/>
          <w:sz w:val="28"/>
          <w:szCs w:val="28"/>
          <w:shd w:val="clear" w:color="auto" w:fill="FFFFFF"/>
        </w:rPr>
        <w:t>）</w:t>
      </w:r>
      <w:r>
        <w:rPr>
          <w:rFonts w:hint="eastAsia" w:ascii="仿宋_GB2312" w:hAnsi="宋体" w:eastAsia="仿宋_GB2312" w:cs="仿宋"/>
          <w:i w:val="0"/>
          <w:iCs w:val="0"/>
          <w:color w:val="000000"/>
          <w:kern w:val="0"/>
          <w:sz w:val="28"/>
          <w:szCs w:val="28"/>
          <w:shd w:val="clear" w:color="auto" w:fill="FFFFFF"/>
          <w:lang w:val="en-US" w:eastAsia="zh-CN"/>
        </w:rPr>
        <w:t>提供本地工具</w:t>
      </w:r>
      <w:r>
        <w:rPr>
          <w:rFonts w:hint="eastAsia" w:ascii="仿宋_GB2312" w:hAnsi="宋体" w:eastAsia="仿宋_GB2312" w:cs="仿宋"/>
          <w:i w:val="0"/>
          <w:iCs w:val="0"/>
          <w:color w:val="000000"/>
          <w:kern w:val="0"/>
          <w:sz w:val="28"/>
          <w:szCs w:val="28"/>
          <w:shd w:val="clear" w:color="auto" w:fill="FFFFFF"/>
        </w:rPr>
        <w:t>要求</w:t>
      </w:r>
      <w:r>
        <w:rPr>
          <w:rFonts w:hint="eastAsia" w:ascii="仿宋_GB2312" w:hAnsi="宋体" w:eastAsia="仿宋_GB2312" w:cs="宋体"/>
          <w:i w:val="0"/>
          <w:iCs w:val="0"/>
          <w:snapToGrid w:val="0"/>
          <w:kern w:val="0"/>
          <w:sz w:val="24"/>
          <w:szCs w:val="24"/>
          <w:lang w:val="zh-CN"/>
        </w:rPr>
        <w:t>★</w:t>
      </w:r>
    </w:p>
    <w:p w14:paraId="3445BEE0">
      <w:pPr>
        <w:pStyle w:val="8"/>
        <w:widowControl/>
        <w:numPr>
          <w:ilvl w:val="0"/>
          <w:numId w:val="0"/>
        </w:numPr>
        <w:shd w:val="clear" w:color="auto" w:fill="FFFFFF"/>
        <w:spacing w:line="360" w:lineRule="auto"/>
        <w:ind w:left="965" w:leftChars="0" w:hanging="440" w:firstLineChars="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theme="minorBidi"/>
          <w:i w:val="0"/>
          <w:iCs w:val="0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</w:rPr>
        <w:t>与学校门户和统一身份认证平台对接；</w:t>
      </w:r>
    </w:p>
    <w:p w14:paraId="5772A094">
      <w:pPr>
        <w:pStyle w:val="8"/>
        <w:widowControl/>
        <w:numPr>
          <w:ilvl w:val="0"/>
          <w:numId w:val="0"/>
        </w:numPr>
        <w:shd w:val="clear" w:color="auto" w:fill="FFFFFF"/>
        <w:spacing w:line="360" w:lineRule="auto"/>
        <w:ind w:left="965" w:leftChars="0" w:hanging="440" w:firstLineChars="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theme="minorBidi"/>
          <w:i w:val="0"/>
          <w:iCs w:val="0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</w:rPr>
        <w:t>与学校数据中台对接，业务数据汇入中台；</w:t>
      </w:r>
    </w:p>
    <w:p w14:paraId="7A0DAC07">
      <w:pPr>
        <w:pStyle w:val="8"/>
        <w:widowControl/>
        <w:numPr>
          <w:ilvl w:val="0"/>
          <w:numId w:val="0"/>
        </w:numPr>
        <w:shd w:val="clear" w:color="auto" w:fill="FFFFFF"/>
        <w:spacing w:line="360" w:lineRule="auto"/>
        <w:ind w:left="965" w:leftChars="0" w:hanging="440" w:firstLineChars="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theme="minorBidi"/>
          <w:i w:val="0"/>
          <w:iCs w:val="0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</w:rPr>
        <w:t>与学校统一通讯平台对接；</w:t>
      </w:r>
    </w:p>
    <w:p w14:paraId="5F1D9AFC">
      <w:pPr>
        <w:pStyle w:val="8"/>
        <w:widowControl/>
        <w:numPr>
          <w:ilvl w:val="0"/>
          <w:numId w:val="0"/>
        </w:numPr>
        <w:shd w:val="clear" w:color="auto" w:fill="FFFFFF"/>
        <w:spacing w:line="360" w:lineRule="auto"/>
        <w:ind w:left="965" w:leftChars="0" w:hanging="440" w:firstLineChars="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theme="minorBidi"/>
          <w:i w:val="0"/>
          <w:iCs w:val="0"/>
          <w:kern w:val="2"/>
          <w:sz w:val="24"/>
          <w:szCs w:val="24"/>
          <w:lang w:val="en-US" w:eastAsia="zh-CN" w:bidi="ar-SA"/>
        </w:rPr>
        <w:t>4.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</w:rPr>
        <w:t>提供业务运行情况汇总可视化展示页面，纳入数据驾驶舱；</w:t>
      </w:r>
    </w:p>
    <w:p w14:paraId="0B4391F9">
      <w:pPr>
        <w:pStyle w:val="8"/>
        <w:widowControl/>
        <w:numPr>
          <w:ilvl w:val="0"/>
          <w:numId w:val="0"/>
        </w:numPr>
        <w:shd w:val="clear" w:color="auto" w:fill="FFFFFF"/>
        <w:spacing w:line="360" w:lineRule="auto"/>
        <w:ind w:left="965" w:leftChars="0" w:hanging="440" w:firstLineChars="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theme="minorBidi"/>
          <w:i w:val="0"/>
          <w:iCs w:val="0"/>
          <w:kern w:val="2"/>
          <w:sz w:val="24"/>
          <w:szCs w:val="24"/>
          <w:lang w:val="en-US" w:eastAsia="zh-CN" w:bidi="ar-SA"/>
        </w:rPr>
        <w:t>5.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</w:rPr>
        <w:t>提供信息系统的</w:t>
      </w:r>
      <w:r>
        <w:rPr>
          <w:rFonts w:ascii="仿宋_GB2312" w:hAnsi="宋体" w:eastAsia="仿宋_GB2312"/>
          <w:i w:val="0"/>
          <w:iCs w:val="0"/>
          <w:sz w:val="24"/>
          <w:szCs w:val="24"/>
        </w:rPr>
        <w:t>API接口（XML、REST等服务接口）；</w:t>
      </w:r>
    </w:p>
    <w:p w14:paraId="6249EE9D">
      <w:pPr>
        <w:pStyle w:val="8"/>
        <w:widowControl/>
        <w:numPr>
          <w:ilvl w:val="0"/>
          <w:numId w:val="0"/>
        </w:numPr>
        <w:shd w:val="clear" w:color="auto" w:fill="FFFFFF"/>
        <w:spacing w:line="360" w:lineRule="auto"/>
        <w:ind w:left="965" w:leftChars="0" w:hanging="440" w:firstLineChars="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theme="minorBidi"/>
          <w:i w:val="0"/>
          <w:iCs w:val="0"/>
          <w:kern w:val="2"/>
          <w:sz w:val="24"/>
          <w:szCs w:val="24"/>
          <w:lang w:val="en-US" w:eastAsia="zh-CN" w:bidi="ar-SA"/>
        </w:rPr>
        <w:t>6.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</w:rPr>
        <w:t>提供面向用户的服务，接入网上厅和企业微信；</w:t>
      </w:r>
    </w:p>
    <w:p w14:paraId="1FDA96A7">
      <w:pPr>
        <w:pStyle w:val="8"/>
        <w:widowControl/>
        <w:numPr>
          <w:ilvl w:val="0"/>
          <w:numId w:val="0"/>
        </w:numPr>
        <w:shd w:val="clear" w:color="auto" w:fill="FFFFFF"/>
        <w:spacing w:line="360" w:lineRule="auto"/>
        <w:ind w:left="965" w:leftChars="0" w:hanging="440" w:firstLineChars="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theme="minorBidi"/>
          <w:i w:val="0"/>
          <w:iCs w:val="0"/>
          <w:kern w:val="2"/>
          <w:sz w:val="24"/>
          <w:szCs w:val="24"/>
          <w:lang w:val="en-US" w:eastAsia="zh-CN" w:bidi="ar-SA"/>
        </w:rPr>
        <w:t>7.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</w:rPr>
        <w:t>信息系统需接受日常运行监测；</w:t>
      </w:r>
    </w:p>
    <w:p w14:paraId="62036A08">
      <w:pPr>
        <w:pStyle w:val="8"/>
        <w:widowControl/>
        <w:numPr>
          <w:ilvl w:val="0"/>
          <w:numId w:val="0"/>
        </w:numPr>
        <w:shd w:val="clear" w:color="auto" w:fill="FFFFFF"/>
        <w:spacing w:line="360" w:lineRule="auto"/>
        <w:ind w:left="965" w:leftChars="0" w:hanging="440" w:firstLineChars="0"/>
        <w:jc w:val="left"/>
        <w:rPr>
          <w:rFonts w:hint="eastAsia" w:ascii="仿宋_GB2312" w:hAnsi="宋体" w:eastAsia="仿宋_GB2312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theme="minorBidi"/>
          <w:i w:val="0"/>
          <w:iCs w:val="0"/>
          <w:kern w:val="2"/>
          <w:sz w:val="24"/>
          <w:szCs w:val="24"/>
          <w:lang w:val="en-US" w:eastAsia="zh-CN" w:bidi="ar-SA"/>
        </w:rPr>
        <w:t>8.</w:t>
      </w:r>
      <w:r>
        <w:rPr>
          <w:rFonts w:hint="eastAsia" w:ascii="仿宋_GB2312" w:hAnsi="宋体" w:eastAsia="仿宋_GB2312"/>
          <w:i w:val="0"/>
          <w:iCs w:val="0"/>
          <w:sz w:val="24"/>
          <w:szCs w:val="24"/>
        </w:rPr>
        <w:t>与其他信息系统的集成和对接。</w:t>
      </w:r>
    </w:p>
    <w:p w14:paraId="4DBC8CA2">
      <w:pPr>
        <w:widowControl/>
        <w:shd w:val="clear" w:color="auto" w:fill="FFFFFF"/>
        <w:spacing w:line="360" w:lineRule="auto"/>
        <w:ind w:firstLine="560" w:firstLineChars="200"/>
        <w:rPr>
          <w:rFonts w:hint="eastAsia" w:ascii="仿宋_GB2312" w:hAnsi="宋体" w:eastAsia="仿宋_GB2312" w:cs="仿宋"/>
          <w:b w:val="0"/>
          <w:bCs w:val="0"/>
          <w:i w:val="0"/>
          <w:iCs w:val="0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 w:val="0"/>
          <w:bCs w:val="0"/>
          <w:i w:val="0"/>
          <w:iCs w:val="0"/>
          <w:color w:val="000000"/>
          <w:kern w:val="0"/>
          <w:sz w:val="28"/>
          <w:szCs w:val="28"/>
          <w:shd w:val="clear" w:color="auto" w:fill="FFFFFF"/>
        </w:rPr>
        <w:t>（</w:t>
      </w:r>
      <w:r>
        <w:rPr>
          <w:rFonts w:hint="eastAsia" w:ascii="仿宋_GB2312" w:hAnsi="宋体" w:eastAsia="仿宋_GB2312" w:cs="仿宋"/>
          <w:b w:val="0"/>
          <w:bCs w:val="0"/>
          <w:i w:val="0"/>
          <w:iCs w:val="0"/>
          <w:color w:val="000000"/>
          <w:kern w:val="0"/>
          <w:sz w:val="28"/>
          <w:szCs w:val="28"/>
          <w:shd w:val="clear" w:color="auto" w:fill="FFFFFF"/>
          <w:lang w:eastAsia="zh-CN"/>
        </w:rPr>
        <w:t>三</w:t>
      </w:r>
      <w:r>
        <w:rPr>
          <w:rFonts w:hint="eastAsia" w:ascii="仿宋_GB2312" w:hAnsi="宋体" w:eastAsia="仿宋_GB2312" w:cs="仿宋"/>
          <w:b w:val="0"/>
          <w:bCs w:val="0"/>
          <w:i w:val="0"/>
          <w:iCs w:val="0"/>
          <w:color w:val="000000"/>
          <w:kern w:val="0"/>
          <w:sz w:val="28"/>
          <w:szCs w:val="28"/>
          <w:shd w:val="clear" w:color="auto" w:fill="FFFFFF"/>
        </w:rPr>
        <w:t>）非功能性要求</w:t>
      </w:r>
    </w:p>
    <w:p w14:paraId="4F703B67">
      <w:pPr>
        <w:pStyle w:val="8"/>
        <w:numPr>
          <w:ilvl w:val="0"/>
          <w:numId w:val="1"/>
        </w:numPr>
        <w:spacing w:line="360" w:lineRule="auto"/>
        <w:ind w:firstLineChars="0"/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  <w:t>架构：整个</w:t>
      </w: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  <w:lang w:val="en-US" w:eastAsia="zh-CN"/>
        </w:rPr>
        <w:t>本地工具</w:t>
      </w: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  <w:t>应支持分布式集群部署，可部署在虚拟机上。Web应用服务器、数据库服务器以及文档服务器均应集群部署，且各自独立部署。文档服务器应支持多副本的分布式文件系统。系统支持用户使用数不受限制，支持大并发应用，用户并发数不少于</w:t>
      </w: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  <w:lang w:val="en-US" w:eastAsia="zh-CN"/>
        </w:rPr>
        <w:t>1000</w:t>
      </w: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  <w:t>人。</w:t>
      </w:r>
    </w:p>
    <w:p w14:paraId="65D13C51">
      <w:pPr>
        <w:pStyle w:val="8"/>
        <w:numPr>
          <w:ilvl w:val="0"/>
          <w:numId w:val="1"/>
        </w:numPr>
        <w:spacing w:line="360" w:lineRule="auto"/>
        <w:ind w:firstLineChars="0"/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  <w:t>高性能：主要功能在通用单点操作下响应时间少于1秒，在</w:t>
      </w: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  <w:lang w:val="en-US" w:eastAsia="zh-CN"/>
        </w:rPr>
        <w:t>1</w:t>
      </w: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  <w:t>00人并发情况下，响应时间少于3秒。全部页面最长加载时间不超过2秒，页面首字节时间不超过1秒。事务响应时间不超过2秒，统计分析和查询响应时间不超过4秒，导入、导出数据响应时间不超过6S，并要有时间进度条提示。</w:t>
      </w:r>
    </w:p>
    <w:p w14:paraId="28CFFD5E">
      <w:pPr>
        <w:pStyle w:val="8"/>
        <w:numPr>
          <w:ilvl w:val="0"/>
          <w:numId w:val="1"/>
        </w:numPr>
        <w:spacing w:line="360" w:lineRule="auto"/>
        <w:ind w:firstLineChars="0"/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</w:pP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  <w:t>可靠性：在高负荷状态下能不间断、可靠、稳定运行。系统应7*24小时不间断运行，系统平均无故障时间&gt;99.9%。</w:t>
      </w:r>
    </w:p>
    <w:p w14:paraId="581C4343">
      <w:pPr>
        <w:pStyle w:val="8"/>
        <w:numPr>
          <w:ilvl w:val="0"/>
          <w:numId w:val="1"/>
        </w:numPr>
        <w:spacing w:line="360" w:lineRule="auto"/>
        <w:ind w:firstLineChars="0"/>
        <w:rPr>
          <w:rFonts w:hint="eastAsia" w:ascii="仿宋_GB2312" w:hAnsi="宋体" w:eastAsia="仿宋_GB2312"/>
          <w:sz w:val="24"/>
          <w:szCs w:val="24"/>
          <w:lang w:val="zh-CN"/>
        </w:rPr>
      </w:pPr>
      <w:r>
        <w:rPr>
          <w:rFonts w:hint="eastAsia" w:ascii="仿宋_GB2312" w:hAnsi="宋体" w:eastAsia="仿宋_GB2312" w:cs="Times New Roman"/>
          <w:i w:val="0"/>
          <w:iCs w:val="0"/>
          <w:sz w:val="24"/>
          <w:szCs w:val="24"/>
        </w:rPr>
        <w:t>易用性：要求系统设计人性化、易于理解、导向清晰、操作简易。</w:t>
      </w:r>
      <w:r>
        <w:rPr>
          <w:rFonts w:ascii="仿宋_GB2312" w:hAnsi="宋体" w:eastAsia="仿宋_GB2312" w:cs="Times New Roman"/>
          <w:i w:val="0"/>
          <w:iCs w:val="0"/>
          <w:sz w:val="24"/>
          <w:szCs w:val="24"/>
        </w:rPr>
        <w:t>界面风格和logo设计须遵循学校统一的视觉标识规范。</w:t>
      </w:r>
      <w:bookmarkStart w:id="0" w:name="_GoBack"/>
      <w:bookmarkEnd w:id="0"/>
    </w:p>
    <w:p w14:paraId="5D272944">
      <w:pPr>
        <w:widowControl/>
        <w:ind w:firstLine="643" w:firstLineChars="200"/>
        <w:jc w:val="left"/>
        <w:rPr>
          <w:rFonts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四、商务要求</w:t>
      </w:r>
    </w:p>
    <w:tbl>
      <w:tblPr>
        <w:tblStyle w:val="6"/>
        <w:tblW w:w="86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603"/>
        <w:gridCol w:w="940"/>
        <w:gridCol w:w="5237"/>
      </w:tblGrid>
      <w:tr w14:paraId="08CC4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tblHeader/>
          <w:jc w:val="center"/>
        </w:trPr>
        <w:tc>
          <w:tcPr>
            <w:tcW w:w="892" w:type="dxa"/>
            <w:vAlign w:val="center"/>
          </w:tcPr>
          <w:p w14:paraId="6AABE74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1603" w:type="dxa"/>
            <w:vAlign w:val="center"/>
          </w:tcPr>
          <w:p w14:paraId="7FFC2B3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  <w:t>指标项</w:t>
            </w:r>
          </w:p>
        </w:tc>
        <w:tc>
          <w:tcPr>
            <w:tcW w:w="940" w:type="dxa"/>
            <w:vAlign w:val="center"/>
          </w:tcPr>
          <w:p w14:paraId="2C26B9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  <w:t>重要性</w:t>
            </w:r>
          </w:p>
        </w:tc>
        <w:tc>
          <w:tcPr>
            <w:tcW w:w="5237" w:type="dxa"/>
            <w:vAlign w:val="center"/>
          </w:tcPr>
          <w:p w14:paraId="12E993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  <w:t>指标要求</w:t>
            </w:r>
          </w:p>
        </w:tc>
      </w:tr>
      <w:tr w14:paraId="27268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892" w:type="dxa"/>
            <w:vAlign w:val="center"/>
          </w:tcPr>
          <w:p w14:paraId="460CEBD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1</w:t>
            </w:r>
          </w:p>
        </w:tc>
        <w:tc>
          <w:tcPr>
            <w:tcW w:w="1603" w:type="dxa"/>
            <w:vAlign w:val="center"/>
          </w:tcPr>
          <w:p w14:paraId="29589D3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供货期/服务期/工期</w:t>
            </w:r>
          </w:p>
        </w:tc>
        <w:tc>
          <w:tcPr>
            <w:tcW w:w="940" w:type="dxa"/>
          </w:tcPr>
          <w:p w14:paraId="0229444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5237" w:type="dxa"/>
          </w:tcPr>
          <w:p w14:paraId="6A2CFB5B">
            <w:pPr>
              <w:pStyle w:val="5"/>
              <w:ind w:left="0"/>
              <w:rPr>
                <w:rFonts w:hint="default" w:ascii="仿宋_GB2312" w:hAnsi="宋体" w:eastAsia="仿宋_GB2312" w:cs="宋体"/>
                <w:snapToGrid w:val="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仿宋_GB2312"/>
                <w:i w:val="0"/>
                <w:iCs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仿宋_GB2312" w:hAnsi="宋体" w:eastAsia="仿宋_GB2312"/>
                <w:i w:val="0"/>
                <w:iCs/>
                <w:sz w:val="24"/>
                <w:szCs w:val="24"/>
                <w:lang w:val="zh-CN" w:eastAsia="zh-CN"/>
              </w:rPr>
              <w:t>日期为合同生效</w:t>
            </w:r>
            <w:r>
              <w:rPr>
                <w:rFonts w:hint="eastAsia" w:ascii="仿宋_GB2312" w:hAnsi="宋体" w:eastAsia="仿宋_GB2312"/>
                <w:i w:val="0"/>
                <w:iCs/>
                <w:sz w:val="24"/>
                <w:szCs w:val="24"/>
                <w:lang w:val="en-US" w:eastAsia="zh-CN"/>
              </w:rPr>
              <w:t>起1</w:t>
            </w:r>
            <w:r>
              <w:rPr>
                <w:rFonts w:hint="eastAsia" w:ascii="仿宋_GB2312" w:hAnsi="宋体" w:eastAsia="仿宋_GB2312"/>
                <w:i w:val="0"/>
                <w:iCs/>
                <w:sz w:val="24"/>
                <w:szCs w:val="24"/>
                <w:lang w:val="zh-CN" w:eastAsia="zh-CN"/>
              </w:rPr>
              <w:t>年。</w:t>
            </w:r>
            <w:r>
              <w:rPr>
                <w:rFonts w:hint="eastAsia" w:ascii="仿宋_GB2312" w:hAnsi="宋体" w:eastAsia="仿宋_GB2312"/>
                <w:i w:val="0"/>
                <w:iCs/>
                <w:sz w:val="24"/>
                <w:szCs w:val="24"/>
                <w:lang w:val="en-US" w:eastAsia="zh-CN"/>
              </w:rPr>
              <w:t>服务期满双方无异议可以续签合同，续签不超过两次。</w:t>
            </w:r>
          </w:p>
        </w:tc>
      </w:tr>
      <w:tr w14:paraId="499BA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892" w:type="dxa"/>
            <w:vAlign w:val="center"/>
          </w:tcPr>
          <w:p w14:paraId="61E9B89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</w:rPr>
              <w:t>2</w:t>
            </w:r>
          </w:p>
        </w:tc>
        <w:tc>
          <w:tcPr>
            <w:tcW w:w="1603" w:type="dxa"/>
            <w:vAlign w:val="center"/>
          </w:tcPr>
          <w:p w14:paraId="28D99AB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交货/服务/建设地点</w:t>
            </w:r>
          </w:p>
        </w:tc>
        <w:tc>
          <w:tcPr>
            <w:tcW w:w="940" w:type="dxa"/>
            <w:vAlign w:val="center"/>
          </w:tcPr>
          <w:p w14:paraId="11AC0DAE">
            <w:pPr>
              <w:autoSpaceDE w:val="0"/>
              <w:autoSpaceDN w:val="0"/>
              <w:adjustRightInd w:val="0"/>
              <w:snapToGrid w:val="0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5237" w:type="dxa"/>
            <w:vAlign w:val="center"/>
          </w:tcPr>
          <w:p w14:paraId="0F9BCCF1"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 w:eastAsia="zh-CN"/>
              </w:rPr>
              <w:t>中国地质大学（武汉）南望山校区</w:t>
            </w:r>
          </w:p>
        </w:tc>
      </w:tr>
      <w:tr w14:paraId="277D1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92" w:type="dxa"/>
            <w:vAlign w:val="center"/>
          </w:tcPr>
          <w:p w14:paraId="283C62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</w:rPr>
              <w:t>3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52CFA9E6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服务标准/</w:t>
            </w:r>
          </w:p>
          <w:p w14:paraId="09DA0122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售后服务要求</w:t>
            </w:r>
          </w:p>
        </w:tc>
        <w:tc>
          <w:tcPr>
            <w:tcW w:w="940" w:type="dxa"/>
            <w:shd w:val="clear" w:color="auto" w:fill="auto"/>
            <w:vAlign w:val="top"/>
          </w:tcPr>
          <w:p w14:paraId="579C5D11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</w:p>
        </w:tc>
        <w:tc>
          <w:tcPr>
            <w:tcW w:w="5237" w:type="dxa"/>
            <w:shd w:val="clear" w:color="auto" w:fill="auto"/>
            <w:vAlign w:val="top"/>
          </w:tcPr>
          <w:p w14:paraId="1111D112">
            <w:pPr>
              <w:widowControl/>
              <w:autoSpaceDE w:val="0"/>
              <w:autoSpaceDN w:val="0"/>
              <w:adjustRightInd w:val="0"/>
              <w:snapToGrid w:val="0"/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/>
              </w:rPr>
            </w:pPr>
          </w:p>
          <w:p w14:paraId="68B6A3E5">
            <w:pPr>
              <w:widowControl/>
              <w:autoSpaceDE w:val="0"/>
              <w:autoSpaceDN w:val="0"/>
              <w:adjustRightInd w:val="0"/>
              <w:snapToGrid w:val="0"/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/>
              </w:rPr>
              <w:t>电话报修后</w:t>
            </w: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/>
              </w:rPr>
              <w:t>小时上门服务、</w:t>
            </w: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/>
              </w:rPr>
              <w:t>小时内排除故障。</w:t>
            </w:r>
          </w:p>
        </w:tc>
      </w:tr>
      <w:tr w14:paraId="3255C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2D197640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559B94F2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安装调试</w:t>
            </w:r>
          </w:p>
        </w:tc>
        <w:tc>
          <w:tcPr>
            <w:tcW w:w="940" w:type="dxa"/>
            <w:shd w:val="clear" w:color="auto" w:fill="auto"/>
            <w:vAlign w:val="top"/>
          </w:tcPr>
          <w:p w14:paraId="30335579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</w:p>
        </w:tc>
        <w:tc>
          <w:tcPr>
            <w:tcW w:w="5237" w:type="dxa"/>
            <w:shd w:val="clear" w:color="auto" w:fill="auto"/>
            <w:vAlign w:val="center"/>
          </w:tcPr>
          <w:p w14:paraId="33469B28">
            <w:pPr>
              <w:widowControl/>
              <w:autoSpaceDE w:val="0"/>
              <w:autoSpaceDN w:val="0"/>
              <w:adjustRightInd w:val="0"/>
              <w:snapToGrid w:val="0"/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 w:eastAsia="zh-CN"/>
              </w:rPr>
              <w:t>对接</w:t>
            </w: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/>
              </w:rPr>
              <w:t>过程中需要的专用器具和其他物资由供应商负责，采购人负责相应的现场协调等方面的协调配合工作。安装与调试所产生费用由供应商承担。</w:t>
            </w:r>
          </w:p>
        </w:tc>
      </w:tr>
      <w:tr w14:paraId="671B0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73467EAF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04CC54E6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培训要求</w:t>
            </w:r>
          </w:p>
        </w:tc>
        <w:tc>
          <w:tcPr>
            <w:tcW w:w="940" w:type="dxa"/>
            <w:shd w:val="clear" w:color="auto" w:fill="auto"/>
            <w:vAlign w:val="top"/>
          </w:tcPr>
          <w:p w14:paraId="19891A91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</w:p>
        </w:tc>
        <w:tc>
          <w:tcPr>
            <w:tcW w:w="5237" w:type="dxa"/>
            <w:shd w:val="clear" w:color="auto" w:fill="auto"/>
            <w:vAlign w:val="center"/>
          </w:tcPr>
          <w:p w14:paraId="16747ADE">
            <w:pPr>
              <w:widowControl/>
              <w:autoSpaceDE w:val="0"/>
              <w:autoSpaceDN w:val="0"/>
              <w:adjustRightInd w:val="0"/>
              <w:snapToGrid w:val="0"/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theme="minorBidi"/>
                <w:i w:val="0"/>
                <w:iCs/>
                <w:snapToGrid/>
                <w:kern w:val="0"/>
                <w:sz w:val="24"/>
                <w:szCs w:val="24"/>
                <w:lang w:val="en-US"/>
              </w:rPr>
              <w:t>提供2天以上现场培训，交通等与培训相关的费用均由成交供应商承担。</w:t>
            </w:r>
          </w:p>
        </w:tc>
      </w:tr>
      <w:tr w14:paraId="590B4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3DC208B0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2361C37B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验收标准</w:t>
            </w:r>
          </w:p>
        </w:tc>
        <w:tc>
          <w:tcPr>
            <w:tcW w:w="940" w:type="dxa"/>
            <w:shd w:val="clear" w:color="auto" w:fill="auto"/>
            <w:vAlign w:val="top"/>
          </w:tcPr>
          <w:p w14:paraId="5CAEB25C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</w:p>
        </w:tc>
        <w:tc>
          <w:tcPr>
            <w:tcW w:w="5237" w:type="dxa"/>
            <w:shd w:val="clear" w:color="auto" w:fill="auto"/>
            <w:vAlign w:val="top"/>
          </w:tcPr>
          <w:p w14:paraId="086D5628">
            <w:pPr>
              <w:widowControl/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zh-CN"/>
              </w:rPr>
              <w:t>1、符合学校信息化项目的验收要求；</w:t>
            </w:r>
          </w:p>
          <w:p w14:paraId="30A56D33">
            <w:pPr>
              <w:widowControl/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zh-CN"/>
              </w:rPr>
              <w:t>2、按照供应商响应文件及采购文件确定的技术和服务指标进行验收。</w:t>
            </w:r>
          </w:p>
        </w:tc>
      </w:tr>
      <w:tr w14:paraId="02194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892" w:type="dxa"/>
            <w:vAlign w:val="center"/>
          </w:tcPr>
          <w:p w14:paraId="531E64D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_GB2312" w:hAnsi="宋体" w:eastAsia="仿宋_GB2312" w:cs="宋体"/>
                <w:snapToGrid w:val="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6D6A9D5B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付款方式</w:t>
            </w:r>
          </w:p>
        </w:tc>
        <w:tc>
          <w:tcPr>
            <w:tcW w:w="940" w:type="dxa"/>
            <w:shd w:val="clear" w:color="auto" w:fill="auto"/>
            <w:vAlign w:val="top"/>
          </w:tcPr>
          <w:p w14:paraId="4107BDD0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 w:bidi="ar-SA"/>
              </w:rPr>
            </w:pPr>
          </w:p>
        </w:tc>
        <w:tc>
          <w:tcPr>
            <w:tcW w:w="5237" w:type="dxa"/>
            <w:shd w:val="clear" w:color="auto" w:fill="auto"/>
            <w:vAlign w:val="center"/>
          </w:tcPr>
          <w:p w14:paraId="36822B59">
            <w:pPr>
              <w:widowControl/>
              <w:autoSpaceDE w:val="0"/>
              <w:autoSpaceDN w:val="0"/>
              <w:adjustRightInd w:val="0"/>
              <w:snapToGrid w:val="0"/>
              <w:rPr>
                <w:rFonts w:hint="default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zh-CN"/>
              </w:rPr>
              <w:t>合同签订后，乙方向甲方支付合同总价款的</w:t>
            </w: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zh-CN"/>
              </w:rPr>
              <w:t>%作为履约保证金。甲方在</w:t>
            </w: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zh-CN"/>
              </w:rPr>
              <w:t>个工作日内向乙方支付合同总金额的100%。</w:t>
            </w: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en-US" w:eastAsia="zh-CN"/>
              </w:rPr>
              <w:t>一年后</w:t>
            </w: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zh-CN"/>
              </w:rPr>
              <w:t>乙方凭履约保证金单据，按甲方要求提交服务报告和付款申请，若乙方无任何违约行为（包括但不限于质量问题、售后服务瑕疵等），甲方向乙方无息返还全部履约保证金。</w:t>
            </w:r>
          </w:p>
        </w:tc>
      </w:tr>
    </w:tbl>
    <w:p w14:paraId="662E82B4"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33550C0-B8FE-4B6B-9761-FEBFE532E1A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8347EA9-4DC5-484D-B421-0FE74D1147F6}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0E491EF9-B5C3-47AD-AEDF-C6257E21830D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F637DAE5-864C-473A-89A5-EB6A85BA322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19EA0095-D969-42C2-9E12-DCD5B3D18D6C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6" w:fontKey="{791AC722-E7C5-4CAD-8C1C-5A97DCD21729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7" w:fontKey="{76587B5A-66E8-421F-9D4C-E07F82697352}"/>
  </w:font>
  <w:font w:name="WPSEMBED5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B773AF"/>
    <w:multiLevelType w:val="multilevel"/>
    <w:tmpl w:val="7FB773AF"/>
    <w:lvl w:ilvl="0" w:tentative="0">
      <w:start w:val="1"/>
      <w:numFmt w:val="decimal"/>
      <w:lvlText w:val="%1."/>
      <w:lvlJc w:val="left"/>
      <w:pPr>
        <w:ind w:left="860" w:hanging="440"/>
      </w:pPr>
      <w:rPr>
        <w:rFonts w:hint="default"/>
      </w:rPr>
    </w:lvl>
    <w:lvl w:ilvl="1" w:tentative="0">
      <w:start w:val="1"/>
      <w:numFmt w:val="decimal"/>
      <w:lvlText w:val="（%2）"/>
      <w:lvlJc w:val="left"/>
      <w:pPr>
        <w:ind w:left="1580" w:hanging="720"/>
      </w:pPr>
      <w:rPr>
        <w:rFonts w:hint="default"/>
      </w:rPr>
    </w:lvl>
    <w:lvl w:ilvl="2" w:tentative="0">
      <w:start w:val="1"/>
      <w:numFmt w:val="bullet"/>
      <w:lvlText w:val=""/>
      <w:lvlJc w:val="left"/>
      <w:pPr>
        <w:ind w:left="174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8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2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6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0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4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80" w:hanging="44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zMjg5ZTk0ZmI5MWFhNTcyMmY3YTlmN2Y3NmI0YzkifQ=="/>
  </w:docVars>
  <w:rsids>
    <w:rsidRoot w:val="5DAD333C"/>
    <w:rsid w:val="04BF7D3B"/>
    <w:rsid w:val="0A986FB2"/>
    <w:rsid w:val="167E37C5"/>
    <w:rsid w:val="197131A1"/>
    <w:rsid w:val="1A682E4B"/>
    <w:rsid w:val="2430538F"/>
    <w:rsid w:val="376D5559"/>
    <w:rsid w:val="3C37B12D"/>
    <w:rsid w:val="3DF52EB3"/>
    <w:rsid w:val="3F057D64"/>
    <w:rsid w:val="40B91138"/>
    <w:rsid w:val="42DE2DA6"/>
    <w:rsid w:val="4C6406E4"/>
    <w:rsid w:val="4E1339E2"/>
    <w:rsid w:val="4F3D70A6"/>
    <w:rsid w:val="57FB365A"/>
    <w:rsid w:val="592F6AA6"/>
    <w:rsid w:val="5D845EA0"/>
    <w:rsid w:val="5DAD333C"/>
    <w:rsid w:val="5E0F60B1"/>
    <w:rsid w:val="67C400CC"/>
    <w:rsid w:val="6A7B7FF2"/>
    <w:rsid w:val="6F4A4561"/>
    <w:rsid w:val="755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eastAsia="宋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qFormat/>
    <w:uiPriority w:val="0"/>
    <w:pPr>
      <w:ind w:left="142"/>
    </w:pPr>
    <w:rPr>
      <w:kern w:val="0"/>
    </w:rPr>
  </w:style>
  <w:style w:type="paragraph" w:styleId="8">
    <w:name w:val="List Paragraph"/>
    <w:basedOn w:val="1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paragraph" w:customStyle="1" w:styleId="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56b41ce9-9619-42d1-9a4c-d153649b2305</errorID>
      <errorWord>并要</errorWord>
      <group>L1_Word</group>
      <groupName>字词问题</groupName>
      <ability>L2_Typo</ability>
      <abilityName>字词错误</abilityName>
      <candidateList>
        <item>并</item>
      </candidateList>
      <explain/>
      <paraID>65D13C51</paraID>
      <start>120</start>
      <end>122</end>
      <status>ignored</status>
      <modifiedWord/>
      <trackRevisions>false</trackRevisions>
    </reviewItem>
    <reviewItem>
      <errorID>85fe3bf1-e85a-4d22-95b3-86ff3db6eebd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2C91E65D</paraID>
      <start>0</start>
      <end>2</end>
      <status>ignored</status>
      <modifiedWord/>
      <trackRevisions>false</trackRevisions>
    </reviewItem>
    <reviewItem>
      <errorID>cd5e227c-8930-46af-900b-83e2003d0e59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3E2944D0</paraID>
      <start>0</start>
      <end>2</end>
      <status>ignored</status>
      <modifiedWord/>
      <trackRevisions>false</trackRevisions>
    </reviewItem>
    <reviewItem>
      <errorID>75855ff3-64dd-4622-88e1-56b2d53ab8a6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12C2D023</paraID>
      <start>0</start>
      <end>2</end>
      <status>ignored</status>
      <modifiedWord/>
      <trackRevisions>false</trackRevisions>
    </reviewItem>
    <reviewItem>
      <errorID>3336f07f-1829-4d59-92fb-4d78179193b1</errorID>
      <errorWord>能够用</errorWord>
      <group>L1_Word</group>
      <groupName>字词问题</groupName>
      <ability>L2_Typo</ability>
      <abilityName>字词错误</abilityName>
      <candidateList>
        <item>能够</item>
      </candidateList>
      <explain/>
      <paraID>64126554</paraID>
      <start>31</start>
      <end>33</end>
      <status>modified</status>
      <modifiedWord>能够</modifiedWord>
      <trackRevisions>false</trackRevisions>
    </reviewItem>
    <reviewItem>
      <errorID>fd8ad25b-6eb2-4ef4-b2af-a0f761931793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4AE1DADA</paraID>
      <start>0</start>
      <end>2</end>
      <status>ignored</status>
      <modifiedWord/>
      <trackRevisions>false</trackRevisions>
    </reviewItem>
    <reviewItem>
      <errorID>2d4124a2-9128-4eaf-b33c-cfe2ad119dba</errorID>
      <errorWord>归纳管理</errorWord>
      <group>L1_Political</group>
      <groupName>政治性问题</groupName>
      <ability>L2_Keyword</ability>
      <abilityName>固定表述</abilityName>
      <candidateList>
        <item>归口管理</item>
      </candidateList>
      <explain>词汇“归口管理”在特定场景下为固定表述形式，请确认此处的“归纳管理”是否存在不当。</explain>
      <paraID>289DB4C9</paraID>
      <start>13</start>
      <end>17</end>
      <status>ignored</status>
      <modifiedWord/>
      <trackRevisions>false</trackRevisions>
    </reviewItem>
    <reviewItem>
      <errorID>63d7b35e-ff7b-481e-85d4-3028b9e9fbc5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3B819A6A</paraID>
      <start>0</start>
      <end>2</end>
      <status>ignored</status>
      <modifiedWord/>
      <trackRevisions>false</trackRevisions>
    </reviewItem>
    <reviewItem>
      <errorID>74498ef1-260f-4778-b2f0-afed4e060b89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7C1C7111</paraID>
      <start>0</start>
      <end>2</end>
      <status>ignored</status>
      <modifiedWord/>
      <trackRevisions>false</trackRevisions>
    </reviewItem>
    <reviewItem>
      <errorID>b53a78e1-adf6-4f3f-9472-7dcbd4d76d69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731BB267</paraID>
      <start>0</start>
      <end>2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34e31c7-94eb-4137-b2c9-e31de01069e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1914</Words>
  <Characters>2046</Characters>
  <Lines>0</Lines>
  <Paragraphs>0</Paragraphs>
  <TotalTime>42</TotalTime>
  <ScaleCrop>false</ScaleCrop>
  <LinksUpToDate>false</LinksUpToDate>
  <CharactersWithSpaces>2089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2024-12-13T09:07:00Z</dcterms:created>
  <dc:creator>姜忠保</dc:creator>
  <cp:lastModifiedBy>闫飞</cp:lastModifiedBy>
  <dcterms:modified xsi:type="dcterms:W3CDTF">2026-10-10T08:53:31Z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84730EB31ACA483B90533791031BB425_13</vt:lpwstr>
  </property>
  <property fmtid="{D5CDD505-2E9C-101B-9397-08002B2CF9AE}" pid="4" name="KSOTemplateDocerSaveRecord">
    <vt:lpwstr>eyJoZGlkIjoiYzQ3NjY0MDA2MDA1MTVkZGI0NGNjY2Y1NjZkYmVhMDEiLCJ1c2VySWQiOiIxNDcxNjk2MTU0In0=</vt:lpwstr>
  </property>
</Properties>
</file>