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31C81">
      <w:pPr>
        <w:widowControl/>
        <w:adjustRightInd w:val="0"/>
        <w:snapToGrid w:val="0"/>
        <w:spacing w:line="600" w:lineRule="exact"/>
        <w:jc w:val="left"/>
        <w:outlineLvl w:val="1"/>
        <w:rPr>
          <w:rFonts w:hint="eastAsia" w:ascii="仿宋" w:hAnsi="仿宋" w:eastAsia="仿宋" w:cs="宋体"/>
          <w:b/>
          <w:bCs/>
          <w:kern w:val="36"/>
          <w:sz w:val="24"/>
          <w:szCs w:val="24"/>
        </w:rPr>
      </w:pPr>
      <w:r>
        <w:rPr>
          <w:rFonts w:hint="eastAsia" w:ascii="仿宋" w:hAnsi="仿宋" w:eastAsia="仿宋" w:cs="宋体"/>
          <w:b/>
          <w:bCs/>
          <w:kern w:val="36"/>
          <w:sz w:val="24"/>
          <w:szCs w:val="24"/>
        </w:rPr>
        <w:t>附件1：</w:t>
      </w:r>
    </w:p>
    <w:p w14:paraId="32E92EA5">
      <w:pPr>
        <w:pStyle w:val="3"/>
        <w:spacing w:before="0" w:after="0" w:line="360" w:lineRule="auto"/>
        <w:rPr>
          <w:rFonts w:hint="eastAsia" w:ascii="仿宋" w:hAnsi="仿宋" w:eastAsia="仿宋"/>
          <w:sz w:val="24"/>
          <w:szCs w:val="24"/>
        </w:rPr>
      </w:pPr>
      <w:r>
        <w:rPr>
          <w:rFonts w:hint="eastAsia" w:ascii="仿宋" w:hAnsi="仿宋" w:eastAsia="仿宋"/>
          <w:sz w:val="24"/>
          <w:szCs w:val="24"/>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36AF491B">
      <w:pPr>
        <w:pStyle w:val="3"/>
        <w:spacing w:before="0" w:after="0" w:line="360" w:lineRule="auto"/>
        <w:jc w:val="center"/>
        <w:rPr>
          <w:rFonts w:hint="eastAsia" w:ascii="仿宋" w:hAnsi="仿宋" w:eastAsia="仿宋"/>
          <w:sz w:val="24"/>
          <w:szCs w:val="24"/>
        </w:rPr>
      </w:pPr>
    </w:p>
    <w:p w14:paraId="7D94707D">
      <w:pPr>
        <w:pStyle w:val="3"/>
        <w:spacing w:before="0" w:after="0" w:line="360" w:lineRule="auto"/>
        <w:jc w:val="center"/>
        <w:rPr>
          <w:rFonts w:hint="eastAsia" w:ascii="仿宋" w:hAnsi="仿宋" w:eastAsia="仿宋"/>
          <w:sz w:val="24"/>
          <w:szCs w:val="24"/>
        </w:rPr>
      </w:pPr>
    </w:p>
    <w:p w14:paraId="42AC69E4">
      <w:pPr>
        <w:rPr>
          <w:rFonts w:hint="eastAsia" w:ascii="仿宋" w:hAnsi="仿宋" w:eastAsia="仿宋"/>
          <w:sz w:val="24"/>
          <w:szCs w:val="24"/>
        </w:rPr>
      </w:pPr>
    </w:p>
    <w:p w14:paraId="6B671AAE">
      <w:pPr>
        <w:rPr>
          <w:rFonts w:hint="eastAsia" w:ascii="仿宋" w:hAnsi="仿宋" w:eastAsia="仿宋"/>
          <w:sz w:val="24"/>
          <w:szCs w:val="24"/>
        </w:rPr>
      </w:pPr>
    </w:p>
    <w:p w14:paraId="6D7770A8">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1A29C928">
      <w:pPr>
        <w:rPr>
          <w:rFonts w:hint="eastAsia" w:ascii="仿宋" w:hAnsi="仿宋" w:eastAsia="仿宋"/>
          <w:sz w:val="24"/>
          <w:szCs w:val="24"/>
        </w:rPr>
      </w:pPr>
    </w:p>
    <w:p w14:paraId="5016BB34">
      <w:pPr>
        <w:ind w:firstLine="964" w:firstLineChars="400"/>
        <w:rPr>
          <w:rFonts w:hint="eastAsia" w:ascii="仿宋" w:hAnsi="仿宋" w:eastAsia="仿宋" w:cs="仿宋"/>
          <w:b/>
          <w:bCs/>
          <w:color w:val="000000"/>
          <w:kern w:val="0"/>
          <w:sz w:val="24"/>
          <w:szCs w:val="24"/>
          <w:shd w:val="clear" w:color="auto" w:fill="FFFFFF"/>
        </w:rPr>
      </w:pPr>
    </w:p>
    <w:p w14:paraId="13189229">
      <w:pPr>
        <w:ind w:firstLine="964" w:firstLineChars="400"/>
        <w:rPr>
          <w:rFonts w:hint="eastAsia" w:ascii="仿宋" w:hAnsi="仿宋" w:eastAsia="仿宋" w:cs="仿宋"/>
          <w:b/>
          <w:bCs/>
          <w:color w:val="000000"/>
          <w:kern w:val="0"/>
          <w:sz w:val="24"/>
          <w:szCs w:val="24"/>
          <w:shd w:val="clear" w:color="auto" w:fill="FFFFFF"/>
        </w:rPr>
      </w:pPr>
    </w:p>
    <w:p w14:paraId="30ABE153">
      <w:pPr>
        <w:ind w:firstLine="964" w:firstLineChars="400"/>
        <w:rPr>
          <w:rFonts w:hint="eastAsia" w:ascii="仿宋" w:hAnsi="仿宋" w:eastAsia="仿宋" w:cs="仿宋"/>
          <w:b/>
          <w:bCs/>
          <w:color w:val="000000"/>
          <w:kern w:val="0"/>
          <w:sz w:val="24"/>
          <w:szCs w:val="24"/>
          <w:shd w:val="clear" w:color="auto" w:fill="FFFFFF"/>
        </w:rPr>
      </w:pPr>
    </w:p>
    <w:p w14:paraId="338A5E9A">
      <w:pPr>
        <w:spacing w:line="720" w:lineRule="auto"/>
        <w:ind w:firstLine="1600" w:firstLineChars="500"/>
        <w:rPr>
          <w:rFonts w:hint="eastAsia" w:ascii="方正小标宋简体" w:hAnsi="方正小标宋简体" w:eastAsia="方正小标宋简体" w:cs="仿宋"/>
          <w:bCs/>
          <w:color w:val="000000"/>
          <w:kern w:val="0"/>
          <w:sz w:val="32"/>
          <w:szCs w:val="32"/>
          <w:shd w:val="clear" w:color="auto" w:fill="FFFFFF"/>
          <w:lang w:val="en-US" w:eastAsia="zh-CN"/>
        </w:rPr>
      </w:pPr>
      <w:r>
        <w:rPr>
          <w:rFonts w:hint="eastAsia" w:ascii="方正小标宋简体" w:hAnsi="方正小标宋简体" w:eastAsia="方正小标宋简体" w:cs="仿宋"/>
          <w:bCs/>
          <w:color w:val="000000"/>
          <w:kern w:val="0"/>
          <w:sz w:val="32"/>
          <w:szCs w:val="32"/>
          <w:shd w:val="clear" w:color="auto" w:fill="FFFFFF"/>
        </w:rPr>
        <w:t>项目名称：</w:t>
      </w:r>
      <w:r>
        <w:rPr>
          <w:rFonts w:hint="eastAsia" w:ascii="方正小标宋简体" w:hAnsi="方正小标宋简体" w:eastAsia="方正小标宋简体" w:cs="仿宋"/>
          <w:bCs/>
          <w:color w:val="000000"/>
          <w:kern w:val="0"/>
          <w:sz w:val="32"/>
          <w:szCs w:val="32"/>
          <w:u w:val="single"/>
          <w:shd w:val="clear" w:color="auto" w:fill="FFFFFF"/>
          <w:lang w:val="en-US" w:eastAsia="zh-CN"/>
        </w:rPr>
        <w:t>中国地质大学（武汉）</w:t>
      </w:r>
      <w:r>
        <w:rPr>
          <w:rFonts w:ascii="方正小标宋简体" w:hAnsi="方正小标宋简体" w:eastAsia="方正小标宋简体" w:cs="仿宋"/>
          <w:bCs/>
          <w:color w:val="000000"/>
          <w:kern w:val="0"/>
          <w:sz w:val="32"/>
          <w:szCs w:val="32"/>
          <w:u w:val="single"/>
          <w:shd w:val="clear" w:color="auto" w:fill="FFFFFF"/>
        </w:rPr>
        <w:t>测高</w:t>
      </w:r>
      <w:r>
        <w:rPr>
          <w:rFonts w:hint="eastAsia" w:ascii="方正小标宋简体" w:hAnsi="方正小标宋简体" w:eastAsia="方正小标宋简体" w:cs="仿宋"/>
          <w:bCs/>
          <w:color w:val="000000"/>
          <w:kern w:val="0"/>
          <w:sz w:val="32"/>
          <w:szCs w:val="32"/>
          <w:u w:val="single"/>
          <w:shd w:val="clear" w:color="auto" w:fill="FFFFFF"/>
          <w:lang w:val="en-US" w:eastAsia="zh-CN"/>
        </w:rPr>
        <w:t xml:space="preserve"> </w:t>
      </w:r>
    </w:p>
    <w:p w14:paraId="4CEFE9FE">
      <w:pPr>
        <w:spacing w:line="720" w:lineRule="auto"/>
        <w:ind w:firstLine="1600" w:firstLineChars="500"/>
        <w:rPr>
          <w:rFonts w:hint="default" w:ascii="方正小标宋简体" w:hAnsi="方正小标宋简体" w:eastAsia="方正小标宋简体" w:cs="仿宋"/>
          <w:bCs/>
          <w:color w:val="000000"/>
          <w:kern w:val="0"/>
          <w:sz w:val="32"/>
          <w:szCs w:val="32"/>
          <w:u w:val="single"/>
          <w:shd w:val="clear" w:color="auto" w:fill="FFFFFF"/>
          <w:lang w:val="en-US" w:eastAsia="zh-CN"/>
        </w:rPr>
      </w:pPr>
      <w:r>
        <w:rPr>
          <w:rFonts w:ascii="方正小标宋简体" w:hAnsi="方正小标宋简体" w:eastAsia="方正小标宋简体" w:cs="仿宋"/>
          <w:bCs/>
          <w:color w:val="000000"/>
          <w:kern w:val="0"/>
          <w:sz w:val="32"/>
          <w:szCs w:val="32"/>
          <w:u w:val="single"/>
          <w:shd w:val="clear" w:color="auto" w:fill="FFFFFF"/>
        </w:rPr>
        <w:t>雷达与望远镜设备购置</w:t>
      </w:r>
      <w:r>
        <w:rPr>
          <w:rFonts w:hint="eastAsia" w:ascii="方正小标宋简体" w:hAnsi="方正小标宋简体" w:eastAsia="方正小标宋简体" w:cs="仿宋"/>
          <w:bCs/>
          <w:color w:val="000000"/>
          <w:kern w:val="0"/>
          <w:sz w:val="32"/>
          <w:szCs w:val="32"/>
          <w:u w:val="single"/>
          <w:shd w:val="clear" w:color="auto" w:fill="FFFFFF"/>
          <w:lang w:val="en-US" w:eastAsia="zh-CN"/>
        </w:rPr>
        <w:t xml:space="preserve">               </w:t>
      </w:r>
    </w:p>
    <w:p w14:paraId="2AF0A1FF">
      <w:pPr>
        <w:spacing w:line="720" w:lineRule="auto"/>
        <w:ind w:firstLine="1600" w:firstLineChars="500"/>
        <w:rPr>
          <w:rFonts w:hint="default" w:ascii="方正小标宋简体" w:hAnsi="方正小标宋简体" w:eastAsia="方正小标宋简体" w:cs="仿宋"/>
          <w:bCs/>
          <w:color w:val="000000"/>
          <w:kern w:val="0"/>
          <w:sz w:val="32"/>
          <w:szCs w:val="32"/>
          <w:u w:val="single"/>
          <w:shd w:val="clear" w:color="auto" w:fill="FFFFFF"/>
          <w:lang w:val="en-US" w:eastAsia="zh-CN"/>
        </w:rPr>
      </w:pPr>
      <w:r>
        <w:rPr>
          <w:rFonts w:hint="eastAsia" w:ascii="方正小标宋简体" w:hAnsi="方正小标宋简体" w:eastAsia="方正小标宋简体" w:cs="仿宋"/>
          <w:bCs/>
          <w:color w:val="000000"/>
          <w:kern w:val="0"/>
          <w:sz w:val="32"/>
          <w:szCs w:val="32"/>
          <w:shd w:val="clear" w:color="auto" w:fill="FFFFFF"/>
        </w:rPr>
        <w:t>用户单位：</w:t>
      </w:r>
      <w:r>
        <w:rPr>
          <w:rFonts w:hint="eastAsia" w:ascii="方正小标宋简体" w:hAnsi="方正小标宋简体" w:eastAsia="方正小标宋简体" w:cs="仿宋"/>
          <w:bCs/>
          <w:color w:val="000000"/>
          <w:kern w:val="0"/>
          <w:sz w:val="32"/>
          <w:szCs w:val="32"/>
          <w:u w:val="single"/>
          <w:shd w:val="clear" w:color="auto" w:fill="FFFFFF"/>
        </w:rPr>
        <w:t>地球物理与空间信息学院</w:t>
      </w:r>
      <w:r>
        <w:rPr>
          <w:rFonts w:hint="eastAsia" w:ascii="方正小标宋简体" w:hAnsi="方正小标宋简体" w:eastAsia="方正小标宋简体" w:cs="仿宋"/>
          <w:bCs/>
          <w:color w:val="000000"/>
          <w:kern w:val="0"/>
          <w:sz w:val="32"/>
          <w:szCs w:val="32"/>
          <w:u w:val="single"/>
          <w:shd w:val="clear" w:color="auto" w:fill="FFFFFF"/>
          <w:lang w:val="en-US" w:eastAsia="zh-CN"/>
        </w:rPr>
        <w:t xml:space="preserve">   </w:t>
      </w:r>
    </w:p>
    <w:p w14:paraId="6C837C9D">
      <w:pPr>
        <w:spacing w:line="720" w:lineRule="auto"/>
        <w:ind w:firstLine="1600" w:firstLineChars="500"/>
        <w:rPr>
          <w:rFonts w:hint="default" w:ascii="方正小标宋简体" w:hAnsi="方正小标宋简体" w:eastAsia="方正小标宋简体" w:cs="仿宋"/>
          <w:bCs/>
          <w:color w:val="000000"/>
          <w:kern w:val="0"/>
          <w:sz w:val="32"/>
          <w:szCs w:val="32"/>
          <w:u w:val="single"/>
          <w:shd w:val="clear" w:color="auto" w:fill="FFFFFF"/>
          <w:lang w:val="en-US" w:eastAsia="zh-CN"/>
        </w:rPr>
      </w:pPr>
      <w:r>
        <w:rPr>
          <w:rFonts w:hint="eastAsia" w:ascii="方正小标宋简体" w:hAnsi="方正小标宋简体" w:eastAsia="方正小标宋简体" w:cs="仿宋"/>
          <w:bCs/>
          <w:color w:val="000000"/>
          <w:kern w:val="0"/>
          <w:sz w:val="32"/>
          <w:szCs w:val="32"/>
          <w:shd w:val="clear" w:color="auto" w:fill="FFFFFF"/>
        </w:rPr>
        <w:t>编制时间：</w:t>
      </w:r>
      <w:r>
        <w:rPr>
          <w:rFonts w:hint="eastAsia" w:ascii="方正小标宋简体" w:hAnsi="方正小标宋简体" w:eastAsia="方正小标宋简体" w:cs="仿宋"/>
          <w:bCs/>
          <w:color w:val="000000"/>
          <w:kern w:val="0"/>
          <w:sz w:val="32"/>
          <w:szCs w:val="32"/>
          <w:u w:val="single"/>
          <w:shd w:val="clear" w:color="auto" w:fill="FFFFFF"/>
        </w:rPr>
        <w:t>2026年7月19日</w:t>
      </w:r>
      <w:r>
        <w:rPr>
          <w:rFonts w:hint="eastAsia" w:ascii="方正小标宋简体" w:hAnsi="方正小标宋简体" w:eastAsia="方正小标宋简体" w:cs="仿宋"/>
          <w:bCs/>
          <w:color w:val="000000"/>
          <w:kern w:val="0"/>
          <w:sz w:val="32"/>
          <w:szCs w:val="32"/>
          <w:u w:val="single"/>
          <w:shd w:val="clear" w:color="auto" w:fill="FFFFFF"/>
          <w:lang w:val="en-US" w:eastAsia="zh-CN"/>
        </w:rPr>
        <w:t xml:space="preserve">         </w:t>
      </w:r>
    </w:p>
    <w:p w14:paraId="0B509018">
      <w:pPr>
        <w:rPr>
          <w:rFonts w:hint="eastAsia" w:ascii="仿宋" w:hAnsi="仿宋" w:eastAsia="仿宋"/>
          <w:color w:val="FF0000"/>
          <w:sz w:val="24"/>
          <w:szCs w:val="24"/>
        </w:rPr>
      </w:pPr>
    </w:p>
    <w:p w14:paraId="2CB4A257">
      <w:pPr>
        <w:rPr>
          <w:rFonts w:hint="eastAsia" w:ascii="仿宋" w:hAnsi="仿宋" w:eastAsia="仿宋"/>
          <w:color w:val="FF0000"/>
          <w:sz w:val="24"/>
          <w:szCs w:val="24"/>
        </w:rPr>
      </w:pPr>
    </w:p>
    <w:p w14:paraId="28C4B13C">
      <w:pPr>
        <w:rPr>
          <w:rFonts w:hint="eastAsia" w:ascii="仿宋" w:hAnsi="仿宋" w:eastAsia="仿宋"/>
          <w:color w:val="FF0000"/>
          <w:sz w:val="24"/>
          <w:szCs w:val="24"/>
        </w:rPr>
      </w:pPr>
    </w:p>
    <w:p w14:paraId="1CD0052B">
      <w:pPr>
        <w:rPr>
          <w:rFonts w:hint="eastAsia" w:ascii="仿宋" w:hAnsi="仿宋" w:eastAsia="仿宋"/>
          <w:color w:val="FF0000"/>
          <w:sz w:val="24"/>
          <w:szCs w:val="24"/>
        </w:rPr>
      </w:pPr>
    </w:p>
    <w:p w14:paraId="73630933">
      <w:pPr>
        <w:jc w:val="center"/>
        <w:rPr>
          <w:rFonts w:hint="eastAsia" w:ascii="仿宋" w:hAnsi="仿宋" w:eastAsia="仿宋" w:cs="仿宋"/>
          <w:color w:val="000000"/>
          <w:kern w:val="0"/>
          <w:sz w:val="24"/>
          <w:szCs w:val="24"/>
          <w:shd w:val="clear" w:color="auto" w:fill="FFFFFF"/>
        </w:rPr>
      </w:pPr>
    </w:p>
    <w:p w14:paraId="3964EDC7">
      <w:pPr>
        <w:widowControl/>
        <w:jc w:val="left"/>
        <w:rPr>
          <w:rFonts w:hint="eastAsia" w:ascii="仿宋" w:hAnsi="仿宋" w:eastAsia="仿宋" w:cs="仿宋"/>
          <w:color w:val="000000"/>
          <w:kern w:val="0"/>
          <w:sz w:val="24"/>
          <w:szCs w:val="24"/>
          <w:shd w:val="clear" w:color="auto" w:fill="FFFFFF"/>
        </w:rPr>
      </w:pPr>
      <w:r>
        <w:rPr>
          <w:rFonts w:ascii="仿宋" w:hAnsi="仿宋" w:eastAsia="仿宋" w:cs="仿宋"/>
          <w:color w:val="000000"/>
          <w:kern w:val="0"/>
          <w:sz w:val="24"/>
          <w:szCs w:val="24"/>
          <w:shd w:val="clear" w:color="auto" w:fill="FFFFFF"/>
        </w:rPr>
        <w:br w:type="page"/>
      </w:r>
    </w:p>
    <w:p w14:paraId="7002B5B2">
      <w:pPr>
        <w:jc w:val="center"/>
        <w:rPr>
          <w:rFonts w:hint="eastAsia" w:ascii="仿宋" w:hAnsi="仿宋" w:eastAsia="仿宋" w:cs="仿宋"/>
          <w:b/>
          <w:bCs/>
          <w:color w:val="000000"/>
          <w:kern w:val="0"/>
          <w:sz w:val="24"/>
          <w:szCs w:val="24"/>
          <w:shd w:val="clear" w:color="auto" w:fill="FFFFFF"/>
        </w:rPr>
      </w:pPr>
      <w:r>
        <w:rPr>
          <w:rFonts w:hint="eastAsia" w:ascii="仿宋" w:hAnsi="仿宋" w:eastAsia="仿宋" w:cs="仿宋"/>
          <w:b/>
          <w:bCs/>
          <w:color w:val="000000"/>
          <w:kern w:val="0"/>
          <w:sz w:val="24"/>
          <w:szCs w:val="24"/>
          <w:shd w:val="clear" w:color="auto" w:fill="FFFFFF"/>
        </w:rPr>
        <w:t>编制说明</w:t>
      </w:r>
    </w:p>
    <w:p w14:paraId="330155AA">
      <w:pPr>
        <w:widowControl/>
        <w:spacing w:line="560" w:lineRule="atLeast"/>
        <w:ind w:firstLine="640"/>
        <w:jc w:val="left"/>
        <w:rPr>
          <w:rFonts w:hint="eastAsia" w:ascii="仿宋" w:hAnsi="仿宋" w:eastAsia="仿宋" w:cs="仿宋"/>
          <w:color w:val="000000"/>
          <w:kern w:val="0"/>
          <w:sz w:val="24"/>
          <w:szCs w:val="24"/>
          <w:shd w:val="clear" w:color="auto" w:fill="FFFFFF"/>
        </w:rPr>
      </w:pPr>
    </w:p>
    <w:p w14:paraId="55403917">
      <w:pPr>
        <w:widowControl/>
        <w:spacing w:line="560" w:lineRule="atLeast"/>
        <w:ind w:firstLine="640"/>
        <w:jc w:val="left"/>
        <w:rPr>
          <w:rFonts w:hint="eastAsia" w:ascii="仿宋" w:hAnsi="仿宋" w:eastAsia="仿宋" w:cs="仿宋"/>
          <w:color w:val="000000"/>
          <w:kern w:val="0"/>
          <w:sz w:val="24"/>
          <w:szCs w:val="24"/>
          <w:shd w:val="clear" w:color="auto" w:fill="FFFFFF"/>
        </w:rPr>
      </w:pPr>
      <w:r>
        <w:rPr>
          <w:rFonts w:hint="eastAsia" w:ascii="仿宋" w:hAnsi="仿宋" w:eastAsia="仿宋" w:cs="仿宋"/>
          <w:color w:val="000000"/>
          <w:kern w:val="0"/>
          <w:sz w:val="24"/>
          <w:szCs w:val="24"/>
          <w:shd w:val="clear" w:color="auto" w:fill="FFFFFF"/>
        </w:rPr>
        <w:t>一、用户单位依据咨询、论证、问卷等方式调查的具体情况自行编制采购需求书。</w:t>
      </w:r>
    </w:p>
    <w:p w14:paraId="1BDB1B7F">
      <w:pPr>
        <w:widowControl/>
        <w:spacing w:line="560" w:lineRule="atLeast"/>
        <w:ind w:firstLine="640"/>
        <w:jc w:val="left"/>
        <w:rPr>
          <w:rFonts w:hint="eastAsia" w:ascii="仿宋" w:hAnsi="仿宋" w:eastAsia="仿宋" w:cs="仿宋"/>
          <w:sz w:val="24"/>
          <w:szCs w:val="24"/>
        </w:rPr>
      </w:pPr>
      <w:r>
        <w:rPr>
          <w:rFonts w:hint="eastAsia" w:ascii="仿宋" w:hAnsi="仿宋" w:eastAsia="仿宋" w:cs="仿宋"/>
          <w:color w:val="000000"/>
          <w:kern w:val="0"/>
          <w:sz w:val="24"/>
          <w:szCs w:val="24"/>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3FBA9F71">
      <w:pPr>
        <w:widowControl/>
        <w:spacing w:line="560" w:lineRule="atLeast"/>
        <w:ind w:firstLine="640"/>
        <w:jc w:val="left"/>
        <w:rPr>
          <w:rFonts w:hint="eastAsia" w:ascii="仿宋" w:hAnsi="仿宋" w:eastAsia="仿宋" w:cs="仿宋"/>
          <w:sz w:val="24"/>
          <w:szCs w:val="24"/>
        </w:rPr>
      </w:pPr>
      <w:r>
        <w:rPr>
          <w:rFonts w:hint="eastAsia" w:ascii="仿宋" w:hAnsi="仿宋" w:eastAsia="仿宋" w:cs="仿宋"/>
          <w:color w:val="000000"/>
          <w:kern w:val="0"/>
          <w:sz w:val="24"/>
          <w:szCs w:val="24"/>
          <w:shd w:val="clear" w:color="auto" w:fill="FFFFFF"/>
        </w:rPr>
        <w:t>三、斜体字部分属于提醒内容，编制时应删除。</w:t>
      </w:r>
    </w:p>
    <w:p w14:paraId="758396C0">
      <w:pPr>
        <w:widowControl/>
        <w:spacing w:line="560" w:lineRule="atLeast"/>
        <w:ind w:firstLine="640"/>
        <w:jc w:val="left"/>
        <w:rPr>
          <w:rFonts w:hint="eastAsia" w:ascii="仿宋" w:hAnsi="仿宋" w:eastAsia="仿宋" w:cs="仿宋"/>
          <w:sz w:val="24"/>
          <w:szCs w:val="24"/>
        </w:rPr>
      </w:pPr>
      <w:r>
        <w:rPr>
          <w:rFonts w:hint="eastAsia" w:ascii="仿宋" w:hAnsi="仿宋" w:eastAsia="仿宋" w:cs="仿宋"/>
          <w:color w:val="000000"/>
          <w:kern w:val="0"/>
          <w:sz w:val="24"/>
          <w:szCs w:val="24"/>
          <w:shd w:val="clear" w:color="auto" w:fill="FFFFFF"/>
        </w:rPr>
        <w:t>四、对不适用的内容应删除，并调整相应序号。</w:t>
      </w:r>
    </w:p>
    <w:p w14:paraId="543B48BF">
      <w:pPr>
        <w:rPr>
          <w:rFonts w:hint="eastAsia" w:ascii="仿宋" w:hAnsi="仿宋" w:eastAsia="仿宋"/>
          <w:sz w:val="24"/>
          <w:szCs w:val="24"/>
        </w:rPr>
      </w:pPr>
    </w:p>
    <w:p w14:paraId="0162B11D">
      <w:pPr>
        <w:spacing w:line="360" w:lineRule="auto"/>
        <w:rPr>
          <w:rFonts w:hint="eastAsia" w:ascii="仿宋" w:hAnsi="仿宋" w:eastAsia="仿宋"/>
          <w:sz w:val="24"/>
          <w:szCs w:val="24"/>
        </w:rPr>
      </w:pPr>
    </w:p>
    <w:p w14:paraId="42316453">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7BE2A63B">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4110282F">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23E26B91">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40456102">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40A76092">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70308885">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10F23B19">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37D1ED66">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0B8D2831">
      <w:pPr>
        <w:widowControl/>
        <w:shd w:val="clear" w:color="auto" w:fill="FFFFFF"/>
        <w:spacing w:line="360" w:lineRule="auto"/>
        <w:ind w:firstLine="482" w:firstLineChars="200"/>
        <w:jc w:val="left"/>
        <w:rPr>
          <w:rFonts w:hint="eastAsia" w:ascii="仿宋" w:hAnsi="仿宋" w:eastAsia="仿宋" w:cs="Arial"/>
          <w:b/>
          <w:color w:val="333333"/>
          <w:kern w:val="0"/>
          <w:sz w:val="24"/>
          <w:szCs w:val="24"/>
        </w:rPr>
      </w:pPr>
    </w:p>
    <w:p w14:paraId="414B93E0">
      <w:pPr>
        <w:widowControl/>
        <w:shd w:val="clear" w:color="auto" w:fill="FFFFFF"/>
        <w:spacing w:line="360" w:lineRule="auto"/>
        <w:jc w:val="left"/>
        <w:rPr>
          <w:rFonts w:hint="eastAsia" w:ascii="仿宋" w:hAnsi="仿宋" w:eastAsia="仿宋" w:cs="Arial"/>
          <w:b/>
          <w:color w:val="333333"/>
          <w:kern w:val="0"/>
          <w:sz w:val="24"/>
          <w:szCs w:val="24"/>
        </w:rPr>
      </w:pPr>
    </w:p>
    <w:p w14:paraId="0B74DB6F">
      <w:pPr>
        <w:widowControl/>
        <w:ind w:firstLine="482" w:firstLineChars="200"/>
        <w:jc w:val="left"/>
        <w:rPr>
          <w:rFonts w:hint="eastAsia" w:ascii="仿宋" w:hAnsi="仿宋" w:eastAsia="仿宋" w:cs="仿宋"/>
          <w:b/>
          <w:color w:val="000000"/>
          <w:kern w:val="0"/>
          <w:sz w:val="24"/>
          <w:szCs w:val="24"/>
          <w:shd w:val="clear" w:color="auto" w:fill="FFFFFF"/>
        </w:rPr>
      </w:pPr>
      <w:r>
        <w:rPr>
          <w:rFonts w:ascii="仿宋" w:hAnsi="仿宋" w:eastAsia="仿宋" w:cs="Arial"/>
          <w:b/>
          <w:color w:val="333333"/>
          <w:kern w:val="0"/>
          <w:sz w:val="24"/>
          <w:szCs w:val="24"/>
        </w:rPr>
        <w:br w:type="page"/>
      </w:r>
      <w:r>
        <w:rPr>
          <w:rFonts w:hint="eastAsia" w:ascii="仿宋" w:hAnsi="仿宋" w:eastAsia="仿宋" w:cs="Arial"/>
          <w:b/>
          <w:color w:val="333333"/>
          <w:kern w:val="0"/>
          <w:sz w:val="24"/>
          <w:szCs w:val="24"/>
        </w:rPr>
        <w:t xml:space="preserve">  </w:t>
      </w:r>
      <w:r>
        <w:rPr>
          <w:rFonts w:hint="eastAsia" w:ascii="仿宋" w:hAnsi="仿宋" w:eastAsia="仿宋" w:cs="仿宋"/>
          <w:b/>
          <w:color w:val="000000"/>
          <w:kern w:val="0"/>
          <w:sz w:val="24"/>
          <w:szCs w:val="24"/>
          <w:shd w:val="clear" w:color="auto" w:fill="FFFFFF"/>
        </w:rPr>
        <w:t>一、项目概况</w:t>
      </w:r>
    </w:p>
    <w:p w14:paraId="1D12E9BF">
      <w:pPr>
        <w:spacing w:before="30" w:after="30" w:line="360" w:lineRule="auto"/>
        <w:ind w:firstLine="420"/>
        <w:rPr>
          <w:rFonts w:ascii="仿宋" w:hAnsi="仿宋" w:eastAsia="仿宋"/>
          <w:sz w:val="24"/>
          <w:szCs w:val="24"/>
        </w:rPr>
      </w:pPr>
      <w:r>
        <w:rPr>
          <w:rFonts w:ascii="仿宋" w:hAnsi="仿宋" w:eastAsia="仿宋"/>
          <w:sz w:val="24"/>
          <w:szCs w:val="24"/>
        </w:rPr>
        <w:t>进一步提升拔尖创新人才培养质量和学科科研创新水平，服务国家能源资源安全、深地深海深空探测、地质灾害防控等重大战略需求，学校制定了“面向地球系统科学的地质学类拔尖人才培养实训基地设备更新项目”，其中包含了“</w:t>
      </w:r>
      <w:r>
        <w:rPr>
          <w:rFonts w:hint="eastAsia" w:ascii="仿宋" w:hAnsi="仿宋" w:eastAsia="仿宋"/>
          <w:sz w:val="24"/>
          <w:szCs w:val="24"/>
        </w:rPr>
        <w:t>多站多径斜返测高雷达</w:t>
      </w:r>
      <w:r>
        <w:rPr>
          <w:rFonts w:ascii="仿宋" w:hAnsi="仿宋" w:eastAsia="仿宋"/>
          <w:sz w:val="24"/>
          <w:szCs w:val="24"/>
        </w:rPr>
        <w:t>”（以下简称“斜返散射测高雷达”）的建设。该</w:t>
      </w:r>
      <w:r>
        <w:rPr>
          <w:rFonts w:hint="eastAsia" w:ascii="仿宋" w:hAnsi="仿宋" w:eastAsia="仿宋"/>
          <w:sz w:val="24"/>
          <w:szCs w:val="24"/>
        </w:rPr>
        <w:t>设备</w:t>
      </w:r>
      <w:r>
        <w:rPr>
          <w:rFonts w:ascii="仿宋" w:hAnsi="仿宋" w:eastAsia="仿宋"/>
          <w:sz w:val="24"/>
          <w:szCs w:val="24"/>
        </w:rPr>
        <w:t>建成后，学生可在真实设备上完成天线调试、参数配置、数据采集、频高图解读等全链条实验操作，将课堂知识与工程实践深度融合，极大提升专业实践能力。</w:t>
      </w:r>
      <w:r>
        <w:rPr>
          <w:rFonts w:hint="eastAsia" w:ascii="仿宋" w:hAnsi="仿宋" w:eastAsia="仿宋"/>
          <w:sz w:val="24"/>
          <w:szCs w:val="24"/>
        </w:rPr>
        <w:t>同时，其</w:t>
      </w:r>
      <w:r>
        <w:rPr>
          <w:rFonts w:ascii="仿宋" w:hAnsi="仿宋" w:eastAsia="仿宋"/>
          <w:sz w:val="24"/>
          <w:szCs w:val="24"/>
        </w:rPr>
        <w:t>可承担地球物理学等专业的学生实习实践、科普宣传、校园开放日展示、社会公众科学教育等多项功能，并与学校现有科普资源形成联动，进一步提升学校社会影响力和校园文化建设水平。</w:t>
      </w:r>
    </w:p>
    <w:p w14:paraId="2861A242">
      <w:pPr>
        <w:spacing w:before="30" w:after="30" w:line="360" w:lineRule="auto"/>
        <w:ind w:firstLine="420"/>
        <w:rPr>
          <w:rFonts w:hint="eastAsia" w:ascii="仿宋" w:hAnsi="仿宋" w:eastAsia="仿宋"/>
          <w:sz w:val="24"/>
          <w:szCs w:val="24"/>
        </w:rPr>
      </w:pPr>
      <w:r>
        <w:rPr>
          <w:rFonts w:ascii="仿宋" w:hAnsi="仿宋" w:eastAsia="仿宋"/>
          <w:sz w:val="24"/>
          <w:szCs w:val="24"/>
        </w:rPr>
        <w:t>学校拟建设“行星与太阳望远镜系统”。该系统主要服务地球物理学、空间科学与技术等专业的实习实践、天文观测和科普教学，可用于月球、行星、太阳光球与色球观测，并支持校园开放日和公众科学教育。</w:t>
      </w:r>
    </w:p>
    <w:p w14:paraId="449A774C">
      <w:pPr>
        <w:spacing w:before="30" w:after="30" w:line="360" w:lineRule="auto"/>
        <w:ind w:firstLine="420"/>
        <w:rPr>
          <w:rFonts w:hint="eastAsia" w:ascii="仿宋" w:hAnsi="仿宋" w:eastAsia="仿宋"/>
          <w:sz w:val="24"/>
          <w:szCs w:val="24"/>
        </w:rPr>
      </w:pPr>
      <w:r>
        <w:rPr>
          <w:rFonts w:ascii="仿宋" w:hAnsi="仿宋" w:eastAsia="仿宋"/>
          <w:sz w:val="24"/>
          <w:szCs w:val="24"/>
        </w:rPr>
        <w:t>本</w:t>
      </w:r>
      <w:r>
        <w:rPr>
          <w:rFonts w:hint="eastAsia" w:ascii="仿宋" w:hAnsi="仿宋" w:eastAsia="仿宋"/>
          <w:sz w:val="24"/>
          <w:szCs w:val="24"/>
        </w:rPr>
        <w:t>部分</w:t>
      </w:r>
      <w:r>
        <w:rPr>
          <w:rFonts w:ascii="仿宋" w:hAnsi="仿宋" w:eastAsia="仿宋"/>
          <w:sz w:val="24"/>
          <w:szCs w:val="24"/>
        </w:rPr>
        <w:t>由室外行星与太阳望远镜观测系统、4.5米自动化望远镜穹顶及观测平台、室内成像与仿真系统三部分组成。室外系统部署于采购人指定场地，室内系统部署于南望山校区教学科普场所，形成室外实测与室内演示相结合的教学平台。</w:t>
      </w:r>
    </w:p>
    <w:p w14:paraId="74DF76B9">
      <w:pPr>
        <w:spacing w:before="30" w:after="30" w:line="360" w:lineRule="auto"/>
        <w:ind w:firstLine="420"/>
        <w:rPr>
          <w:rFonts w:hint="eastAsia" w:ascii="仿宋" w:hAnsi="仿宋" w:eastAsia="仿宋"/>
          <w:sz w:val="24"/>
          <w:szCs w:val="24"/>
        </w:rPr>
      </w:pPr>
      <w:r>
        <w:rPr>
          <w:rFonts w:ascii="仿宋" w:hAnsi="仿宋" w:eastAsia="仿宋"/>
          <w:sz w:val="24"/>
          <w:szCs w:val="24"/>
        </w:rPr>
        <w:t>学校现有场地具备设备安装和日常运行的基础条件。供应商应结合现场完成深化设计、设备供货、安装调试、系统联调、安全防护和操作培训，并保证各子系统接口兼容、运行稳定。</w:t>
      </w:r>
    </w:p>
    <w:p w14:paraId="6469FB49">
      <w:pPr>
        <w:widowControl/>
        <w:ind w:firstLine="482" w:firstLineChars="200"/>
        <w:jc w:val="left"/>
        <w:rPr>
          <w:rFonts w:hint="eastAsia" w:ascii="仿宋" w:hAnsi="仿宋" w:eastAsia="仿宋" w:cs="仿宋"/>
          <w:b/>
          <w:color w:val="000000"/>
          <w:kern w:val="0"/>
          <w:sz w:val="24"/>
          <w:szCs w:val="24"/>
          <w:shd w:val="clear" w:color="auto" w:fill="FFFFFF"/>
        </w:rPr>
      </w:pPr>
      <w:r>
        <w:rPr>
          <w:rFonts w:hint="eastAsia" w:ascii="仿宋" w:hAnsi="仿宋" w:eastAsia="仿宋" w:cs="仿宋"/>
          <w:b/>
          <w:color w:val="000000"/>
          <w:kern w:val="0"/>
          <w:sz w:val="24"/>
          <w:szCs w:val="24"/>
          <w:shd w:val="clear" w:color="auto" w:fill="FFFFFF"/>
        </w:rPr>
        <w:t>二、主要标的</w:t>
      </w:r>
    </w:p>
    <w:p w14:paraId="50D9FC81">
      <w:pPr>
        <w:spacing w:after="156" w:afterLines="50" w:line="360" w:lineRule="auto"/>
        <w:ind w:firstLine="480" w:firstLineChars="200"/>
        <w:rPr>
          <w:rFonts w:hint="eastAsia" w:ascii="仿宋" w:hAnsi="仿宋" w:eastAsia="仿宋"/>
          <w:sz w:val="24"/>
          <w:szCs w:val="24"/>
        </w:rPr>
      </w:pPr>
      <w:r>
        <w:rPr>
          <w:rFonts w:hint="eastAsia" w:ascii="仿宋" w:hAnsi="仿宋" w:eastAsia="仿宋"/>
          <w:sz w:val="24"/>
          <w:szCs w:val="24"/>
        </w:rPr>
        <w:t>货物：</w:t>
      </w:r>
      <w:r>
        <w:rPr>
          <w:rFonts w:hint="eastAsia" w:ascii="仿宋" w:hAnsi="仿宋" w:eastAsia="仿宋"/>
          <w:b/>
          <w:sz w:val="24"/>
          <w:szCs w:val="24"/>
        </w:rPr>
        <w:t xml:space="preserve">是否属于科研活动相关采购 </w:t>
      </w:r>
      <w:r>
        <w:rPr>
          <w:rFonts w:hint="eastAsia" w:ascii="仿宋" w:hAnsi="仿宋" w:eastAsia="仿宋"/>
          <w:b/>
          <w:sz w:val="24"/>
          <w:szCs w:val="24"/>
        </w:rPr>
        <w:sym w:font="Wingdings 2" w:char="00A3"/>
      </w:r>
      <w:r>
        <w:rPr>
          <w:rFonts w:hint="eastAsia" w:ascii="仿宋" w:hAnsi="仿宋" w:eastAsia="仿宋"/>
          <w:b/>
          <w:sz w:val="24"/>
          <w:szCs w:val="24"/>
        </w:rPr>
        <w:t xml:space="preserve">是 </w:t>
      </w:r>
      <w:r>
        <w:rPr>
          <w:rFonts w:hint="eastAsia" w:ascii="仿宋" w:hAnsi="仿宋" w:eastAsia="仿宋"/>
          <w:b/>
          <w:sz w:val="24"/>
          <w:szCs w:val="24"/>
        </w:rPr>
        <w:sym w:font="Wingdings 2" w:char="0052"/>
      </w:r>
      <w:r>
        <w:rPr>
          <w:rFonts w:hint="eastAsia" w:ascii="仿宋" w:hAnsi="仿宋" w:eastAsia="仿宋"/>
          <w:b/>
          <w:sz w:val="24"/>
          <w:szCs w:val="24"/>
        </w:rPr>
        <w:t>否</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830"/>
        <w:gridCol w:w="930"/>
        <w:gridCol w:w="470"/>
        <w:gridCol w:w="470"/>
        <w:gridCol w:w="3022"/>
        <w:gridCol w:w="1158"/>
        <w:gridCol w:w="799"/>
      </w:tblGrid>
      <w:tr w14:paraId="71803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2" w:type="pct"/>
            <w:vAlign w:val="center"/>
          </w:tcPr>
          <w:p w14:paraId="55B8CAA9">
            <w:pPr>
              <w:spacing w:line="360" w:lineRule="auto"/>
              <w:jc w:val="center"/>
              <w:rPr>
                <w:rFonts w:hint="eastAsia" w:ascii="仿宋" w:hAnsi="仿宋" w:eastAsia="仿宋"/>
                <w:b/>
                <w:sz w:val="24"/>
                <w:szCs w:val="24"/>
              </w:rPr>
            </w:pPr>
            <w:r>
              <w:rPr>
                <w:rFonts w:hint="eastAsia" w:ascii="仿宋" w:hAnsi="仿宋" w:eastAsia="仿宋"/>
                <w:b/>
                <w:sz w:val="24"/>
                <w:szCs w:val="24"/>
              </w:rPr>
              <w:t>序号</w:t>
            </w:r>
          </w:p>
        </w:tc>
        <w:tc>
          <w:tcPr>
            <w:tcW w:w="487" w:type="pct"/>
            <w:vAlign w:val="center"/>
          </w:tcPr>
          <w:p w14:paraId="2D43A184">
            <w:pPr>
              <w:widowControl/>
              <w:spacing w:line="360" w:lineRule="auto"/>
              <w:jc w:val="center"/>
              <w:rPr>
                <w:rFonts w:hint="eastAsia" w:ascii="仿宋" w:hAnsi="仿宋" w:eastAsia="仿宋"/>
                <w:b/>
                <w:sz w:val="24"/>
                <w:szCs w:val="24"/>
              </w:rPr>
            </w:pPr>
            <w:r>
              <w:rPr>
                <w:rFonts w:hint="eastAsia" w:ascii="仿宋" w:hAnsi="仿宋" w:eastAsia="仿宋"/>
                <w:b/>
                <w:sz w:val="24"/>
                <w:szCs w:val="24"/>
              </w:rPr>
              <w:t>货物</w:t>
            </w:r>
          </w:p>
          <w:p w14:paraId="169822EB">
            <w:pPr>
              <w:widowControl/>
              <w:spacing w:line="360" w:lineRule="auto"/>
              <w:jc w:val="center"/>
              <w:rPr>
                <w:rFonts w:hint="eastAsia" w:ascii="仿宋" w:hAnsi="仿宋" w:eastAsia="仿宋"/>
                <w:b/>
                <w:sz w:val="24"/>
                <w:szCs w:val="24"/>
              </w:rPr>
            </w:pPr>
            <w:r>
              <w:rPr>
                <w:rFonts w:hint="eastAsia" w:ascii="仿宋" w:hAnsi="仿宋" w:eastAsia="仿宋"/>
                <w:b/>
                <w:sz w:val="24"/>
                <w:szCs w:val="24"/>
              </w:rPr>
              <w:t>名称</w:t>
            </w:r>
          </w:p>
        </w:tc>
        <w:tc>
          <w:tcPr>
            <w:tcW w:w="546" w:type="pct"/>
            <w:vAlign w:val="center"/>
          </w:tcPr>
          <w:p w14:paraId="65803C4E">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是否接受进口产品</w:t>
            </w:r>
          </w:p>
        </w:tc>
        <w:tc>
          <w:tcPr>
            <w:tcW w:w="276" w:type="pct"/>
            <w:vAlign w:val="center"/>
          </w:tcPr>
          <w:p w14:paraId="03965940">
            <w:pPr>
              <w:widowControl/>
              <w:spacing w:line="360" w:lineRule="auto"/>
              <w:jc w:val="center"/>
              <w:rPr>
                <w:rFonts w:hint="eastAsia" w:ascii="仿宋" w:hAnsi="仿宋" w:eastAsia="仿宋"/>
                <w:b/>
                <w:sz w:val="24"/>
                <w:szCs w:val="24"/>
              </w:rPr>
            </w:pPr>
            <w:r>
              <w:rPr>
                <w:rFonts w:hint="eastAsia" w:ascii="仿宋" w:hAnsi="仿宋" w:eastAsia="仿宋"/>
                <w:b/>
                <w:sz w:val="24"/>
                <w:szCs w:val="24"/>
              </w:rPr>
              <w:t>单位</w:t>
            </w:r>
          </w:p>
        </w:tc>
        <w:tc>
          <w:tcPr>
            <w:tcW w:w="276" w:type="pct"/>
            <w:vAlign w:val="center"/>
          </w:tcPr>
          <w:p w14:paraId="39EAA8B8">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数量</w:t>
            </w:r>
          </w:p>
        </w:tc>
        <w:tc>
          <w:tcPr>
            <w:tcW w:w="1774" w:type="pct"/>
            <w:vAlign w:val="center"/>
          </w:tcPr>
          <w:p w14:paraId="7A5764B8">
            <w:pPr>
              <w:widowControl/>
              <w:spacing w:line="360" w:lineRule="auto"/>
              <w:jc w:val="center"/>
              <w:rPr>
                <w:rFonts w:hint="eastAsia" w:ascii="仿宋" w:hAnsi="仿宋" w:eastAsia="仿宋"/>
                <w:b/>
                <w:sz w:val="24"/>
                <w:szCs w:val="24"/>
              </w:rPr>
            </w:pPr>
            <w:r>
              <w:rPr>
                <w:rFonts w:hint="eastAsia" w:ascii="仿宋" w:hAnsi="仿宋" w:eastAsia="仿宋"/>
                <w:b/>
                <w:sz w:val="24"/>
                <w:szCs w:val="24"/>
              </w:rPr>
              <w:t>主要规格/性能</w:t>
            </w:r>
          </w:p>
        </w:tc>
        <w:tc>
          <w:tcPr>
            <w:tcW w:w="680" w:type="pct"/>
            <w:vAlign w:val="center"/>
          </w:tcPr>
          <w:p w14:paraId="05BFEACC">
            <w:pPr>
              <w:widowControl/>
              <w:spacing w:line="360" w:lineRule="auto"/>
              <w:jc w:val="center"/>
              <w:rPr>
                <w:rFonts w:hint="eastAsia" w:ascii="仿宋" w:hAnsi="仿宋" w:eastAsia="仿宋"/>
                <w:b/>
                <w:sz w:val="24"/>
                <w:szCs w:val="24"/>
              </w:rPr>
            </w:pPr>
            <w:r>
              <w:rPr>
                <w:rFonts w:hint="eastAsia" w:ascii="仿宋" w:hAnsi="仿宋" w:eastAsia="仿宋"/>
                <w:b/>
                <w:sz w:val="24"/>
                <w:szCs w:val="24"/>
              </w:rPr>
              <w:t>交货期</w:t>
            </w:r>
          </w:p>
        </w:tc>
        <w:tc>
          <w:tcPr>
            <w:tcW w:w="469" w:type="pct"/>
            <w:vAlign w:val="center"/>
          </w:tcPr>
          <w:p w14:paraId="2E9F42A4">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是否为</w:t>
            </w:r>
          </w:p>
          <w:p w14:paraId="2ECC5FB3">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核心产品</w:t>
            </w:r>
          </w:p>
        </w:tc>
      </w:tr>
      <w:tr w14:paraId="49A8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2" w:type="pct"/>
            <w:vAlign w:val="center"/>
          </w:tcPr>
          <w:p w14:paraId="5E2C2425">
            <w:pPr>
              <w:spacing w:line="360" w:lineRule="auto"/>
              <w:jc w:val="center"/>
              <w:rPr>
                <w:rFonts w:hint="eastAsia" w:ascii="仿宋" w:hAnsi="仿宋" w:eastAsia="仿宋"/>
                <w:sz w:val="24"/>
                <w:szCs w:val="24"/>
              </w:rPr>
            </w:pPr>
            <w:r>
              <w:rPr>
                <w:rFonts w:hint="eastAsia" w:ascii="仿宋" w:hAnsi="仿宋" w:eastAsia="仿宋"/>
                <w:sz w:val="24"/>
                <w:szCs w:val="24"/>
              </w:rPr>
              <w:t>1</w:t>
            </w:r>
          </w:p>
        </w:tc>
        <w:tc>
          <w:tcPr>
            <w:tcW w:w="487" w:type="pct"/>
            <w:vAlign w:val="center"/>
          </w:tcPr>
          <w:p w14:paraId="5E7393F4">
            <w:pPr>
              <w:widowControl/>
              <w:spacing w:line="360" w:lineRule="auto"/>
              <w:jc w:val="center"/>
              <w:rPr>
                <w:rFonts w:hint="eastAsia" w:ascii="仿宋" w:hAnsi="仿宋" w:eastAsia="仿宋"/>
                <w:sz w:val="17"/>
              </w:rPr>
            </w:pPr>
            <w:r>
              <w:rPr>
                <w:rFonts w:hint="eastAsia" w:ascii="仿宋" w:hAnsi="仿宋" w:eastAsia="仿宋"/>
                <w:sz w:val="17"/>
              </w:rPr>
              <w:t>多站多径斜返测高雷达</w:t>
            </w:r>
          </w:p>
        </w:tc>
        <w:tc>
          <w:tcPr>
            <w:tcW w:w="546" w:type="pct"/>
            <w:vAlign w:val="center"/>
          </w:tcPr>
          <w:p w14:paraId="12FFE2CB">
            <w:pPr>
              <w:widowControl/>
              <w:spacing w:line="360" w:lineRule="auto"/>
              <w:jc w:val="center"/>
              <w:rPr>
                <w:rFonts w:hint="eastAsia" w:ascii="仿宋" w:hAnsi="仿宋" w:eastAsia="仿宋"/>
                <w:sz w:val="17"/>
              </w:rPr>
            </w:pPr>
            <w:r>
              <w:rPr>
                <w:rFonts w:hint="eastAsia" w:ascii="仿宋" w:hAnsi="仿宋" w:eastAsia="仿宋"/>
                <w:sz w:val="17"/>
              </w:rPr>
              <w:t>否</w:t>
            </w:r>
          </w:p>
        </w:tc>
        <w:tc>
          <w:tcPr>
            <w:tcW w:w="276" w:type="pct"/>
            <w:vAlign w:val="center"/>
          </w:tcPr>
          <w:p w14:paraId="7DAC2F7A">
            <w:pPr>
              <w:widowControl/>
              <w:spacing w:line="360" w:lineRule="auto"/>
              <w:jc w:val="center"/>
              <w:rPr>
                <w:rFonts w:hint="eastAsia" w:ascii="仿宋" w:hAnsi="仿宋" w:eastAsia="仿宋"/>
                <w:sz w:val="17"/>
              </w:rPr>
            </w:pPr>
            <w:r>
              <w:rPr>
                <w:rFonts w:hint="eastAsia" w:ascii="仿宋" w:hAnsi="仿宋" w:eastAsia="仿宋"/>
                <w:sz w:val="17"/>
              </w:rPr>
              <w:t>台</w:t>
            </w:r>
          </w:p>
        </w:tc>
        <w:tc>
          <w:tcPr>
            <w:tcW w:w="276" w:type="pct"/>
            <w:vAlign w:val="center"/>
          </w:tcPr>
          <w:p w14:paraId="51A66231">
            <w:pPr>
              <w:widowControl/>
              <w:spacing w:line="360" w:lineRule="auto"/>
              <w:jc w:val="center"/>
              <w:rPr>
                <w:rFonts w:hint="eastAsia" w:ascii="仿宋" w:hAnsi="仿宋" w:eastAsia="仿宋"/>
                <w:sz w:val="17"/>
              </w:rPr>
            </w:pPr>
            <w:r>
              <w:rPr>
                <w:rFonts w:hint="eastAsia" w:ascii="仿宋" w:hAnsi="仿宋" w:eastAsia="仿宋"/>
                <w:sz w:val="17"/>
              </w:rPr>
              <w:t>1</w:t>
            </w:r>
          </w:p>
        </w:tc>
        <w:tc>
          <w:tcPr>
            <w:tcW w:w="1774" w:type="pct"/>
          </w:tcPr>
          <w:p w14:paraId="7711C9D7">
            <w:pPr>
              <w:widowControl/>
              <w:spacing w:line="360" w:lineRule="auto"/>
              <w:jc w:val="center"/>
              <w:rPr>
                <w:rFonts w:hint="eastAsia" w:ascii="仿宋" w:hAnsi="仿宋" w:eastAsia="仿宋"/>
                <w:sz w:val="17"/>
              </w:rPr>
            </w:pPr>
            <w:r>
              <w:rPr>
                <w:rFonts w:ascii="仿宋" w:hAnsi="仿宋" w:eastAsia="仿宋"/>
                <w:sz w:val="17"/>
              </w:rPr>
              <w:t>多站多径斜返散射测高雷达由1套垂/斜返一体化电离层探测设备、2套斜测接</w:t>
            </w:r>
            <w:r>
              <w:rPr>
                <w:rFonts w:hint="eastAsia" w:ascii="仿宋" w:hAnsi="仿宋" w:eastAsia="仿宋"/>
                <w:sz w:val="17"/>
              </w:rPr>
              <w:t>收</w:t>
            </w:r>
            <w:r>
              <w:rPr>
                <w:rFonts w:ascii="仿宋" w:hAnsi="仿宋" w:eastAsia="仿宋"/>
                <w:sz w:val="17"/>
              </w:rPr>
              <w:t>设备组成</w:t>
            </w:r>
            <w:r>
              <w:rPr>
                <w:rFonts w:hint="eastAsia" w:ascii="仿宋" w:hAnsi="仿宋" w:eastAsia="仿宋"/>
                <w:sz w:val="17"/>
              </w:rPr>
              <w:t>。该系统可实现对电离层结构的垂直和斜返/向探测。</w:t>
            </w:r>
          </w:p>
        </w:tc>
        <w:tc>
          <w:tcPr>
            <w:tcW w:w="680" w:type="pct"/>
          </w:tcPr>
          <w:p w14:paraId="0079275C">
            <w:pPr>
              <w:widowControl/>
              <w:spacing w:line="360" w:lineRule="auto"/>
              <w:jc w:val="center"/>
              <w:rPr>
                <w:rFonts w:hint="eastAsia" w:ascii="仿宋" w:hAnsi="仿宋" w:eastAsia="仿宋"/>
                <w:sz w:val="17"/>
              </w:rPr>
            </w:pPr>
            <w:r>
              <w:rPr>
                <w:rFonts w:hint="eastAsia" w:ascii="仿宋" w:hAnsi="仿宋" w:eastAsia="仿宋"/>
                <w:sz w:val="17"/>
              </w:rPr>
              <w:t>合同签订后90天内交货并完成安装调试</w:t>
            </w:r>
          </w:p>
        </w:tc>
        <w:tc>
          <w:tcPr>
            <w:tcW w:w="469" w:type="pct"/>
            <w:vAlign w:val="center"/>
          </w:tcPr>
          <w:p w14:paraId="42E7976A">
            <w:pPr>
              <w:widowControl/>
              <w:spacing w:line="360" w:lineRule="auto"/>
              <w:jc w:val="center"/>
              <w:rPr>
                <w:rFonts w:hint="eastAsia" w:ascii="仿宋" w:hAnsi="仿宋" w:eastAsia="仿宋"/>
                <w:sz w:val="17"/>
              </w:rPr>
            </w:pPr>
            <w:r>
              <w:rPr>
                <w:rFonts w:hint="eastAsia" w:ascii="仿宋" w:hAnsi="仿宋" w:eastAsia="仿宋"/>
                <w:sz w:val="17"/>
              </w:rPr>
              <w:t>是</w:t>
            </w:r>
          </w:p>
        </w:tc>
      </w:tr>
      <w:tr w14:paraId="3DB77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2" w:type="pct"/>
            <w:vAlign w:val="center"/>
          </w:tcPr>
          <w:p w14:paraId="15B0BC99">
            <w:pPr>
              <w:spacing w:line="360" w:lineRule="auto"/>
              <w:jc w:val="center"/>
              <w:rPr>
                <w:rFonts w:hint="eastAsia" w:ascii="仿宋" w:hAnsi="仿宋" w:eastAsia="仿宋"/>
                <w:sz w:val="24"/>
                <w:szCs w:val="24"/>
              </w:rPr>
            </w:pPr>
            <w:r>
              <w:rPr>
                <w:rFonts w:hint="eastAsia" w:ascii="仿宋" w:hAnsi="仿宋" w:eastAsia="仿宋"/>
                <w:sz w:val="17"/>
              </w:rPr>
              <w:t>2</w:t>
            </w:r>
          </w:p>
        </w:tc>
        <w:tc>
          <w:tcPr>
            <w:tcW w:w="487" w:type="pct"/>
            <w:vAlign w:val="center"/>
          </w:tcPr>
          <w:p w14:paraId="384002F0">
            <w:pPr>
              <w:widowControl/>
              <w:spacing w:line="360" w:lineRule="auto"/>
              <w:jc w:val="center"/>
              <w:rPr>
                <w:rFonts w:hint="eastAsia" w:ascii="仿宋" w:hAnsi="仿宋" w:eastAsia="仿宋"/>
                <w:sz w:val="24"/>
                <w:szCs w:val="24"/>
              </w:rPr>
            </w:pPr>
            <w:r>
              <w:rPr>
                <w:rFonts w:ascii="仿宋" w:hAnsi="仿宋" w:eastAsia="仿宋"/>
                <w:sz w:val="17"/>
              </w:rPr>
              <w:t>行星与太阳望远镜观测系统</w:t>
            </w:r>
          </w:p>
        </w:tc>
        <w:tc>
          <w:tcPr>
            <w:tcW w:w="546" w:type="pct"/>
            <w:vAlign w:val="center"/>
          </w:tcPr>
          <w:p w14:paraId="0ABD845D">
            <w:pPr>
              <w:widowControl/>
              <w:spacing w:line="360" w:lineRule="auto"/>
              <w:jc w:val="center"/>
              <w:rPr>
                <w:rFonts w:hint="eastAsia" w:ascii="仿宋" w:hAnsi="仿宋" w:eastAsia="仿宋"/>
                <w:sz w:val="24"/>
                <w:szCs w:val="24"/>
              </w:rPr>
            </w:pPr>
            <w:r>
              <w:rPr>
                <w:rFonts w:ascii="仿宋" w:hAnsi="仿宋" w:eastAsia="仿宋"/>
                <w:sz w:val="17"/>
              </w:rPr>
              <w:t>否</w:t>
            </w:r>
          </w:p>
        </w:tc>
        <w:tc>
          <w:tcPr>
            <w:tcW w:w="276" w:type="pct"/>
            <w:vAlign w:val="center"/>
          </w:tcPr>
          <w:p w14:paraId="238B88BA">
            <w:pPr>
              <w:widowControl/>
              <w:spacing w:line="360" w:lineRule="auto"/>
              <w:jc w:val="center"/>
              <w:rPr>
                <w:rFonts w:hint="eastAsia" w:ascii="仿宋" w:hAnsi="仿宋" w:eastAsia="仿宋"/>
                <w:sz w:val="24"/>
                <w:szCs w:val="24"/>
              </w:rPr>
            </w:pPr>
            <w:r>
              <w:rPr>
                <w:rFonts w:ascii="仿宋" w:hAnsi="仿宋" w:eastAsia="仿宋"/>
                <w:sz w:val="17"/>
              </w:rPr>
              <w:t>套</w:t>
            </w:r>
          </w:p>
        </w:tc>
        <w:tc>
          <w:tcPr>
            <w:tcW w:w="276" w:type="pct"/>
            <w:vAlign w:val="center"/>
          </w:tcPr>
          <w:p w14:paraId="3B09101A">
            <w:pPr>
              <w:widowControl/>
              <w:spacing w:line="360" w:lineRule="auto"/>
              <w:jc w:val="center"/>
              <w:rPr>
                <w:rFonts w:hint="eastAsia" w:ascii="仿宋" w:hAnsi="仿宋" w:eastAsia="仿宋"/>
                <w:sz w:val="24"/>
                <w:szCs w:val="24"/>
              </w:rPr>
            </w:pPr>
            <w:r>
              <w:rPr>
                <w:rFonts w:ascii="仿宋" w:hAnsi="仿宋" w:eastAsia="仿宋"/>
                <w:sz w:val="17"/>
              </w:rPr>
              <w:t>1</w:t>
            </w:r>
          </w:p>
        </w:tc>
        <w:tc>
          <w:tcPr>
            <w:tcW w:w="1774" w:type="pct"/>
            <w:vAlign w:val="center"/>
          </w:tcPr>
          <w:p w14:paraId="65BB88B0">
            <w:pPr>
              <w:jc w:val="left"/>
              <w:rPr>
                <w:rFonts w:ascii="仿宋" w:hAnsi="仿宋" w:eastAsia="仿宋"/>
                <w:sz w:val="24"/>
                <w:szCs w:val="24"/>
              </w:rPr>
            </w:pPr>
            <w:r>
              <w:rPr>
                <w:rFonts w:ascii="仿宋" w:hAnsi="仿宋" w:eastAsia="仿宋"/>
                <w:sz w:val="17"/>
              </w:rPr>
              <w:t>含大口径行星望远镜、高精度赤道仪、Hα太阳望远镜、太阳安全滤光及高速成像、自动调焦和控制系统。</w:t>
            </w:r>
            <w:r>
              <w:rPr>
                <w:rFonts w:ascii="仿宋" w:hAnsi="仿宋" w:eastAsia="仿宋"/>
                <w:sz w:val="17"/>
              </w:rPr>
              <w:br w:type="textWrapping"/>
            </w:r>
            <w:r>
              <w:rPr>
                <w:rFonts w:ascii="仿宋" w:hAnsi="仿宋" w:eastAsia="仿宋"/>
                <w:sz w:val="17"/>
              </w:rPr>
              <w:t>含直径不小于4.5米的自动化穹顶、独立观测基础、钢结构平台、气象联动、安全防护及配套供电网络。</w:t>
            </w:r>
            <w:r>
              <w:rPr>
                <w:rFonts w:ascii="仿宋" w:hAnsi="仿宋" w:eastAsia="仿宋"/>
                <w:sz w:val="17"/>
              </w:rPr>
              <w:br w:type="textWrapping"/>
            </w:r>
            <w:r>
              <w:rPr>
                <w:rFonts w:ascii="仿宋" w:hAnsi="仿宋" w:eastAsia="仿宋"/>
                <w:sz w:val="17"/>
              </w:rPr>
              <w:t>含数字星空与天体运行仿真、8K级内容播放、VR宇宙探索、互动展示终端及高性能教学工作站。</w:t>
            </w:r>
          </w:p>
        </w:tc>
        <w:tc>
          <w:tcPr>
            <w:tcW w:w="680" w:type="pct"/>
            <w:vAlign w:val="center"/>
          </w:tcPr>
          <w:p w14:paraId="6677C092">
            <w:pPr>
              <w:widowControl/>
              <w:spacing w:line="360" w:lineRule="auto"/>
              <w:jc w:val="center"/>
              <w:rPr>
                <w:rFonts w:hint="eastAsia" w:ascii="仿宋" w:hAnsi="仿宋" w:eastAsia="仿宋"/>
                <w:sz w:val="24"/>
                <w:szCs w:val="24"/>
              </w:rPr>
            </w:pPr>
            <w:r>
              <w:rPr>
                <w:rFonts w:ascii="仿宋" w:hAnsi="仿宋" w:eastAsia="仿宋"/>
                <w:sz w:val="17"/>
              </w:rPr>
              <w:t>合同签订后90天内完成供货、安装和调试</w:t>
            </w:r>
          </w:p>
        </w:tc>
        <w:tc>
          <w:tcPr>
            <w:tcW w:w="469" w:type="pct"/>
            <w:vAlign w:val="center"/>
          </w:tcPr>
          <w:p w14:paraId="1B238BD0">
            <w:pPr>
              <w:widowControl/>
              <w:spacing w:line="360" w:lineRule="auto"/>
              <w:jc w:val="center"/>
              <w:rPr>
                <w:rFonts w:hint="eastAsia" w:ascii="仿宋" w:hAnsi="仿宋" w:eastAsia="仿宋"/>
                <w:sz w:val="24"/>
                <w:szCs w:val="24"/>
              </w:rPr>
            </w:pPr>
            <w:r>
              <w:rPr>
                <w:rFonts w:ascii="仿宋" w:hAnsi="仿宋" w:eastAsia="仿宋"/>
                <w:sz w:val="17"/>
              </w:rPr>
              <w:t>是</w:t>
            </w:r>
          </w:p>
        </w:tc>
      </w:tr>
    </w:tbl>
    <w:p w14:paraId="62C339FA">
      <w:pPr>
        <w:widowControl/>
        <w:ind w:firstLine="482" w:firstLineChars="200"/>
        <w:jc w:val="left"/>
        <w:rPr>
          <w:rFonts w:hint="eastAsia" w:ascii="仿宋" w:hAnsi="仿宋" w:eastAsia="仿宋" w:cs="仿宋"/>
          <w:b/>
          <w:color w:val="000000"/>
          <w:kern w:val="0"/>
          <w:sz w:val="24"/>
          <w:szCs w:val="24"/>
          <w:shd w:val="clear" w:color="auto" w:fill="FFFFFF"/>
        </w:rPr>
      </w:pPr>
    </w:p>
    <w:p w14:paraId="769412B2">
      <w:pPr>
        <w:widowControl/>
        <w:ind w:firstLine="482" w:firstLineChars="200"/>
        <w:jc w:val="left"/>
        <w:rPr>
          <w:rFonts w:hint="eastAsia" w:ascii="仿宋" w:hAnsi="仿宋" w:eastAsia="仿宋" w:cs="仿宋"/>
          <w:b/>
          <w:color w:val="000000"/>
          <w:kern w:val="0"/>
          <w:sz w:val="24"/>
          <w:szCs w:val="24"/>
          <w:shd w:val="clear" w:color="auto" w:fill="FFFFFF"/>
        </w:rPr>
      </w:pPr>
      <w:r>
        <w:rPr>
          <w:rFonts w:hint="eastAsia" w:ascii="仿宋" w:hAnsi="仿宋" w:eastAsia="仿宋" w:cs="仿宋"/>
          <w:b/>
          <w:color w:val="000000"/>
          <w:kern w:val="0"/>
          <w:sz w:val="24"/>
          <w:szCs w:val="24"/>
          <w:shd w:val="clear" w:color="auto" w:fill="FFFFFF"/>
        </w:rPr>
        <w:t>三、技术要求</w:t>
      </w:r>
    </w:p>
    <w:p w14:paraId="299E1F91">
      <w:pPr>
        <w:widowControl/>
        <w:shd w:val="clear" w:color="auto" w:fill="FFFFFF"/>
        <w:spacing w:line="360" w:lineRule="auto"/>
        <w:ind w:firstLine="480" w:firstLineChars="200"/>
        <w:rPr>
          <w:rFonts w:hint="eastAsia" w:ascii="仿宋" w:hAnsi="仿宋" w:eastAsia="仿宋" w:cs="仿宋"/>
          <w:color w:val="000000"/>
          <w:kern w:val="0"/>
          <w:sz w:val="24"/>
          <w:szCs w:val="24"/>
          <w:shd w:val="clear" w:color="auto" w:fill="FFFFFF"/>
        </w:rPr>
      </w:pPr>
      <w:r>
        <w:rPr>
          <w:rFonts w:hint="eastAsia" w:ascii="仿宋" w:hAnsi="仿宋" w:eastAsia="仿宋" w:cs="仿宋"/>
          <w:color w:val="000000"/>
          <w:kern w:val="0"/>
          <w:sz w:val="24"/>
          <w:szCs w:val="24"/>
          <w:shd w:val="clear" w:color="auto" w:fill="FFFFFF"/>
        </w:rPr>
        <w:t>（一）（多站多径斜返测高雷达）（1台）</w:t>
      </w:r>
    </w:p>
    <w:p w14:paraId="322DBC8B">
      <w:pPr>
        <w:widowControl/>
        <w:shd w:val="clear" w:color="auto" w:fill="FFFFFF"/>
        <w:spacing w:line="360" w:lineRule="auto"/>
        <w:ind w:firstLine="480" w:firstLineChars="200"/>
        <w:jc w:val="left"/>
        <w:rPr>
          <w:rFonts w:hint="eastAsia" w:ascii="仿宋" w:hAnsi="仿宋" w:eastAsia="仿宋"/>
          <w:sz w:val="24"/>
          <w:szCs w:val="24"/>
        </w:rPr>
      </w:pPr>
      <w:r>
        <w:rPr>
          <w:rFonts w:hint="eastAsia" w:ascii="仿宋" w:hAnsi="仿宋" w:eastAsia="仿宋"/>
          <w:sz w:val="24"/>
          <w:szCs w:val="24"/>
        </w:rPr>
        <w:t>1.功能要求：本设备系统的“一发三收”分布式设计恰好能完美支撑这一教学需求。该设备系统的核心功能总结如下（1）基础观测与参数获取（对标传统测高仪教学）。（2）区域化与多维度的电离层不规则体探测（教学升级核心）。（3）此外，借助分布接收天线组阵（小型天线组阵接收）和波束合成测向技术，系统具备斜向接收和斜返接收能力，能够有效地将观测维度从传统的一维垂直剖面扩展到二维水平面。（4）灵活的配置与先进性（教学支撑）</w:t>
      </w:r>
    </w:p>
    <w:p w14:paraId="430B650E">
      <w:pPr>
        <w:widowControl/>
        <w:shd w:val="clear" w:color="auto" w:fill="FFFFFF"/>
        <w:spacing w:line="360" w:lineRule="auto"/>
        <w:ind w:firstLine="480" w:firstLineChars="200"/>
        <w:jc w:val="left"/>
        <w:rPr>
          <w:rFonts w:hint="eastAsia" w:ascii="仿宋" w:hAnsi="仿宋" w:eastAsia="仿宋"/>
          <w:sz w:val="24"/>
          <w:szCs w:val="24"/>
        </w:rPr>
      </w:pPr>
      <w:r>
        <w:rPr>
          <w:rFonts w:hint="eastAsia" w:ascii="仿宋" w:hAnsi="仿宋" w:eastAsia="仿宋"/>
          <w:sz w:val="24"/>
          <w:szCs w:val="24"/>
        </w:rPr>
        <w:t>2.应遵循的相关国家标准、行业标准、地方标准等标准、规范：</w:t>
      </w:r>
    </w:p>
    <w:p w14:paraId="2730B1A4">
      <w:pPr>
        <w:widowControl/>
        <w:shd w:val="clear" w:color="auto" w:fill="FFFFFF"/>
        <w:spacing w:line="360" w:lineRule="auto"/>
        <w:ind w:firstLine="480" w:firstLineChars="200"/>
        <w:jc w:val="left"/>
        <w:rPr>
          <w:rFonts w:hint="eastAsia" w:ascii="仿宋" w:hAnsi="仿宋" w:eastAsia="仿宋" w:cs="Arial"/>
          <w:color w:val="333333"/>
          <w:kern w:val="0"/>
          <w:sz w:val="24"/>
          <w:szCs w:val="24"/>
        </w:rPr>
      </w:pPr>
      <w:r>
        <w:rPr>
          <w:rFonts w:ascii="仿宋" w:hAnsi="仿宋" w:eastAsia="仿宋" w:cs="Arial"/>
          <w:color w:val="333333"/>
          <w:kern w:val="0"/>
          <w:sz w:val="24"/>
          <w:szCs w:val="24"/>
        </w:rPr>
        <w:t>多站多径斜返散射测高雷达由1套垂/斜返一体化电离层探测设备、2套斜测接受设备组成。</w:t>
      </w:r>
      <w:r>
        <w:rPr>
          <w:rFonts w:hint="eastAsia" w:ascii="仿宋" w:hAnsi="仿宋" w:eastAsia="仿宋" w:cs="Arial"/>
          <w:color w:val="333333"/>
          <w:kern w:val="0"/>
          <w:sz w:val="24"/>
          <w:szCs w:val="24"/>
        </w:rPr>
        <w:t>其主要技术指标遵循空间物理领域垂测和斜测类雷达的行业标准。具体的关键技术指标如下表中内容。</w:t>
      </w:r>
    </w:p>
    <w:p w14:paraId="121B951B">
      <w:pPr>
        <w:widowControl/>
        <w:shd w:val="clear" w:color="auto" w:fill="FFFFFF"/>
        <w:spacing w:line="360" w:lineRule="auto"/>
        <w:ind w:firstLine="480" w:firstLineChars="200"/>
        <w:jc w:val="left"/>
        <w:rPr>
          <w:rFonts w:hint="eastAsia" w:ascii="仿宋" w:hAnsi="仿宋" w:eastAsia="仿宋"/>
          <w:sz w:val="24"/>
          <w:szCs w:val="24"/>
        </w:rPr>
      </w:pPr>
      <w:r>
        <w:rPr>
          <w:rFonts w:hint="eastAsia" w:ascii="仿宋" w:hAnsi="仿宋" w:eastAsia="仿宋"/>
          <w:sz w:val="24"/>
          <w:szCs w:val="24"/>
        </w:rPr>
        <w:t>3.后续运营维护、升级更新、备品备件等要求：</w:t>
      </w:r>
    </w:p>
    <w:p w14:paraId="4733ECF2">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运维服务：供应商需提供≥2年免费设备质保，质保期内每半年开展1次现场巡检，故障响应时间≤24小时，修复时间≤72小时；提供原厂操作培训（不少于4人次·天，含理论+实操），确保操作人员独立掌握设备使用及基础维护技能。</w:t>
      </w:r>
    </w:p>
    <w:p w14:paraId="2E15EC56">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升级更新：设备软件件支持终身免费升级，若后续数据处理软件升级，需同步更新。</w:t>
      </w:r>
    </w:p>
    <w:p w14:paraId="1A1872B7">
      <w:pPr>
        <w:widowControl/>
        <w:shd w:val="clear" w:color="auto" w:fill="FFFFFF"/>
        <w:spacing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备品备件：质保期外提供全生命周期备件供应保障。需在用户提出需求后7个工作日内进行维护；提供备件价格清单，确保价格不高于市场同期水平。</w:t>
      </w:r>
    </w:p>
    <w:p w14:paraId="36F5974B">
      <w:pPr>
        <w:spacing w:line="360" w:lineRule="auto"/>
        <w:ind w:firstLine="480" w:firstLineChars="200"/>
        <w:outlineLvl w:val="0"/>
        <w:rPr>
          <w:rFonts w:hint="eastAsia" w:ascii="仿宋" w:hAnsi="仿宋" w:eastAsia="仿宋"/>
          <w:sz w:val="24"/>
          <w:szCs w:val="24"/>
        </w:rPr>
      </w:pPr>
      <w:r>
        <w:rPr>
          <w:rFonts w:hint="eastAsia" w:ascii="仿宋" w:hAnsi="仿宋" w:eastAsia="仿宋"/>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069B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6B9F6A9">
            <w:pPr>
              <w:spacing w:line="360" w:lineRule="auto"/>
              <w:jc w:val="center"/>
              <w:rPr>
                <w:rFonts w:hint="eastAsia" w:ascii="仿宋" w:hAnsi="仿宋" w:eastAsia="仿宋"/>
                <w:b/>
                <w:sz w:val="24"/>
                <w:szCs w:val="24"/>
              </w:rPr>
            </w:pPr>
            <w:r>
              <w:rPr>
                <w:rFonts w:hint="eastAsia" w:ascii="仿宋" w:hAnsi="仿宋" w:eastAsia="仿宋"/>
                <w:b/>
                <w:sz w:val="24"/>
                <w:szCs w:val="24"/>
              </w:rPr>
              <w:t>序号</w:t>
            </w:r>
          </w:p>
        </w:tc>
        <w:tc>
          <w:tcPr>
            <w:tcW w:w="1134" w:type="dxa"/>
            <w:vAlign w:val="center"/>
          </w:tcPr>
          <w:p w14:paraId="27385FC7">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指标项</w:t>
            </w:r>
          </w:p>
        </w:tc>
        <w:tc>
          <w:tcPr>
            <w:tcW w:w="1388" w:type="dxa"/>
            <w:vAlign w:val="center"/>
          </w:tcPr>
          <w:p w14:paraId="38BF197A">
            <w:pPr>
              <w:widowControl/>
              <w:spacing w:line="360" w:lineRule="auto"/>
              <w:jc w:val="center"/>
              <w:rPr>
                <w:rFonts w:hint="eastAsia" w:ascii="仿宋" w:hAnsi="仿宋" w:eastAsia="仿宋"/>
                <w:b/>
                <w:sz w:val="24"/>
                <w:szCs w:val="24"/>
              </w:rPr>
            </w:pPr>
            <w:r>
              <w:rPr>
                <w:rFonts w:hint="eastAsia" w:ascii="仿宋" w:hAnsi="仿宋" w:eastAsia="仿宋"/>
                <w:b/>
                <w:sz w:val="24"/>
                <w:szCs w:val="24"/>
              </w:rPr>
              <w:t>重要性</w:t>
            </w:r>
          </w:p>
        </w:tc>
        <w:tc>
          <w:tcPr>
            <w:tcW w:w="2864" w:type="dxa"/>
            <w:vAlign w:val="center"/>
          </w:tcPr>
          <w:p w14:paraId="16414267">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指标要求</w:t>
            </w:r>
          </w:p>
        </w:tc>
        <w:tc>
          <w:tcPr>
            <w:tcW w:w="2126" w:type="dxa"/>
            <w:vAlign w:val="center"/>
          </w:tcPr>
          <w:p w14:paraId="609D1E2A">
            <w:pPr>
              <w:widowControl/>
              <w:spacing w:line="360" w:lineRule="auto"/>
              <w:jc w:val="center"/>
              <w:rPr>
                <w:rFonts w:hint="eastAsia" w:ascii="仿宋" w:hAnsi="仿宋" w:eastAsia="仿宋"/>
                <w:b/>
                <w:sz w:val="24"/>
                <w:szCs w:val="24"/>
              </w:rPr>
            </w:pPr>
            <w:r>
              <w:rPr>
                <w:rFonts w:hint="eastAsia" w:ascii="仿宋" w:hAnsi="仿宋" w:eastAsia="仿宋"/>
                <w:b/>
                <w:sz w:val="24"/>
                <w:szCs w:val="24"/>
              </w:rPr>
              <w:t>证明材料要求</w:t>
            </w:r>
          </w:p>
        </w:tc>
      </w:tr>
      <w:tr w14:paraId="5E48B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A0D55D2">
            <w:pPr>
              <w:spacing w:line="360" w:lineRule="auto"/>
              <w:jc w:val="center"/>
              <w:rPr>
                <w:rFonts w:hint="eastAsia" w:ascii="仿宋" w:hAnsi="仿宋" w:eastAsia="仿宋"/>
                <w:b/>
                <w:sz w:val="24"/>
                <w:szCs w:val="24"/>
              </w:rPr>
            </w:pPr>
            <w:r>
              <w:rPr>
                <w:rFonts w:hint="eastAsia" w:ascii="仿宋" w:hAnsi="仿宋" w:eastAsia="仿宋"/>
                <w:b/>
                <w:sz w:val="24"/>
                <w:szCs w:val="24"/>
              </w:rPr>
              <w:t>1</w:t>
            </w:r>
          </w:p>
        </w:tc>
        <w:tc>
          <w:tcPr>
            <w:tcW w:w="1134" w:type="dxa"/>
            <w:vAlign w:val="center"/>
          </w:tcPr>
          <w:p w14:paraId="3CA20785">
            <w:pPr>
              <w:widowControl/>
              <w:spacing w:line="360" w:lineRule="auto"/>
              <w:jc w:val="center"/>
              <w:rPr>
                <w:rFonts w:hint="eastAsia" w:ascii="仿宋" w:hAnsi="仿宋" w:eastAsia="仿宋"/>
                <w:b/>
                <w:sz w:val="24"/>
                <w:szCs w:val="24"/>
              </w:rPr>
            </w:pPr>
            <w:r>
              <w:rPr>
                <w:rFonts w:hint="eastAsia" w:ascii="仿宋" w:hAnsi="仿宋" w:eastAsia="仿宋"/>
                <w:b/>
                <w:sz w:val="24"/>
                <w:szCs w:val="24"/>
              </w:rPr>
              <w:t>雷达组成部件</w:t>
            </w:r>
          </w:p>
        </w:tc>
        <w:tc>
          <w:tcPr>
            <w:tcW w:w="1388" w:type="dxa"/>
            <w:vAlign w:val="center"/>
          </w:tcPr>
          <w:p w14:paraId="2F0755EE">
            <w:pPr>
              <w:widowControl/>
              <w:spacing w:line="360" w:lineRule="auto"/>
              <w:jc w:val="center"/>
              <w:rPr>
                <w:rFonts w:hint="eastAsia" w:ascii="仿宋" w:hAnsi="仿宋" w:eastAsia="仿宋"/>
                <w:b/>
                <w:sz w:val="24"/>
                <w:szCs w:val="24"/>
              </w:rPr>
            </w:pPr>
            <w:r>
              <w:rPr>
                <w:rFonts w:hint="eastAsia" w:ascii="仿宋_GB2312" w:hAnsi="宋体" w:eastAsia="仿宋_GB2312"/>
                <w:sz w:val="24"/>
                <w:szCs w:val="24"/>
                <w:lang w:val="zh-CN"/>
              </w:rPr>
              <w:t>★</w:t>
            </w:r>
          </w:p>
        </w:tc>
        <w:tc>
          <w:tcPr>
            <w:tcW w:w="2864" w:type="dxa"/>
            <w:vAlign w:val="center"/>
          </w:tcPr>
          <w:p w14:paraId="4778526B">
            <w:pPr>
              <w:widowControl/>
              <w:spacing w:line="360" w:lineRule="auto"/>
              <w:jc w:val="center"/>
              <w:rPr>
                <w:rFonts w:hint="eastAsia" w:ascii="仿宋" w:hAnsi="仿宋" w:eastAsia="仿宋"/>
                <w:b/>
                <w:sz w:val="24"/>
                <w:szCs w:val="24"/>
              </w:rPr>
            </w:pPr>
            <w:r>
              <w:rPr>
                <w:rFonts w:hint="eastAsia" w:ascii="仿宋" w:hAnsi="仿宋" w:eastAsia="仿宋"/>
                <w:b/>
                <w:sz w:val="24"/>
                <w:szCs w:val="24"/>
              </w:rPr>
              <w:t>一套垂/斜返一体化电离层探测设备、2套斜测接受设备组成</w:t>
            </w:r>
          </w:p>
        </w:tc>
        <w:tc>
          <w:tcPr>
            <w:tcW w:w="2126" w:type="dxa"/>
            <w:vAlign w:val="center"/>
          </w:tcPr>
          <w:p w14:paraId="6DFEAD3B">
            <w:pPr>
              <w:widowControl/>
              <w:spacing w:line="360" w:lineRule="auto"/>
              <w:jc w:val="center"/>
              <w:rPr>
                <w:rFonts w:hint="eastAsia" w:ascii="仿宋" w:hAnsi="仿宋" w:eastAsia="仿宋"/>
                <w:b/>
                <w:sz w:val="24"/>
                <w:szCs w:val="24"/>
              </w:rPr>
            </w:pPr>
            <w:r>
              <w:rPr>
                <w:rFonts w:hint="eastAsia" w:ascii="仿宋" w:hAnsi="仿宋" w:eastAsia="仿宋"/>
                <w:sz w:val="24"/>
                <w:szCs w:val="24"/>
              </w:rPr>
              <w:t>是</w:t>
            </w:r>
          </w:p>
        </w:tc>
      </w:tr>
      <w:tr w14:paraId="3C3B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6036B15">
            <w:pPr>
              <w:spacing w:line="360" w:lineRule="auto"/>
              <w:jc w:val="center"/>
              <w:rPr>
                <w:rFonts w:hint="eastAsia" w:ascii="仿宋" w:hAnsi="仿宋" w:eastAsia="仿宋"/>
                <w:sz w:val="24"/>
                <w:szCs w:val="24"/>
              </w:rPr>
            </w:pPr>
            <w:r>
              <w:rPr>
                <w:rFonts w:hint="eastAsia" w:ascii="仿宋" w:hAnsi="仿宋" w:eastAsia="仿宋"/>
                <w:sz w:val="24"/>
                <w:szCs w:val="24"/>
              </w:rPr>
              <w:t>2</w:t>
            </w:r>
          </w:p>
        </w:tc>
        <w:tc>
          <w:tcPr>
            <w:tcW w:w="1134" w:type="dxa"/>
            <w:vAlign w:val="center"/>
          </w:tcPr>
          <w:p w14:paraId="6C2FDC71">
            <w:pPr>
              <w:widowControl/>
              <w:spacing w:line="360" w:lineRule="auto"/>
              <w:jc w:val="center"/>
              <w:rPr>
                <w:rFonts w:hint="eastAsia" w:ascii="仿宋" w:hAnsi="仿宋" w:eastAsia="仿宋"/>
                <w:sz w:val="24"/>
                <w:szCs w:val="24"/>
              </w:rPr>
            </w:pPr>
            <w:r>
              <w:rPr>
                <w:rFonts w:hint="eastAsia" w:ascii="仿宋" w:hAnsi="仿宋" w:eastAsia="仿宋"/>
                <w:sz w:val="24"/>
                <w:szCs w:val="24"/>
              </w:rPr>
              <w:t>工作频段</w:t>
            </w:r>
          </w:p>
        </w:tc>
        <w:tc>
          <w:tcPr>
            <w:tcW w:w="1388" w:type="dxa"/>
            <w:vAlign w:val="center"/>
          </w:tcPr>
          <w:p w14:paraId="0328D6C3">
            <w:pPr>
              <w:widowControl/>
              <w:spacing w:line="360" w:lineRule="auto"/>
              <w:jc w:val="center"/>
              <w:rPr>
                <w:rFonts w:hint="eastAsia" w:ascii="仿宋" w:hAnsi="仿宋" w:eastAsia="仿宋"/>
                <w:sz w:val="24"/>
                <w:szCs w:val="24"/>
              </w:rPr>
            </w:pPr>
            <w:r>
              <w:rPr>
                <w:rFonts w:hint="eastAsia" w:ascii="仿宋_GB2312" w:hAnsi="宋体" w:eastAsia="仿宋_GB2312"/>
                <w:sz w:val="24"/>
                <w:szCs w:val="24"/>
                <w:lang w:val="zh-CN"/>
              </w:rPr>
              <w:t>★</w:t>
            </w:r>
          </w:p>
        </w:tc>
        <w:tc>
          <w:tcPr>
            <w:tcW w:w="2864" w:type="dxa"/>
            <w:vAlign w:val="center"/>
          </w:tcPr>
          <w:p w14:paraId="50C3A61E">
            <w:pPr>
              <w:widowControl/>
              <w:spacing w:line="360" w:lineRule="auto"/>
              <w:jc w:val="center"/>
              <w:rPr>
                <w:rFonts w:hint="eastAsia" w:ascii="仿宋" w:hAnsi="仿宋" w:eastAsia="仿宋"/>
                <w:sz w:val="24"/>
                <w:szCs w:val="24"/>
              </w:rPr>
            </w:pPr>
            <w:r>
              <w:rPr>
                <w:rFonts w:hint="eastAsia" w:ascii="仿宋" w:hAnsi="仿宋" w:eastAsia="仿宋" w:cs="Arial"/>
                <w:color w:val="333333"/>
                <w:kern w:val="0"/>
                <w:sz w:val="24"/>
                <w:szCs w:val="24"/>
              </w:rPr>
              <w:t>覆盖</w:t>
            </w:r>
            <w:r>
              <w:rPr>
                <w:rFonts w:ascii="仿宋" w:hAnsi="仿宋" w:eastAsia="仿宋" w:cs="Arial"/>
                <w:color w:val="333333"/>
                <w:kern w:val="0"/>
                <w:sz w:val="24"/>
                <w:szCs w:val="24"/>
              </w:rPr>
              <w:t xml:space="preserve">10 MHz-30MHz(斜向返回)， </w:t>
            </w:r>
            <w:r>
              <w:rPr>
                <w:rFonts w:hint="eastAsia" w:ascii="仿宋" w:hAnsi="仿宋" w:eastAsia="仿宋" w:cs="Arial"/>
                <w:color w:val="333333"/>
                <w:kern w:val="0"/>
                <w:sz w:val="24"/>
                <w:szCs w:val="24"/>
              </w:rPr>
              <w:t>覆盖</w:t>
            </w:r>
            <w:r>
              <w:rPr>
                <w:rFonts w:ascii="仿宋" w:hAnsi="仿宋" w:eastAsia="仿宋" w:cs="Arial"/>
                <w:color w:val="333333"/>
                <w:kern w:val="0"/>
                <w:sz w:val="24"/>
                <w:szCs w:val="24"/>
              </w:rPr>
              <w:t>3-30MHz (垂测)</w:t>
            </w:r>
          </w:p>
        </w:tc>
        <w:tc>
          <w:tcPr>
            <w:tcW w:w="2126" w:type="dxa"/>
            <w:vAlign w:val="center"/>
          </w:tcPr>
          <w:p w14:paraId="7CC8BE57">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1B866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E92C420">
            <w:pPr>
              <w:spacing w:line="360" w:lineRule="auto"/>
              <w:jc w:val="center"/>
              <w:rPr>
                <w:rFonts w:hint="eastAsia" w:ascii="仿宋" w:hAnsi="仿宋" w:eastAsia="仿宋"/>
                <w:sz w:val="24"/>
                <w:szCs w:val="24"/>
              </w:rPr>
            </w:pPr>
            <w:r>
              <w:rPr>
                <w:rFonts w:hint="eastAsia" w:ascii="仿宋" w:hAnsi="仿宋" w:eastAsia="仿宋"/>
                <w:sz w:val="24"/>
                <w:szCs w:val="24"/>
              </w:rPr>
              <w:t>3</w:t>
            </w:r>
          </w:p>
        </w:tc>
        <w:tc>
          <w:tcPr>
            <w:tcW w:w="1134" w:type="dxa"/>
            <w:vAlign w:val="center"/>
          </w:tcPr>
          <w:p w14:paraId="1F7AD199">
            <w:pPr>
              <w:widowControl/>
              <w:spacing w:line="360" w:lineRule="auto"/>
              <w:jc w:val="center"/>
              <w:rPr>
                <w:rFonts w:hint="eastAsia" w:ascii="仿宋" w:hAnsi="仿宋" w:eastAsia="仿宋"/>
                <w:sz w:val="24"/>
                <w:szCs w:val="24"/>
              </w:rPr>
            </w:pPr>
            <w:r>
              <w:rPr>
                <w:rFonts w:ascii="仿宋" w:hAnsi="仿宋" w:eastAsia="仿宋" w:cs="Arial"/>
                <w:color w:val="333333"/>
                <w:kern w:val="0"/>
                <w:sz w:val="24"/>
                <w:szCs w:val="24"/>
              </w:rPr>
              <w:t>工作模式</w:t>
            </w:r>
          </w:p>
        </w:tc>
        <w:tc>
          <w:tcPr>
            <w:tcW w:w="1388" w:type="dxa"/>
            <w:vAlign w:val="center"/>
          </w:tcPr>
          <w:p w14:paraId="45C7A97B">
            <w:pPr>
              <w:widowControl/>
              <w:spacing w:line="360" w:lineRule="auto"/>
              <w:jc w:val="center"/>
              <w:rPr>
                <w:rFonts w:hint="eastAsia" w:ascii="仿宋" w:hAnsi="仿宋" w:eastAsia="仿宋"/>
                <w:sz w:val="24"/>
                <w:szCs w:val="24"/>
              </w:rPr>
            </w:pPr>
            <w:r>
              <w:rPr>
                <w:rFonts w:hint="eastAsia" w:ascii="仿宋_GB2312" w:hAnsi="宋体" w:eastAsia="仿宋_GB2312"/>
                <w:sz w:val="24"/>
                <w:szCs w:val="24"/>
                <w:lang w:val="zh-CN"/>
              </w:rPr>
              <w:t>★</w:t>
            </w:r>
          </w:p>
        </w:tc>
        <w:tc>
          <w:tcPr>
            <w:tcW w:w="2864" w:type="dxa"/>
            <w:vAlign w:val="center"/>
          </w:tcPr>
          <w:p w14:paraId="17BDB7CA">
            <w:pPr>
              <w:widowControl/>
              <w:spacing w:line="360" w:lineRule="auto"/>
              <w:jc w:val="center"/>
              <w:rPr>
                <w:rFonts w:hint="eastAsia" w:ascii="仿宋" w:hAnsi="仿宋" w:eastAsia="仿宋"/>
                <w:sz w:val="24"/>
                <w:szCs w:val="24"/>
              </w:rPr>
            </w:pPr>
            <w:r>
              <w:rPr>
                <w:rFonts w:ascii="仿宋" w:hAnsi="仿宋" w:eastAsia="仿宋" w:cs="Arial"/>
                <w:color w:val="333333"/>
                <w:kern w:val="0"/>
                <w:sz w:val="24"/>
                <w:szCs w:val="24"/>
              </w:rPr>
              <w:t>垂直探测、斜向返回探测</w:t>
            </w:r>
          </w:p>
        </w:tc>
        <w:tc>
          <w:tcPr>
            <w:tcW w:w="2126" w:type="dxa"/>
            <w:vAlign w:val="center"/>
          </w:tcPr>
          <w:p w14:paraId="64408DA2">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7E0AE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DBB3B00">
            <w:pPr>
              <w:spacing w:line="360" w:lineRule="auto"/>
              <w:jc w:val="center"/>
              <w:rPr>
                <w:rFonts w:hint="eastAsia" w:ascii="仿宋" w:hAnsi="仿宋" w:eastAsia="仿宋"/>
                <w:sz w:val="24"/>
                <w:szCs w:val="24"/>
              </w:rPr>
            </w:pPr>
            <w:r>
              <w:rPr>
                <w:rFonts w:hint="eastAsia" w:ascii="仿宋" w:hAnsi="仿宋" w:eastAsia="仿宋"/>
                <w:sz w:val="24"/>
                <w:szCs w:val="24"/>
              </w:rPr>
              <w:t>4</w:t>
            </w:r>
          </w:p>
        </w:tc>
        <w:tc>
          <w:tcPr>
            <w:tcW w:w="1134" w:type="dxa"/>
            <w:vAlign w:val="center"/>
          </w:tcPr>
          <w:p w14:paraId="62D324A6">
            <w:pPr>
              <w:widowControl/>
              <w:spacing w:line="360" w:lineRule="auto"/>
              <w:jc w:val="center"/>
              <w:rPr>
                <w:rFonts w:hint="eastAsia" w:ascii="仿宋" w:hAnsi="仿宋" w:eastAsia="仿宋"/>
                <w:sz w:val="24"/>
                <w:szCs w:val="24"/>
              </w:rPr>
            </w:pPr>
            <w:r>
              <w:rPr>
                <w:rFonts w:ascii="仿宋" w:hAnsi="仿宋" w:eastAsia="仿宋" w:cs="Arial"/>
                <w:color w:val="333333"/>
                <w:kern w:val="0"/>
                <w:sz w:val="24"/>
                <w:szCs w:val="24"/>
              </w:rPr>
              <w:t>探测周期</w:t>
            </w:r>
          </w:p>
        </w:tc>
        <w:tc>
          <w:tcPr>
            <w:tcW w:w="1388" w:type="dxa"/>
            <w:vAlign w:val="center"/>
          </w:tcPr>
          <w:p w14:paraId="5931D03E">
            <w:pPr>
              <w:widowControl/>
              <w:spacing w:line="360" w:lineRule="auto"/>
              <w:jc w:val="center"/>
              <w:rPr>
                <w:rFonts w:hint="eastAsia" w:ascii="仿宋" w:hAnsi="仿宋" w:eastAsia="仿宋"/>
                <w:sz w:val="24"/>
                <w:szCs w:val="24"/>
              </w:rPr>
            </w:pPr>
            <w:r>
              <w:rPr>
                <w:rFonts w:hint="eastAsia" w:ascii="仿宋_GB2312" w:hAnsi="宋体" w:eastAsia="仿宋_GB2312"/>
                <w:sz w:val="24"/>
                <w:szCs w:val="24"/>
                <w:lang w:val="zh-CN"/>
              </w:rPr>
              <w:t>#</w:t>
            </w:r>
          </w:p>
        </w:tc>
        <w:tc>
          <w:tcPr>
            <w:tcW w:w="2864" w:type="dxa"/>
            <w:vAlign w:val="center"/>
          </w:tcPr>
          <w:p w14:paraId="670EAF7D">
            <w:pPr>
              <w:widowControl/>
              <w:spacing w:line="360" w:lineRule="auto"/>
              <w:jc w:val="center"/>
              <w:rPr>
                <w:rFonts w:hint="eastAsia" w:ascii="仿宋" w:hAnsi="仿宋" w:eastAsia="仿宋"/>
                <w:sz w:val="24"/>
                <w:szCs w:val="24"/>
              </w:rPr>
            </w:pPr>
            <w:r>
              <w:rPr>
                <w:rFonts w:ascii="仿宋" w:hAnsi="仿宋" w:eastAsia="仿宋" w:cs="Arial"/>
                <w:color w:val="333333"/>
                <w:kern w:val="0"/>
                <w:sz w:val="24"/>
                <w:szCs w:val="24"/>
              </w:rPr>
              <w:t>垂直探测周期</w:t>
            </w:r>
            <w:r>
              <w:rPr>
                <w:rFonts w:hint="eastAsia" w:ascii="仿宋" w:hAnsi="仿宋" w:eastAsia="仿宋" w:cs="Arial"/>
                <w:color w:val="333333"/>
                <w:kern w:val="0"/>
                <w:sz w:val="24"/>
                <w:szCs w:val="24"/>
              </w:rPr>
              <w:t>范围包括</w:t>
            </w:r>
            <w:r>
              <w:rPr>
                <w:rFonts w:ascii="仿宋" w:hAnsi="仿宋" w:eastAsia="仿宋" w:cs="Arial"/>
                <w:color w:val="333333"/>
                <w:kern w:val="0"/>
                <w:sz w:val="24"/>
                <w:szCs w:val="24"/>
              </w:rPr>
              <w:t>15 min、 5 min、 2min； （4）斜向返回探测周期</w:t>
            </w:r>
            <w:r>
              <w:rPr>
                <w:rFonts w:hint="eastAsia" w:ascii="仿宋" w:hAnsi="仿宋" w:eastAsia="仿宋" w:cs="Arial"/>
                <w:color w:val="333333"/>
                <w:kern w:val="0"/>
                <w:sz w:val="24"/>
                <w:szCs w:val="24"/>
              </w:rPr>
              <w:t>范围包括</w:t>
            </w:r>
            <w:r>
              <w:rPr>
                <w:rFonts w:ascii="仿宋" w:hAnsi="仿宋" w:eastAsia="仿宋" w:cs="Arial"/>
                <w:color w:val="333333"/>
                <w:kern w:val="0"/>
                <w:sz w:val="24"/>
                <w:szCs w:val="24"/>
              </w:rPr>
              <w:t>：15 min、 5 min</w:t>
            </w:r>
          </w:p>
        </w:tc>
        <w:tc>
          <w:tcPr>
            <w:tcW w:w="2126" w:type="dxa"/>
            <w:vAlign w:val="center"/>
          </w:tcPr>
          <w:p w14:paraId="396F4DDD">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5164F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4A60C3E">
            <w:pPr>
              <w:spacing w:line="360" w:lineRule="auto"/>
              <w:jc w:val="center"/>
              <w:rPr>
                <w:rFonts w:hint="eastAsia" w:ascii="仿宋" w:hAnsi="仿宋" w:eastAsia="仿宋"/>
                <w:sz w:val="24"/>
                <w:szCs w:val="24"/>
              </w:rPr>
            </w:pPr>
            <w:r>
              <w:rPr>
                <w:rFonts w:hint="eastAsia" w:ascii="仿宋" w:hAnsi="仿宋" w:eastAsia="仿宋"/>
                <w:sz w:val="24"/>
                <w:szCs w:val="24"/>
              </w:rPr>
              <w:t>5</w:t>
            </w:r>
          </w:p>
        </w:tc>
        <w:tc>
          <w:tcPr>
            <w:tcW w:w="1134" w:type="dxa"/>
            <w:vAlign w:val="center"/>
          </w:tcPr>
          <w:p w14:paraId="71304AB6">
            <w:pPr>
              <w:widowControl/>
              <w:spacing w:line="360" w:lineRule="auto"/>
              <w:jc w:val="center"/>
              <w:rPr>
                <w:rFonts w:hint="eastAsia" w:ascii="仿宋" w:hAnsi="仿宋" w:eastAsia="仿宋"/>
                <w:sz w:val="24"/>
                <w:szCs w:val="24"/>
              </w:rPr>
            </w:pPr>
            <w:r>
              <w:rPr>
                <w:rFonts w:ascii="仿宋" w:hAnsi="仿宋" w:eastAsia="仿宋" w:cs="Arial"/>
                <w:color w:val="333333"/>
                <w:kern w:val="0"/>
                <w:sz w:val="24"/>
                <w:szCs w:val="24"/>
              </w:rPr>
              <w:t>发射功率</w:t>
            </w:r>
          </w:p>
        </w:tc>
        <w:tc>
          <w:tcPr>
            <w:tcW w:w="1388" w:type="dxa"/>
            <w:vAlign w:val="center"/>
          </w:tcPr>
          <w:p w14:paraId="64AF1E0D">
            <w:pPr>
              <w:widowControl/>
              <w:spacing w:line="360" w:lineRule="auto"/>
              <w:jc w:val="center"/>
              <w:rPr>
                <w:rFonts w:hint="eastAsia" w:ascii="仿宋" w:hAnsi="仿宋" w:eastAsia="仿宋"/>
                <w:sz w:val="24"/>
                <w:szCs w:val="24"/>
              </w:rPr>
            </w:pPr>
            <w:r>
              <w:rPr>
                <w:rFonts w:hint="eastAsia" w:ascii="仿宋_GB2312" w:hAnsi="宋体" w:eastAsia="仿宋_GB2312"/>
                <w:sz w:val="24"/>
                <w:szCs w:val="24"/>
                <w:lang w:val="zh-CN"/>
              </w:rPr>
              <w:t>#</w:t>
            </w:r>
          </w:p>
        </w:tc>
        <w:tc>
          <w:tcPr>
            <w:tcW w:w="2864" w:type="dxa"/>
            <w:vAlign w:val="center"/>
          </w:tcPr>
          <w:p w14:paraId="2D20D554">
            <w:pPr>
              <w:widowControl/>
              <w:spacing w:line="360" w:lineRule="auto"/>
              <w:jc w:val="center"/>
              <w:rPr>
                <w:rFonts w:hint="eastAsia" w:ascii="仿宋" w:hAnsi="仿宋" w:eastAsia="仿宋"/>
                <w:sz w:val="24"/>
                <w:szCs w:val="24"/>
              </w:rPr>
            </w:pPr>
            <w:r>
              <w:rPr>
                <w:rFonts w:hint="eastAsia" w:ascii="仿宋" w:hAnsi="仿宋" w:eastAsia="仿宋" w:cs="Arial"/>
                <w:color w:val="333333"/>
                <w:kern w:val="0"/>
                <w:sz w:val="24"/>
                <w:szCs w:val="24"/>
              </w:rPr>
              <w:t>发射功率</w:t>
            </w:r>
            <w:r>
              <w:rPr>
                <w:rFonts w:ascii="仿宋" w:hAnsi="仿宋" w:eastAsia="仿宋" w:cs="Arial"/>
                <w:color w:val="333333"/>
                <w:kern w:val="0"/>
                <w:sz w:val="24"/>
                <w:szCs w:val="24"/>
              </w:rPr>
              <w:t>&lt;=1000 W （双通道，垂测）， &lt;=5000 W （单通道，斜向返回探测）</w:t>
            </w:r>
          </w:p>
        </w:tc>
        <w:tc>
          <w:tcPr>
            <w:tcW w:w="2126" w:type="dxa"/>
            <w:vAlign w:val="center"/>
          </w:tcPr>
          <w:p w14:paraId="5FA4D3FA">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12B51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A52967F">
            <w:pPr>
              <w:spacing w:line="360" w:lineRule="auto"/>
              <w:jc w:val="center"/>
              <w:rPr>
                <w:rFonts w:hint="eastAsia" w:ascii="仿宋" w:hAnsi="仿宋" w:eastAsia="仿宋"/>
                <w:sz w:val="24"/>
                <w:szCs w:val="24"/>
              </w:rPr>
            </w:pPr>
            <w:r>
              <w:rPr>
                <w:rFonts w:hint="eastAsia" w:ascii="仿宋" w:hAnsi="仿宋" w:eastAsia="仿宋"/>
                <w:sz w:val="24"/>
                <w:szCs w:val="24"/>
              </w:rPr>
              <w:t>6</w:t>
            </w:r>
          </w:p>
        </w:tc>
        <w:tc>
          <w:tcPr>
            <w:tcW w:w="1134" w:type="dxa"/>
            <w:vAlign w:val="center"/>
          </w:tcPr>
          <w:p w14:paraId="3D64617A">
            <w:pPr>
              <w:widowControl/>
              <w:spacing w:line="360" w:lineRule="auto"/>
              <w:jc w:val="center"/>
              <w:rPr>
                <w:rFonts w:hint="eastAsia" w:ascii="仿宋" w:hAnsi="仿宋" w:eastAsia="仿宋" w:cs="Arial"/>
                <w:color w:val="333333"/>
                <w:kern w:val="0"/>
                <w:sz w:val="24"/>
                <w:szCs w:val="24"/>
              </w:rPr>
            </w:pPr>
            <w:r>
              <w:rPr>
                <w:rFonts w:ascii="仿宋" w:hAnsi="仿宋" w:eastAsia="仿宋" w:cs="Arial"/>
                <w:color w:val="333333"/>
                <w:kern w:val="0"/>
                <w:sz w:val="24"/>
                <w:szCs w:val="24"/>
              </w:rPr>
              <w:t>接收灵敏度</w:t>
            </w:r>
          </w:p>
        </w:tc>
        <w:tc>
          <w:tcPr>
            <w:tcW w:w="1388" w:type="dxa"/>
            <w:vAlign w:val="center"/>
          </w:tcPr>
          <w:p w14:paraId="4EFC48E8">
            <w:pPr>
              <w:widowControl/>
              <w:spacing w:line="360" w:lineRule="auto"/>
              <w:jc w:val="center"/>
              <w:rPr>
                <w:rFonts w:hint="eastAsia" w:ascii="仿宋" w:hAnsi="仿宋" w:eastAsia="仿宋"/>
                <w:sz w:val="24"/>
                <w:szCs w:val="24"/>
              </w:rPr>
            </w:pPr>
            <w:r>
              <w:rPr>
                <w:rFonts w:hint="eastAsia" w:ascii="仿宋_GB2312" w:hAnsi="宋体" w:eastAsia="仿宋_GB2312"/>
                <w:sz w:val="24"/>
                <w:szCs w:val="24"/>
                <w:lang w:val="zh-CN"/>
              </w:rPr>
              <w:t>#</w:t>
            </w:r>
          </w:p>
        </w:tc>
        <w:tc>
          <w:tcPr>
            <w:tcW w:w="2864" w:type="dxa"/>
            <w:vAlign w:val="center"/>
          </w:tcPr>
          <w:p w14:paraId="3F85BFFA">
            <w:pPr>
              <w:widowControl/>
              <w:spacing w:line="360" w:lineRule="auto"/>
              <w:jc w:val="center"/>
              <w:rPr>
                <w:rFonts w:hint="eastAsia" w:ascii="仿宋" w:hAnsi="仿宋" w:eastAsia="仿宋" w:cs="Arial"/>
                <w:color w:val="333333"/>
                <w:kern w:val="0"/>
                <w:sz w:val="24"/>
                <w:szCs w:val="24"/>
              </w:rPr>
            </w:pPr>
            <w:r>
              <w:rPr>
                <w:rFonts w:hint="eastAsia" w:ascii="仿宋" w:hAnsi="仿宋" w:eastAsia="仿宋" w:cs="Arial"/>
                <w:color w:val="333333"/>
                <w:kern w:val="0"/>
                <w:sz w:val="24"/>
                <w:szCs w:val="24"/>
              </w:rPr>
              <w:t>接收灵敏度</w:t>
            </w:r>
            <w:r>
              <w:rPr>
                <w:rFonts w:ascii="仿宋" w:hAnsi="仿宋" w:eastAsia="仿宋" w:cs="Arial"/>
                <w:color w:val="333333"/>
                <w:kern w:val="0"/>
                <w:sz w:val="24"/>
                <w:szCs w:val="24"/>
              </w:rPr>
              <w:t>&lt;=-117 dBm</w:t>
            </w:r>
          </w:p>
        </w:tc>
        <w:tc>
          <w:tcPr>
            <w:tcW w:w="2126" w:type="dxa"/>
            <w:vAlign w:val="center"/>
          </w:tcPr>
          <w:p w14:paraId="0922AF8B">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145B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7ADA194">
            <w:pPr>
              <w:spacing w:line="360" w:lineRule="auto"/>
              <w:jc w:val="center"/>
              <w:rPr>
                <w:rFonts w:hint="eastAsia" w:ascii="仿宋" w:hAnsi="仿宋" w:eastAsia="仿宋"/>
                <w:sz w:val="24"/>
                <w:szCs w:val="24"/>
              </w:rPr>
            </w:pPr>
            <w:r>
              <w:rPr>
                <w:rFonts w:hint="eastAsia" w:ascii="仿宋" w:hAnsi="仿宋" w:eastAsia="仿宋"/>
                <w:sz w:val="24"/>
                <w:szCs w:val="24"/>
              </w:rPr>
              <w:t>7</w:t>
            </w:r>
          </w:p>
        </w:tc>
        <w:tc>
          <w:tcPr>
            <w:tcW w:w="1134" w:type="dxa"/>
            <w:vAlign w:val="center"/>
          </w:tcPr>
          <w:p w14:paraId="6B1C8ABF">
            <w:pPr>
              <w:widowControl/>
              <w:spacing w:line="360" w:lineRule="auto"/>
              <w:jc w:val="center"/>
              <w:rPr>
                <w:rFonts w:hint="eastAsia" w:ascii="仿宋" w:hAnsi="仿宋" w:eastAsia="仿宋" w:cs="Arial"/>
                <w:color w:val="333333"/>
                <w:kern w:val="0"/>
                <w:sz w:val="24"/>
                <w:szCs w:val="24"/>
              </w:rPr>
            </w:pPr>
            <w:r>
              <w:rPr>
                <w:rFonts w:ascii="仿宋" w:hAnsi="仿宋" w:eastAsia="仿宋" w:cs="Arial"/>
                <w:color w:val="333333"/>
                <w:kern w:val="0"/>
                <w:sz w:val="24"/>
                <w:szCs w:val="24"/>
              </w:rPr>
              <w:t>接收动态范围</w:t>
            </w:r>
          </w:p>
        </w:tc>
        <w:tc>
          <w:tcPr>
            <w:tcW w:w="1388" w:type="dxa"/>
            <w:vAlign w:val="center"/>
          </w:tcPr>
          <w:p w14:paraId="4103B560">
            <w:pPr>
              <w:widowControl/>
              <w:spacing w:line="360" w:lineRule="auto"/>
              <w:jc w:val="center"/>
              <w:rPr>
                <w:rFonts w:hint="eastAsia" w:ascii="仿宋" w:hAnsi="仿宋" w:eastAsia="仿宋"/>
                <w:sz w:val="24"/>
                <w:szCs w:val="24"/>
              </w:rPr>
            </w:pPr>
            <w:r>
              <w:rPr>
                <w:rFonts w:hint="eastAsia" w:ascii="仿宋_GB2312" w:hAnsi="宋体" w:eastAsia="仿宋_GB2312"/>
                <w:sz w:val="24"/>
                <w:szCs w:val="24"/>
                <w:lang w:val="zh-CN"/>
              </w:rPr>
              <w:t>#</w:t>
            </w:r>
          </w:p>
        </w:tc>
        <w:tc>
          <w:tcPr>
            <w:tcW w:w="2864" w:type="dxa"/>
            <w:vAlign w:val="center"/>
          </w:tcPr>
          <w:p w14:paraId="4652049B">
            <w:pPr>
              <w:widowControl/>
              <w:spacing w:line="360" w:lineRule="auto"/>
              <w:jc w:val="center"/>
              <w:rPr>
                <w:rFonts w:hint="eastAsia" w:ascii="仿宋" w:hAnsi="仿宋" w:eastAsia="仿宋" w:cs="Arial"/>
                <w:color w:val="333333"/>
                <w:kern w:val="0"/>
                <w:sz w:val="24"/>
                <w:szCs w:val="24"/>
              </w:rPr>
            </w:pPr>
            <w:r>
              <w:rPr>
                <w:rFonts w:hint="eastAsia" w:ascii="仿宋" w:hAnsi="仿宋" w:eastAsia="仿宋" w:cs="Arial"/>
                <w:color w:val="333333"/>
                <w:kern w:val="0"/>
                <w:sz w:val="24"/>
                <w:szCs w:val="24"/>
              </w:rPr>
              <w:t>接收动态范围</w:t>
            </w:r>
            <w:r>
              <w:rPr>
                <w:rFonts w:ascii="仿宋" w:hAnsi="仿宋" w:eastAsia="仿宋" w:cs="Arial"/>
                <w:color w:val="333333"/>
                <w:kern w:val="0"/>
                <w:sz w:val="24"/>
                <w:szCs w:val="24"/>
              </w:rPr>
              <w:t>&gt;=80 dB</w:t>
            </w:r>
          </w:p>
        </w:tc>
        <w:tc>
          <w:tcPr>
            <w:tcW w:w="2126" w:type="dxa"/>
            <w:vAlign w:val="center"/>
          </w:tcPr>
          <w:p w14:paraId="53879B41">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74AF5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53FFAD5">
            <w:pPr>
              <w:spacing w:line="360" w:lineRule="auto"/>
              <w:jc w:val="center"/>
              <w:rPr>
                <w:rFonts w:hint="eastAsia" w:ascii="仿宋" w:hAnsi="仿宋" w:eastAsia="仿宋"/>
                <w:sz w:val="24"/>
                <w:szCs w:val="24"/>
              </w:rPr>
            </w:pPr>
            <w:r>
              <w:rPr>
                <w:rFonts w:hint="eastAsia" w:ascii="仿宋" w:hAnsi="仿宋" w:eastAsia="仿宋"/>
                <w:sz w:val="24"/>
                <w:szCs w:val="24"/>
              </w:rPr>
              <w:t>8</w:t>
            </w:r>
          </w:p>
        </w:tc>
        <w:tc>
          <w:tcPr>
            <w:tcW w:w="1134" w:type="dxa"/>
            <w:vAlign w:val="center"/>
          </w:tcPr>
          <w:p w14:paraId="2286780D">
            <w:pPr>
              <w:widowControl/>
              <w:spacing w:line="360" w:lineRule="auto"/>
              <w:jc w:val="center"/>
              <w:rPr>
                <w:rFonts w:hint="eastAsia" w:ascii="仿宋" w:hAnsi="仿宋" w:eastAsia="仿宋" w:cs="Arial"/>
                <w:color w:val="333333"/>
                <w:kern w:val="0"/>
                <w:sz w:val="24"/>
                <w:szCs w:val="24"/>
              </w:rPr>
            </w:pPr>
            <w:r>
              <w:rPr>
                <w:rFonts w:ascii="仿宋" w:hAnsi="仿宋" w:eastAsia="仿宋" w:cs="Arial"/>
                <w:color w:val="333333"/>
                <w:kern w:val="0"/>
                <w:sz w:val="24"/>
                <w:szCs w:val="24"/>
              </w:rPr>
              <w:t>发射天线</w:t>
            </w:r>
          </w:p>
        </w:tc>
        <w:tc>
          <w:tcPr>
            <w:tcW w:w="1388" w:type="dxa"/>
            <w:vAlign w:val="center"/>
          </w:tcPr>
          <w:p w14:paraId="1BB846D1">
            <w:pPr>
              <w:widowControl/>
              <w:spacing w:line="360" w:lineRule="auto"/>
              <w:jc w:val="center"/>
              <w:rPr>
                <w:rFonts w:hint="eastAsia" w:ascii="仿宋" w:hAnsi="仿宋" w:eastAsia="仿宋"/>
                <w:sz w:val="24"/>
                <w:szCs w:val="24"/>
              </w:rPr>
            </w:pPr>
            <w:r>
              <w:rPr>
                <w:rFonts w:hint="eastAsia" w:ascii="仿宋_GB2312" w:hAnsi="宋体" w:eastAsia="仿宋_GB2312"/>
                <w:sz w:val="24"/>
                <w:szCs w:val="24"/>
                <w:lang w:val="zh-CN"/>
              </w:rPr>
              <w:t>#</w:t>
            </w:r>
          </w:p>
        </w:tc>
        <w:tc>
          <w:tcPr>
            <w:tcW w:w="2864" w:type="dxa"/>
            <w:vAlign w:val="center"/>
          </w:tcPr>
          <w:p w14:paraId="07818D55">
            <w:pPr>
              <w:widowControl/>
              <w:spacing w:line="360" w:lineRule="auto"/>
              <w:jc w:val="center"/>
              <w:rPr>
                <w:rFonts w:hint="eastAsia" w:ascii="仿宋" w:hAnsi="仿宋" w:eastAsia="仿宋" w:cs="Arial"/>
                <w:color w:val="333333"/>
                <w:kern w:val="0"/>
                <w:sz w:val="24"/>
                <w:szCs w:val="24"/>
              </w:rPr>
            </w:pPr>
            <w:r>
              <w:rPr>
                <w:rFonts w:ascii="仿宋" w:hAnsi="仿宋" w:eastAsia="仿宋" w:cs="Arial"/>
                <w:color w:val="333333"/>
                <w:kern w:val="0"/>
                <w:sz w:val="24"/>
                <w:szCs w:val="24"/>
              </w:rPr>
              <w:t>发射天线：对数周期天线，宽度</w:t>
            </w:r>
            <w:r>
              <w:rPr>
                <w:rFonts w:hint="eastAsia" w:ascii="仿宋" w:hAnsi="仿宋" w:eastAsia="仿宋" w:cs="Arial"/>
                <w:color w:val="333333"/>
                <w:kern w:val="0"/>
                <w:sz w:val="24"/>
                <w:szCs w:val="24"/>
              </w:rPr>
              <w:t>约</w:t>
            </w:r>
            <w:r>
              <w:rPr>
                <w:rFonts w:ascii="仿宋" w:hAnsi="仿宋" w:eastAsia="仿宋" w:cs="Arial"/>
                <w:color w:val="333333"/>
                <w:kern w:val="0"/>
                <w:sz w:val="24"/>
                <w:szCs w:val="24"/>
              </w:rPr>
              <w:t>15mx15m，架高</w:t>
            </w:r>
            <w:r>
              <w:rPr>
                <w:rFonts w:hint="eastAsia" w:ascii="仿宋" w:hAnsi="仿宋" w:eastAsia="仿宋" w:cs="Arial"/>
                <w:color w:val="333333"/>
                <w:kern w:val="0"/>
                <w:sz w:val="24"/>
                <w:szCs w:val="24"/>
              </w:rPr>
              <w:t>约</w:t>
            </w:r>
            <w:r>
              <w:rPr>
                <w:rFonts w:ascii="仿宋" w:hAnsi="仿宋" w:eastAsia="仿宋" w:cs="Arial"/>
                <w:color w:val="333333"/>
                <w:kern w:val="0"/>
                <w:sz w:val="24"/>
                <w:szCs w:val="24"/>
              </w:rPr>
              <w:t>10m； 垂测采用折合阵子天线，长度</w:t>
            </w:r>
            <w:r>
              <w:rPr>
                <w:rFonts w:hint="eastAsia" w:ascii="仿宋" w:hAnsi="仿宋" w:eastAsia="仿宋" w:cs="Arial"/>
                <w:color w:val="333333"/>
                <w:kern w:val="0"/>
                <w:sz w:val="24"/>
                <w:szCs w:val="24"/>
              </w:rPr>
              <w:t>约</w:t>
            </w:r>
            <w:r>
              <w:rPr>
                <w:rFonts w:ascii="仿宋" w:hAnsi="仿宋" w:eastAsia="仿宋" w:cs="Arial"/>
                <w:color w:val="333333"/>
                <w:kern w:val="0"/>
                <w:sz w:val="24"/>
                <w:szCs w:val="24"/>
              </w:rPr>
              <w:t>30 m，架高</w:t>
            </w:r>
            <w:r>
              <w:rPr>
                <w:rFonts w:hint="eastAsia" w:ascii="仿宋" w:hAnsi="仿宋" w:eastAsia="仿宋" w:cs="Arial"/>
                <w:color w:val="333333"/>
                <w:kern w:val="0"/>
                <w:sz w:val="24"/>
                <w:szCs w:val="24"/>
              </w:rPr>
              <w:t>约</w:t>
            </w:r>
            <w:r>
              <w:rPr>
                <w:rFonts w:ascii="仿宋" w:hAnsi="仿宋" w:eastAsia="仿宋" w:cs="Arial"/>
                <w:color w:val="333333"/>
                <w:kern w:val="0"/>
                <w:sz w:val="24"/>
                <w:szCs w:val="24"/>
              </w:rPr>
              <w:t>10m。</w:t>
            </w:r>
          </w:p>
        </w:tc>
        <w:tc>
          <w:tcPr>
            <w:tcW w:w="2126" w:type="dxa"/>
            <w:vAlign w:val="center"/>
          </w:tcPr>
          <w:p w14:paraId="10179B59">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7272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4E65AC6">
            <w:pPr>
              <w:spacing w:line="360" w:lineRule="auto"/>
              <w:jc w:val="center"/>
              <w:rPr>
                <w:rFonts w:hint="eastAsia" w:ascii="仿宋" w:hAnsi="仿宋" w:eastAsia="仿宋"/>
                <w:sz w:val="24"/>
                <w:szCs w:val="24"/>
              </w:rPr>
            </w:pPr>
            <w:r>
              <w:rPr>
                <w:rFonts w:hint="eastAsia" w:ascii="仿宋" w:hAnsi="仿宋" w:eastAsia="仿宋"/>
                <w:sz w:val="24"/>
                <w:szCs w:val="24"/>
              </w:rPr>
              <w:t>9</w:t>
            </w:r>
          </w:p>
        </w:tc>
        <w:tc>
          <w:tcPr>
            <w:tcW w:w="1134" w:type="dxa"/>
            <w:vAlign w:val="center"/>
          </w:tcPr>
          <w:p w14:paraId="14350C9D">
            <w:pPr>
              <w:widowControl/>
              <w:spacing w:line="360" w:lineRule="auto"/>
              <w:jc w:val="center"/>
              <w:rPr>
                <w:rFonts w:hint="eastAsia" w:ascii="仿宋" w:hAnsi="仿宋" w:eastAsia="仿宋" w:cs="Arial"/>
                <w:color w:val="333333"/>
                <w:kern w:val="0"/>
                <w:sz w:val="24"/>
                <w:szCs w:val="24"/>
              </w:rPr>
            </w:pPr>
            <w:r>
              <w:rPr>
                <w:rFonts w:ascii="仿宋" w:hAnsi="仿宋" w:eastAsia="仿宋" w:cs="Arial"/>
                <w:color w:val="333333"/>
                <w:kern w:val="0"/>
                <w:sz w:val="24"/>
                <w:szCs w:val="24"/>
              </w:rPr>
              <w:t>接收天线</w:t>
            </w:r>
          </w:p>
        </w:tc>
        <w:tc>
          <w:tcPr>
            <w:tcW w:w="1388" w:type="dxa"/>
            <w:vAlign w:val="center"/>
          </w:tcPr>
          <w:p w14:paraId="52319CBB">
            <w:pPr>
              <w:widowControl/>
              <w:spacing w:line="360" w:lineRule="auto"/>
              <w:jc w:val="center"/>
              <w:rPr>
                <w:rFonts w:hint="eastAsia" w:ascii="仿宋" w:hAnsi="仿宋" w:eastAsia="仿宋"/>
                <w:sz w:val="24"/>
                <w:szCs w:val="24"/>
              </w:rPr>
            </w:pPr>
            <w:r>
              <w:rPr>
                <w:rFonts w:hint="eastAsia" w:ascii="仿宋_GB2312" w:hAnsi="宋体" w:eastAsia="仿宋_GB2312"/>
                <w:sz w:val="24"/>
                <w:szCs w:val="24"/>
                <w:lang w:val="zh-CN"/>
              </w:rPr>
              <w:t>#</w:t>
            </w:r>
          </w:p>
        </w:tc>
        <w:tc>
          <w:tcPr>
            <w:tcW w:w="2864" w:type="dxa"/>
            <w:vAlign w:val="center"/>
          </w:tcPr>
          <w:p w14:paraId="54568687">
            <w:pPr>
              <w:widowControl/>
              <w:spacing w:line="360" w:lineRule="auto"/>
              <w:jc w:val="center"/>
              <w:rPr>
                <w:rFonts w:hint="eastAsia" w:ascii="仿宋" w:hAnsi="仿宋" w:eastAsia="仿宋" w:cs="Arial"/>
                <w:color w:val="333333"/>
                <w:kern w:val="0"/>
                <w:sz w:val="24"/>
                <w:szCs w:val="24"/>
              </w:rPr>
            </w:pPr>
            <w:r>
              <w:rPr>
                <w:rFonts w:ascii="仿宋" w:hAnsi="仿宋" w:eastAsia="仿宋" w:cs="Arial"/>
                <w:color w:val="333333"/>
                <w:kern w:val="0"/>
                <w:sz w:val="24"/>
                <w:szCs w:val="24"/>
              </w:rPr>
              <w:t>接收天线：斜向返回，折合阵子天线阵列，长度</w:t>
            </w:r>
            <w:r>
              <w:rPr>
                <w:rFonts w:hint="eastAsia" w:ascii="仿宋" w:hAnsi="仿宋" w:eastAsia="仿宋" w:cs="Arial"/>
                <w:color w:val="333333"/>
                <w:kern w:val="0"/>
                <w:sz w:val="24"/>
                <w:szCs w:val="24"/>
              </w:rPr>
              <w:t>约</w:t>
            </w:r>
            <w:r>
              <w:rPr>
                <w:rFonts w:ascii="仿宋" w:hAnsi="仿宋" w:eastAsia="仿宋" w:cs="Arial"/>
                <w:color w:val="333333"/>
                <w:kern w:val="0"/>
                <w:sz w:val="24"/>
                <w:szCs w:val="24"/>
              </w:rPr>
              <w:t>64m，架高</w:t>
            </w:r>
            <w:r>
              <w:rPr>
                <w:rFonts w:hint="eastAsia" w:ascii="仿宋" w:hAnsi="仿宋" w:eastAsia="仿宋" w:cs="Arial"/>
                <w:color w:val="333333"/>
                <w:kern w:val="0"/>
                <w:sz w:val="24"/>
                <w:szCs w:val="24"/>
              </w:rPr>
              <w:t>约</w:t>
            </w:r>
            <w:r>
              <w:rPr>
                <w:rFonts w:ascii="仿宋" w:hAnsi="仿宋" w:eastAsia="仿宋" w:cs="Arial"/>
                <w:color w:val="333333"/>
                <w:kern w:val="0"/>
                <w:sz w:val="24"/>
                <w:szCs w:val="24"/>
              </w:rPr>
              <w:t>10m；垂/斜测采用有源环天线，尺寸</w:t>
            </w:r>
            <w:r>
              <w:rPr>
                <w:rFonts w:hint="eastAsia" w:ascii="仿宋" w:hAnsi="仿宋" w:eastAsia="仿宋" w:cs="Arial"/>
                <w:color w:val="333333"/>
                <w:kern w:val="0"/>
                <w:sz w:val="24"/>
                <w:szCs w:val="24"/>
              </w:rPr>
              <w:t>约</w:t>
            </w:r>
            <w:r>
              <w:rPr>
                <w:rFonts w:ascii="仿宋" w:hAnsi="仿宋" w:eastAsia="仿宋" w:cs="Arial"/>
                <w:color w:val="333333"/>
                <w:kern w:val="0"/>
                <w:sz w:val="24"/>
                <w:szCs w:val="24"/>
              </w:rPr>
              <w:t>2mx2m，高度</w:t>
            </w:r>
            <w:r>
              <w:rPr>
                <w:rFonts w:hint="eastAsia" w:ascii="仿宋" w:hAnsi="仿宋" w:eastAsia="仿宋" w:cs="Arial"/>
                <w:color w:val="333333"/>
                <w:kern w:val="0"/>
                <w:sz w:val="24"/>
                <w:szCs w:val="24"/>
              </w:rPr>
              <w:t>约</w:t>
            </w:r>
            <w:r>
              <w:rPr>
                <w:rFonts w:ascii="仿宋" w:hAnsi="仿宋" w:eastAsia="仿宋" w:cs="Arial"/>
                <w:color w:val="333333"/>
                <w:kern w:val="0"/>
                <w:sz w:val="24"/>
                <w:szCs w:val="24"/>
              </w:rPr>
              <w:t>3m。</w:t>
            </w:r>
          </w:p>
        </w:tc>
        <w:tc>
          <w:tcPr>
            <w:tcW w:w="2126" w:type="dxa"/>
            <w:vAlign w:val="center"/>
          </w:tcPr>
          <w:p w14:paraId="1673C5A8">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741B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E64B846">
            <w:pPr>
              <w:spacing w:line="360" w:lineRule="auto"/>
              <w:jc w:val="center"/>
              <w:rPr>
                <w:rFonts w:hint="eastAsia" w:ascii="仿宋" w:hAnsi="仿宋" w:eastAsia="仿宋"/>
                <w:sz w:val="24"/>
                <w:szCs w:val="24"/>
              </w:rPr>
            </w:pPr>
            <w:r>
              <w:rPr>
                <w:rFonts w:hint="eastAsia" w:ascii="仿宋" w:hAnsi="仿宋" w:eastAsia="仿宋"/>
                <w:sz w:val="24"/>
                <w:szCs w:val="24"/>
              </w:rPr>
              <w:t>10</w:t>
            </w:r>
          </w:p>
        </w:tc>
        <w:tc>
          <w:tcPr>
            <w:tcW w:w="1134" w:type="dxa"/>
            <w:vAlign w:val="center"/>
          </w:tcPr>
          <w:p w14:paraId="68FE31AA">
            <w:pPr>
              <w:widowControl/>
              <w:spacing w:line="360" w:lineRule="auto"/>
              <w:jc w:val="center"/>
              <w:rPr>
                <w:rFonts w:hint="eastAsia" w:ascii="仿宋" w:hAnsi="仿宋" w:eastAsia="仿宋" w:cs="Arial"/>
                <w:color w:val="333333"/>
                <w:kern w:val="0"/>
                <w:sz w:val="24"/>
                <w:szCs w:val="24"/>
              </w:rPr>
            </w:pPr>
            <w:r>
              <w:rPr>
                <w:rFonts w:ascii="仿宋" w:hAnsi="仿宋" w:eastAsia="仿宋" w:cs="Arial"/>
                <w:color w:val="333333"/>
                <w:kern w:val="0"/>
                <w:sz w:val="24"/>
                <w:szCs w:val="24"/>
              </w:rPr>
              <w:t>探测距离</w:t>
            </w:r>
          </w:p>
        </w:tc>
        <w:tc>
          <w:tcPr>
            <w:tcW w:w="1388" w:type="dxa"/>
            <w:vAlign w:val="center"/>
          </w:tcPr>
          <w:p w14:paraId="7AC43799">
            <w:pPr>
              <w:widowControl/>
              <w:spacing w:line="360" w:lineRule="auto"/>
              <w:jc w:val="center"/>
              <w:rPr>
                <w:rFonts w:hint="eastAsia" w:ascii="仿宋" w:hAnsi="仿宋" w:eastAsia="仿宋"/>
                <w:sz w:val="24"/>
                <w:szCs w:val="24"/>
              </w:rPr>
            </w:pPr>
            <w:r>
              <w:rPr>
                <w:rFonts w:hint="eastAsia" w:ascii="仿宋_GB2312" w:hAnsi="宋体" w:eastAsia="仿宋_GB2312"/>
                <w:sz w:val="24"/>
                <w:szCs w:val="24"/>
                <w:lang w:val="zh-CN"/>
              </w:rPr>
              <w:t>★</w:t>
            </w:r>
          </w:p>
        </w:tc>
        <w:tc>
          <w:tcPr>
            <w:tcW w:w="2864" w:type="dxa"/>
            <w:vAlign w:val="center"/>
          </w:tcPr>
          <w:p w14:paraId="5495D78D">
            <w:pPr>
              <w:widowControl/>
              <w:spacing w:line="360" w:lineRule="auto"/>
              <w:jc w:val="center"/>
              <w:rPr>
                <w:rFonts w:hint="eastAsia" w:ascii="仿宋" w:hAnsi="仿宋" w:eastAsia="仿宋" w:cs="Arial"/>
                <w:color w:val="333333"/>
                <w:kern w:val="0"/>
                <w:sz w:val="24"/>
                <w:szCs w:val="24"/>
              </w:rPr>
            </w:pPr>
            <w:r>
              <w:rPr>
                <w:rFonts w:hint="eastAsia" w:ascii="宋体" w:hAnsi="宋体" w:eastAsia="宋体" w:cs="宋体"/>
                <w:szCs w:val="21"/>
              </w:rPr>
              <w:t>探测距离：</w:t>
            </w:r>
            <w:r>
              <w:rPr>
                <w:rFonts w:hint="eastAsia" w:ascii="宋体" w:hAnsi="宋体" w:cs="宋体"/>
                <w:szCs w:val="21"/>
              </w:rPr>
              <w:t>覆盖</w:t>
            </w:r>
            <w:r>
              <w:rPr>
                <w:rFonts w:hint="eastAsia" w:ascii="宋体" w:hAnsi="宋体" w:eastAsia="宋体" w:cs="宋体"/>
                <w:szCs w:val="21"/>
              </w:rPr>
              <w:t>80-1000 km ；斜向返回月</w:t>
            </w:r>
            <w:r>
              <w:rPr>
                <w:rFonts w:hint="eastAsia" w:ascii="宋体" w:hAnsi="宋体" w:cs="宋体"/>
                <w:szCs w:val="21"/>
              </w:rPr>
              <w:t>覆盖</w:t>
            </w:r>
            <w:r>
              <w:rPr>
                <w:rFonts w:hint="eastAsia" w:ascii="宋体" w:hAnsi="宋体" w:eastAsia="宋体" w:cs="宋体"/>
                <w:szCs w:val="21"/>
              </w:rPr>
              <w:t>300-1500 km</w:t>
            </w:r>
            <w:r>
              <w:rPr>
                <w:rFonts w:hint="eastAsia" w:ascii="宋体" w:hAnsi="宋体" w:cs="宋体"/>
                <w:szCs w:val="21"/>
              </w:rPr>
              <w:t>。</w:t>
            </w:r>
          </w:p>
        </w:tc>
        <w:tc>
          <w:tcPr>
            <w:tcW w:w="2126" w:type="dxa"/>
            <w:vAlign w:val="center"/>
          </w:tcPr>
          <w:p w14:paraId="137B1684">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bl>
    <w:p w14:paraId="5C592AC7">
      <w:pPr>
        <w:autoSpaceDE w:val="0"/>
        <w:autoSpaceDN w:val="0"/>
        <w:adjustRightInd w:val="0"/>
        <w:snapToGrid w:val="0"/>
        <w:spacing w:before="156" w:beforeLines="50" w:line="360" w:lineRule="auto"/>
        <w:jc w:val="left"/>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说明：</w:t>
      </w:r>
    </w:p>
    <w:p w14:paraId="63CB0B34">
      <w:pPr>
        <w:autoSpaceDE w:val="0"/>
        <w:autoSpaceDN w:val="0"/>
        <w:adjustRightInd w:val="0"/>
        <w:snapToGrid w:val="0"/>
        <w:spacing w:line="360" w:lineRule="auto"/>
        <w:ind w:firstLine="480" w:firstLineChars="200"/>
        <w:jc w:val="left"/>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fldChar w:fldCharType="begin"/>
      </w:r>
      <w:r>
        <w:rPr>
          <w:rFonts w:hint="eastAsia" w:ascii="仿宋" w:hAnsi="仿宋" w:eastAsia="仿宋" w:cs="宋体"/>
          <w:snapToGrid w:val="0"/>
          <w:kern w:val="0"/>
          <w:sz w:val="24"/>
          <w:szCs w:val="24"/>
          <w:lang w:val="zh-CN"/>
        </w:rPr>
        <w:instrText xml:space="preserve">= 1 \* GB3</w:instrText>
      </w:r>
      <w:r>
        <w:rPr>
          <w:rFonts w:hint="eastAsia" w:ascii="仿宋" w:hAnsi="仿宋" w:eastAsia="仿宋" w:cs="宋体"/>
          <w:snapToGrid w:val="0"/>
          <w:kern w:val="0"/>
          <w:sz w:val="24"/>
          <w:szCs w:val="24"/>
          <w:lang w:val="zh-CN"/>
        </w:rPr>
        <w:fldChar w:fldCharType="separate"/>
      </w:r>
      <w:r>
        <w:rPr>
          <w:rFonts w:hint="eastAsia" w:ascii="仿宋" w:hAnsi="仿宋" w:eastAsia="仿宋" w:cs="宋体"/>
          <w:snapToGrid w:val="0"/>
          <w:kern w:val="0"/>
          <w:sz w:val="24"/>
          <w:szCs w:val="24"/>
          <w:lang w:val="zh-CN"/>
        </w:rPr>
        <w:t>①</w:t>
      </w:r>
      <w:r>
        <w:rPr>
          <w:rFonts w:hint="eastAsia" w:ascii="仿宋" w:hAnsi="仿宋" w:eastAsia="仿宋" w:cs="宋体"/>
          <w:snapToGrid w:val="0"/>
          <w:kern w:val="0"/>
          <w:sz w:val="24"/>
          <w:szCs w:val="24"/>
          <w:lang w:val="zh-CN"/>
        </w:rPr>
        <w:fldChar w:fldCharType="end"/>
      </w:r>
      <w:r>
        <w:rPr>
          <w:rFonts w:hint="eastAsia" w:ascii="仿宋" w:hAnsi="仿宋" w:eastAsia="仿宋" w:cs="宋体"/>
          <w:snapToGrid w:val="0"/>
          <w:kern w:val="0"/>
          <w:sz w:val="24"/>
          <w:szCs w:val="24"/>
          <w:lang w:val="zh-CN"/>
        </w:rPr>
        <w:t>重要性可用“★”“#”表示，“★”代表关键指标，不满足该指标项将导致响应被拒绝；“#”代表重要指标；无标识则表示属一般指标项。</w:t>
      </w:r>
    </w:p>
    <w:p w14:paraId="7F79ADD7">
      <w:pPr>
        <w:autoSpaceDE w:val="0"/>
        <w:autoSpaceDN w:val="0"/>
        <w:adjustRightInd w:val="0"/>
        <w:snapToGrid w:val="0"/>
        <w:spacing w:line="360" w:lineRule="auto"/>
        <w:ind w:firstLine="480" w:firstLineChars="200"/>
        <w:jc w:val="left"/>
        <w:rPr>
          <w:rFonts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fldChar w:fldCharType="begin"/>
      </w:r>
      <w:r>
        <w:rPr>
          <w:rFonts w:hint="eastAsia" w:ascii="仿宋" w:hAnsi="仿宋" w:eastAsia="仿宋" w:cs="宋体"/>
          <w:snapToGrid w:val="0"/>
          <w:kern w:val="0"/>
          <w:sz w:val="24"/>
          <w:szCs w:val="24"/>
          <w:lang w:val="zh-CN"/>
        </w:rPr>
        <w:instrText xml:space="preserve">= 2 \* GB3</w:instrText>
      </w:r>
      <w:r>
        <w:rPr>
          <w:rFonts w:hint="eastAsia" w:ascii="仿宋" w:hAnsi="仿宋" w:eastAsia="仿宋" w:cs="宋体"/>
          <w:snapToGrid w:val="0"/>
          <w:kern w:val="0"/>
          <w:sz w:val="24"/>
          <w:szCs w:val="24"/>
          <w:lang w:val="zh-CN"/>
        </w:rPr>
        <w:fldChar w:fldCharType="separate"/>
      </w:r>
      <w:r>
        <w:rPr>
          <w:rFonts w:hint="eastAsia" w:ascii="仿宋" w:hAnsi="仿宋" w:eastAsia="仿宋" w:cs="宋体"/>
          <w:snapToGrid w:val="0"/>
          <w:kern w:val="0"/>
          <w:sz w:val="24"/>
          <w:szCs w:val="24"/>
          <w:lang w:val="zh-CN"/>
        </w:rPr>
        <w:t>②</w:t>
      </w:r>
      <w:r>
        <w:rPr>
          <w:rFonts w:hint="eastAsia" w:ascii="仿宋" w:hAnsi="仿宋" w:eastAsia="仿宋" w:cs="宋体"/>
          <w:snapToGrid w:val="0"/>
          <w:kern w:val="0"/>
          <w:sz w:val="24"/>
          <w:szCs w:val="24"/>
          <w:lang w:val="zh-CN"/>
        </w:rPr>
        <w:fldChar w:fldCharType="end"/>
      </w:r>
      <w:r>
        <w:rPr>
          <w:rFonts w:hint="eastAsia" w:ascii="仿宋" w:hAnsi="仿宋" w:eastAsia="仿宋"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B0F65C3">
      <w:pPr>
        <w:spacing w:line="360" w:lineRule="auto"/>
        <w:ind w:firstLine="480" w:firstLineChars="200"/>
        <w:rPr>
          <w:rFonts w:ascii="仿宋" w:hAnsi="仿宋" w:eastAsia="仿宋"/>
          <w:sz w:val="24"/>
          <w:szCs w:val="24"/>
        </w:rPr>
      </w:pPr>
      <w:r>
        <w:rPr>
          <w:rFonts w:hint="eastAsia" w:ascii="仿宋" w:hAnsi="仿宋" w:eastAsia="仿宋" w:cs="宋体"/>
          <w:snapToGrid w:val="0"/>
          <w:kern w:val="0"/>
          <w:sz w:val="24"/>
          <w:szCs w:val="24"/>
          <w:lang w:val="zh-CN"/>
        </w:rPr>
        <w:t>（二）、</w:t>
      </w:r>
      <w:r>
        <w:rPr>
          <w:rFonts w:ascii="仿宋" w:hAnsi="仿宋" w:eastAsia="仿宋"/>
          <w:sz w:val="24"/>
          <w:szCs w:val="24"/>
        </w:rPr>
        <w:t>行星与太阳望远镜观测系统包含三大核心部分：室外望远镜观测系统、室外望远镜穹顶、室内成像与仿真系统。</w:t>
      </w:r>
    </w:p>
    <w:p w14:paraId="78BFE2FF">
      <w:pPr>
        <w:keepNext/>
        <w:widowControl/>
        <w:shd w:val="clear" w:color="auto" w:fill="FFFFFF"/>
        <w:spacing w:line="360" w:lineRule="auto"/>
        <w:ind w:firstLine="480" w:firstLineChars="200"/>
        <w:rPr>
          <w:rFonts w:ascii="仿宋" w:hAnsi="仿宋" w:eastAsia="仿宋" w:cs="仿宋"/>
          <w:color w:val="000000"/>
          <w:kern w:val="0"/>
          <w:sz w:val="24"/>
          <w:szCs w:val="24"/>
          <w:shd w:val="clear" w:color="auto" w:fill="FFFFFF"/>
        </w:rPr>
      </w:pPr>
      <w:r>
        <w:rPr>
          <w:rFonts w:ascii="仿宋" w:hAnsi="仿宋" w:eastAsia="仿宋" w:cs="仿宋"/>
          <w:color w:val="000000"/>
          <w:kern w:val="0"/>
          <w:sz w:val="24"/>
          <w:szCs w:val="24"/>
          <w:shd w:val="clear" w:color="auto" w:fill="FFFFFF"/>
        </w:rPr>
        <w:t>（</w:t>
      </w:r>
      <w:r>
        <w:rPr>
          <w:rFonts w:hint="eastAsia" w:ascii="仿宋" w:hAnsi="仿宋" w:eastAsia="仿宋" w:cs="仿宋"/>
          <w:color w:val="000000"/>
          <w:kern w:val="0"/>
          <w:sz w:val="24"/>
          <w:szCs w:val="24"/>
          <w:shd w:val="clear" w:color="auto" w:fill="FFFFFF"/>
        </w:rPr>
        <w:t>1</w:t>
      </w:r>
      <w:r>
        <w:rPr>
          <w:rFonts w:ascii="仿宋" w:hAnsi="仿宋" w:eastAsia="仿宋" w:cs="仿宋"/>
          <w:color w:val="000000"/>
          <w:kern w:val="0"/>
          <w:sz w:val="24"/>
          <w:szCs w:val="24"/>
          <w:shd w:val="clear" w:color="auto" w:fill="FFFFFF"/>
        </w:rPr>
        <w:t>）室外行星与太阳望远镜观测系统（1套）</w:t>
      </w:r>
    </w:p>
    <w:p w14:paraId="747445D2">
      <w:pPr>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1.功能要求：用于月球、行星及太阳的目视观测、数字成像、实时展示和教学实习，支持自动寻星、跟踪、导星、调焦和远程控制。</w:t>
      </w:r>
    </w:p>
    <w:p w14:paraId="2BA78CCA">
      <w:pPr>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2.应遵循的相关国家标准、行业标准、地方标准等标准、规范：设备的光学、电气、机械和信息安全应符合现行国家及行业标准；太阳观测设备必须具备可靠的减能和窄带滤光保护措施。</w:t>
      </w:r>
    </w:p>
    <w:p w14:paraId="55D0F2D4">
      <w:pPr>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3.后续运营维护、升级更新、备品备件等要求：提供不少于2年免费质保，控制和教学软件终身免费升级；提供全生命周期备品备件支持和不少于4天的现场操作培训。</w:t>
      </w:r>
    </w:p>
    <w:p w14:paraId="4C0099DD">
      <w:pPr>
        <w:keepNext/>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483F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blHeader/>
          <w:jc w:val="center"/>
        </w:trPr>
        <w:tc>
          <w:tcPr>
            <w:tcW w:w="988" w:type="dxa"/>
            <w:vAlign w:val="center"/>
          </w:tcPr>
          <w:p w14:paraId="4E1B8DDF">
            <w:pPr>
              <w:jc w:val="center"/>
            </w:pPr>
            <w:r>
              <w:rPr>
                <w:rFonts w:ascii="仿宋" w:hAnsi="仿宋" w:eastAsia="仿宋"/>
                <w:sz w:val="17"/>
              </w:rPr>
              <w:t>序号</w:t>
            </w:r>
          </w:p>
        </w:tc>
        <w:tc>
          <w:tcPr>
            <w:tcW w:w="1134" w:type="dxa"/>
            <w:vAlign w:val="center"/>
          </w:tcPr>
          <w:p w14:paraId="121E9502">
            <w:pPr>
              <w:jc w:val="center"/>
            </w:pPr>
            <w:r>
              <w:rPr>
                <w:rFonts w:ascii="仿宋" w:hAnsi="仿宋" w:eastAsia="仿宋"/>
                <w:sz w:val="17"/>
              </w:rPr>
              <w:t>指标项</w:t>
            </w:r>
          </w:p>
        </w:tc>
        <w:tc>
          <w:tcPr>
            <w:tcW w:w="1388" w:type="dxa"/>
            <w:vAlign w:val="center"/>
          </w:tcPr>
          <w:p w14:paraId="3A471DE8">
            <w:pPr>
              <w:jc w:val="center"/>
            </w:pPr>
            <w:r>
              <w:rPr>
                <w:rFonts w:ascii="仿宋" w:hAnsi="仿宋" w:eastAsia="仿宋"/>
                <w:sz w:val="17"/>
              </w:rPr>
              <w:t>重要性</w:t>
            </w:r>
          </w:p>
        </w:tc>
        <w:tc>
          <w:tcPr>
            <w:tcW w:w="2864" w:type="dxa"/>
            <w:vAlign w:val="center"/>
          </w:tcPr>
          <w:p w14:paraId="55531F40">
            <w:pPr>
              <w:jc w:val="center"/>
            </w:pPr>
            <w:r>
              <w:rPr>
                <w:rFonts w:ascii="仿宋" w:hAnsi="仿宋" w:eastAsia="仿宋"/>
                <w:sz w:val="17"/>
              </w:rPr>
              <w:t>指标要求</w:t>
            </w:r>
          </w:p>
        </w:tc>
        <w:tc>
          <w:tcPr>
            <w:tcW w:w="2126" w:type="dxa"/>
            <w:vAlign w:val="center"/>
          </w:tcPr>
          <w:p w14:paraId="70E2CF83">
            <w:pPr>
              <w:jc w:val="center"/>
            </w:pPr>
            <w:r>
              <w:rPr>
                <w:rFonts w:ascii="仿宋" w:hAnsi="仿宋" w:eastAsia="仿宋"/>
                <w:sz w:val="17"/>
              </w:rPr>
              <w:t>证明材料要求</w:t>
            </w:r>
          </w:p>
        </w:tc>
      </w:tr>
      <w:tr w14:paraId="1D05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4F9D51EA">
            <w:pPr>
              <w:jc w:val="center"/>
            </w:pPr>
            <w:r>
              <w:rPr>
                <w:rFonts w:ascii="仿宋" w:hAnsi="仿宋" w:eastAsia="仿宋"/>
                <w:sz w:val="17"/>
              </w:rPr>
              <w:t>1</w:t>
            </w:r>
          </w:p>
        </w:tc>
        <w:tc>
          <w:tcPr>
            <w:tcW w:w="1134" w:type="dxa"/>
            <w:vAlign w:val="center"/>
          </w:tcPr>
          <w:p w14:paraId="615C6243">
            <w:pPr>
              <w:jc w:val="left"/>
            </w:pPr>
            <w:r>
              <w:rPr>
                <w:rFonts w:ascii="仿宋" w:hAnsi="仿宋" w:eastAsia="仿宋"/>
                <w:sz w:val="17"/>
              </w:rPr>
              <w:t>主望远镜口径</w:t>
            </w:r>
          </w:p>
        </w:tc>
        <w:tc>
          <w:tcPr>
            <w:tcW w:w="1388" w:type="dxa"/>
            <w:vAlign w:val="center"/>
          </w:tcPr>
          <w:p w14:paraId="30327F87">
            <w:pPr>
              <w:jc w:val="center"/>
            </w:pPr>
            <w:r>
              <w:rPr>
                <w:rFonts w:ascii="仿宋" w:hAnsi="仿宋" w:eastAsia="仿宋"/>
                <w:sz w:val="17"/>
              </w:rPr>
              <w:t>★</w:t>
            </w:r>
          </w:p>
        </w:tc>
        <w:tc>
          <w:tcPr>
            <w:tcW w:w="2864" w:type="dxa"/>
            <w:vAlign w:val="center"/>
          </w:tcPr>
          <w:p w14:paraId="1C533A0F">
            <w:pPr>
              <w:jc w:val="left"/>
            </w:pPr>
            <w:r>
              <w:rPr>
                <w:rFonts w:ascii="仿宋" w:hAnsi="仿宋" w:eastAsia="仿宋"/>
                <w:sz w:val="17"/>
              </w:rPr>
              <w:t>有效口径≥346 mm</w:t>
            </w:r>
          </w:p>
        </w:tc>
        <w:tc>
          <w:tcPr>
            <w:tcW w:w="2126" w:type="dxa"/>
            <w:vAlign w:val="center"/>
          </w:tcPr>
          <w:p w14:paraId="3FE70706">
            <w:pPr>
              <w:jc w:val="center"/>
            </w:pPr>
            <w:r>
              <w:rPr>
                <w:rFonts w:ascii="仿宋" w:hAnsi="仿宋" w:eastAsia="仿宋"/>
                <w:sz w:val="17"/>
              </w:rPr>
              <w:t>是</w:t>
            </w:r>
          </w:p>
        </w:tc>
      </w:tr>
      <w:tr w14:paraId="039FA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6E60F8E4">
            <w:pPr>
              <w:jc w:val="center"/>
            </w:pPr>
            <w:r>
              <w:rPr>
                <w:rFonts w:ascii="仿宋" w:hAnsi="仿宋" w:eastAsia="仿宋"/>
                <w:sz w:val="17"/>
              </w:rPr>
              <w:t>2</w:t>
            </w:r>
          </w:p>
        </w:tc>
        <w:tc>
          <w:tcPr>
            <w:tcW w:w="1134" w:type="dxa"/>
            <w:vAlign w:val="center"/>
          </w:tcPr>
          <w:p w14:paraId="193941E9">
            <w:pPr>
              <w:jc w:val="left"/>
            </w:pPr>
            <w:r>
              <w:rPr>
                <w:rFonts w:ascii="仿宋" w:hAnsi="仿宋" w:eastAsia="仿宋"/>
                <w:sz w:val="17"/>
              </w:rPr>
              <w:t>主望远镜焦距及分辨率</w:t>
            </w:r>
          </w:p>
        </w:tc>
        <w:tc>
          <w:tcPr>
            <w:tcW w:w="1388" w:type="dxa"/>
            <w:vAlign w:val="center"/>
          </w:tcPr>
          <w:p w14:paraId="44A23D85">
            <w:pPr>
              <w:jc w:val="center"/>
            </w:pPr>
            <w:r>
              <w:rPr>
                <w:rFonts w:ascii="仿宋" w:hAnsi="仿宋" w:eastAsia="仿宋"/>
                <w:sz w:val="17"/>
              </w:rPr>
              <w:t>#</w:t>
            </w:r>
          </w:p>
        </w:tc>
        <w:tc>
          <w:tcPr>
            <w:tcW w:w="2864" w:type="dxa"/>
            <w:vAlign w:val="center"/>
          </w:tcPr>
          <w:p w14:paraId="1F1EE1CC">
            <w:pPr>
              <w:jc w:val="left"/>
            </w:pPr>
            <w:r>
              <w:rPr>
                <w:rFonts w:ascii="仿宋" w:hAnsi="仿宋" w:eastAsia="仿宋"/>
                <w:sz w:val="17"/>
              </w:rPr>
              <w:t>焦距≥3900 mm；理论光学分辨率≤0.4角秒</w:t>
            </w:r>
          </w:p>
        </w:tc>
        <w:tc>
          <w:tcPr>
            <w:tcW w:w="2126" w:type="dxa"/>
            <w:vAlign w:val="center"/>
          </w:tcPr>
          <w:p w14:paraId="7EC917B6">
            <w:pPr>
              <w:jc w:val="center"/>
            </w:pPr>
            <w:r>
              <w:rPr>
                <w:rFonts w:ascii="仿宋" w:hAnsi="仿宋" w:eastAsia="仿宋"/>
                <w:sz w:val="17"/>
              </w:rPr>
              <w:t>是</w:t>
            </w:r>
          </w:p>
        </w:tc>
      </w:tr>
      <w:tr w14:paraId="487E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1E0AF7D1">
            <w:pPr>
              <w:jc w:val="center"/>
            </w:pPr>
            <w:r>
              <w:rPr>
                <w:rFonts w:ascii="仿宋" w:hAnsi="仿宋" w:eastAsia="仿宋"/>
                <w:sz w:val="17"/>
              </w:rPr>
              <w:t>3</w:t>
            </w:r>
          </w:p>
        </w:tc>
        <w:tc>
          <w:tcPr>
            <w:tcW w:w="1134" w:type="dxa"/>
            <w:vAlign w:val="center"/>
          </w:tcPr>
          <w:p w14:paraId="25D1D1B6">
            <w:pPr>
              <w:jc w:val="left"/>
            </w:pPr>
            <w:r>
              <w:rPr>
                <w:rFonts w:ascii="仿宋" w:hAnsi="仿宋" w:eastAsia="仿宋"/>
                <w:sz w:val="17"/>
              </w:rPr>
              <w:t>主望远镜光学系统</w:t>
            </w:r>
          </w:p>
        </w:tc>
        <w:tc>
          <w:tcPr>
            <w:tcW w:w="1388" w:type="dxa"/>
            <w:vAlign w:val="center"/>
          </w:tcPr>
          <w:p w14:paraId="7D670336">
            <w:pPr>
              <w:jc w:val="center"/>
            </w:pPr>
            <w:r>
              <w:rPr>
                <w:rFonts w:ascii="仿宋" w:hAnsi="仿宋" w:eastAsia="仿宋"/>
                <w:sz w:val="17"/>
              </w:rPr>
              <w:t>#</w:t>
            </w:r>
          </w:p>
        </w:tc>
        <w:tc>
          <w:tcPr>
            <w:tcW w:w="2864" w:type="dxa"/>
            <w:vAlign w:val="center"/>
          </w:tcPr>
          <w:p w14:paraId="73F3357C">
            <w:pPr>
              <w:jc w:val="left"/>
            </w:pPr>
            <w:r>
              <w:rPr>
                <w:rFonts w:ascii="仿宋" w:hAnsi="仿宋" w:eastAsia="仿宋"/>
                <w:sz w:val="17"/>
              </w:rPr>
              <w:t>施密特-卡塞格林、改进型卡塞格林或同等级大口径复合光学系统，具备平场或像差修正能力</w:t>
            </w:r>
          </w:p>
        </w:tc>
        <w:tc>
          <w:tcPr>
            <w:tcW w:w="2126" w:type="dxa"/>
            <w:vAlign w:val="center"/>
          </w:tcPr>
          <w:p w14:paraId="5457D473">
            <w:pPr>
              <w:jc w:val="center"/>
            </w:pPr>
            <w:r>
              <w:rPr>
                <w:rFonts w:ascii="仿宋" w:hAnsi="仿宋" w:eastAsia="仿宋"/>
                <w:sz w:val="17"/>
              </w:rPr>
              <w:t>是</w:t>
            </w:r>
          </w:p>
        </w:tc>
      </w:tr>
      <w:tr w14:paraId="31DF0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2B21F79F">
            <w:pPr>
              <w:jc w:val="center"/>
            </w:pPr>
            <w:r>
              <w:rPr>
                <w:rFonts w:ascii="仿宋" w:hAnsi="仿宋" w:eastAsia="仿宋"/>
                <w:sz w:val="17"/>
              </w:rPr>
              <w:t>4</w:t>
            </w:r>
          </w:p>
        </w:tc>
        <w:tc>
          <w:tcPr>
            <w:tcW w:w="1134" w:type="dxa"/>
            <w:vAlign w:val="center"/>
          </w:tcPr>
          <w:p w14:paraId="51254FE0">
            <w:pPr>
              <w:jc w:val="left"/>
            </w:pPr>
            <w:r>
              <w:rPr>
                <w:rFonts w:ascii="仿宋" w:hAnsi="仿宋" w:eastAsia="仿宋"/>
                <w:sz w:val="17"/>
              </w:rPr>
              <w:t>赤道仪载荷</w:t>
            </w:r>
          </w:p>
        </w:tc>
        <w:tc>
          <w:tcPr>
            <w:tcW w:w="1388" w:type="dxa"/>
            <w:vAlign w:val="center"/>
          </w:tcPr>
          <w:p w14:paraId="1F76184C">
            <w:pPr>
              <w:jc w:val="center"/>
            </w:pPr>
            <w:r>
              <w:rPr>
                <w:rFonts w:ascii="仿宋" w:hAnsi="仿宋" w:eastAsia="仿宋"/>
                <w:sz w:val="17"/>
              </w:rPr>
              <w:t>#</w:t>
            </w:r>
          </w:p>
        </w:tc>
        <w:tc>
          <w:tcPr>
            <w:tcW w:w="2864" w:type="dxa"/>
            <w:vAlign w:val="center"/>
          </w:tcPr>
          <w:p w14:paraId="108EDFDF">
            <w:pPr>
              <w:jc w:val="left"/>
            </w:pPr>
            <w:r>
              <w:rPr>
                <w:rFonts w:ascii="仿宋" w:hAnsi="仿宋" w:eastAsia="仿宋"/>
                <w:sz w:val="17"/>
              </w:rPr>
              <w:t>有效载荷能力≥50 kg</w:t>
            </w:r>
          </w:p>
        </w:tc>
        <w:tc>
          <w:tcPr>
            <w:tcW w:w="2126" w:type="dxa"/>
            <w:vAlign w:val="center"/>
          </w:tcPr>
          <w:p w14:paraId="542F33B2">
            <w:pPr>
              <w:jc w:val="center"/>
            </w:pPr>
            <w:r>
              <w:rPr>
                <w:rFonts w:ascii="仿宋" w:hAnsi="仿宋" w:eastAsia="仿宋"/>
                <w:sz w:val="17"/>
              </w:rPr>
              <w:t>是</w:t>
            </w:r>
          </w:p>
        </w:tc>
      </w:tr>
      <w:tr w14:paraId="5084A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54A8A473">
            <w:pPr>
              <w:jc w:val="center"/>
            </w:pPr>
            <w:r>
              <w:rPr>
                <w:rFonts w:ascii="仿宋" w:hAnsi="仿宋" w:eastAsia="仿宋"/>
                <w:sz w:val="17"/>
              </w:rPr>
              <w:t>5</w:t>
            </w:r>
          </w:p>
        </w:tc>
        <w:tc>
          <w:tcPr>
            <w:tcW w:w="1134" w:type="dxa"/>
            <w:vAlign w:val="center"/>
          </w:tcPr>
          <w:p w14:paraId="64B9AC50">
            <w:pPr>
              <w:jc w:val="left"/>
            </w:pPr>
            <w:r>
              <w:rPr>
                <w:rFonts w:ascii="仿宋" w:hAnsi="仿宋" w:eastAsia="仿宋"/>
                <w:sz w:val="17"/>
              </w:rPr>
              <w:t>指向与跟踪</w:t>
            </w:r>
          </w:p>
        </w:tc>
        <w:tc>
          <w:tcPr>
            <w:tcW w:w="1388" w:type="dxa"/>
            <w:vAlign w:val="center"/>
          </w:tcPr>
          <w:p w14:paraId="42145F6A">
            <w:pPr>
              <w:jc w:val="center"/>
            </w:pPr>
            <w:r>
              <w:rPr>
                <w:rFonts w:ascii="仿宋" w:hAnsi="仿宋" w:eastAsia="仿宋"/>
                <w:sz w:val="17"/>
              </w:rPr>
              <w:t>#</w:t>
            </w:r>
          </w:p>
        </w:tc>
        <w:tc>
          <w:tcPr>
            <w:tcW w:w="2864" w:type="dxa"/>
            <w:vAlign w:val="center"/>
          </w:tcPr>
          <w:p w14:paraId="229D43FF">
            <w:pPr>
              <w:jc w:val="left"/>
            </w:pPr>
            <w:r>
              <w:rPr>
                <w:rFonts w:ascii="仿宋" w:hAnsi="仿宋" w:eastAsia="仿宋"/>
                <w:sz w:val="17"/>
              </w:rPr>
              <w:t>指向精度≤30角秒；跟踪误差±5角秒或以内；支持自动导星和自动回零</w:t>
            </w:r>
          </w:p>
        </w:tc>
        <w:tc>
          <w:tcPr>
            <w:tcW w:w="2126" w:type="dxa"/>
            <w:vAlign w:val="center"/>
          </w:tcPr>
          <w:p w14:paraId="064642FD">
            <w:pPr>
              <w:jc w:val="center"/>
            </w:pPr>
            <w:r>
              <w:rPr>
                <w:rFonts w:ascii="仿宋" w:hAnsi="仿宋" w:eastAsia="仿宋"/>
                <w:sz w:val="17"/>
              </w:rPr>
              <w:t>是</w:t>
            </w:r>
          </w:p>
        </w:tc>
      </w:tr>
      <w:tr w14:paraId="13D35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0B936CEA">
            <w:pPr>
              <w:jc w:val="center"/>
            </w:pPr>
            <w:r>
              <w:rPr>
                <w:rFonts w:ascii="仿宋" w:hAnsi="仿宋" w:eastAsia="仿宋"/>
                <w:sz w:val="17"/>
              </w:rPr>
              <w:t>6</w:t>
            </w:r>
          </w:p>
        </w:tc>
        <w:tc>
          <w:tcPr>
            <w:tcW w:w="1134" w:type="dxa"/>
            <w:vAlign w:val="center"/>
          </w:tcPr>
          <w:p w14:paraId="31C5FE3D">
            <w:pPr>
              <w:jc w:val="left"/>
            </w:pPr>
            <w:r>
              <w:rPr>
                <w:rFonts w:ascii="仿宋" w:hAnsi="仿宋" w:eastAsia="仿宋"/>
                <w:sz w:val="17"/>
              </w:rPr>
              <w:t>自动调焦与控制</w:t>
            </w:r>
          </w:p>
        </w:tc>
        <w:tc>
          <w:tcPr>
            <w:tcW w:w="1388" w:type="dxa"/>
            <w:vAlign w:val="center"/>
          </w:tcPr>
          <w:p w14:paraId="13B72A9A">
            <w:pPr>
              <w:jc w:val="center"/>
            </w:pPr>
            <w:r>
              <w:rPr>
                <w:rFonts w:ascii="仿宋" w:hAnsi="仿宋" w:eastAsia="仿宋"/>
                <w:sz w:val="17"/>
              </w:rPr>
              <w:t>#</w:t>
            </w:r>
          </w:p>
        </w:tc>
        <w:tc>
          <w:tcPr>
            <w:tcW w:w="2864" w:type="dxa"/>
            <w:vAlign w:val="center"/>
          </w:tcPr>
          <w:p w14:paraId="74EA1183">
            <w:pPr>
              <w:jc w:val="left"/>
            </w:pPr>
            <w:r>
              <w:rPr>
                <w:rFonts w:ascii="仿宋" w:hAnsi="仿宋" w:eastAsia="仿宋"/>
                <w:sz w:val="17"/>
              </w:rPr>
              <w:t>支持电动调焦、温度补偿、远程控制及自动化观测软件接口</w:t>
            </w:r>
          </w:p>
        </w:tc>
        <w:tc>
          <w:tcPr>
            <w:tcW w:w="2126" w:type="dxa"/>
            <w:vAlign w:val="center"/>
          </w:tcPr>
          <w:p w14:paraId="52AEB7F0">
            <w:pPr>
              <w:jc w:val="center"/>
            </w:pPr>
            <w:r>
              <w:rPr>
                <w:rFonts w:ascii="仿宋" w:hAnsi="仿宋" w:eastAsia="仿宋"/>
                <w:sz w:val="17"/>
              </w:rPr>
              <w:t>否</w:t>
            </w:r>
          </w:p>
        </w:tc>
      </w:tr>
      <w:tr w14:paraId="05144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2E57605A">
            <w:pPr>
              <w:jc w:val="center"/>
            </w:pPr>
            <w:r>
              <w:rPr>
                <w:rFonts w:ascii="仿宋" w:hAnsi="仿宋" w:eastAsia="仿宋"/>
                <w:sz w:val="17"/>
              </w:rPr>
              <w:t>7</w:t>
            </w:r>
          </w:p>
        </w:tc>
        <w:tc>
          <w:tcPr>
            <w:tcW w:w="1134" w:type="dxa"/>
            <w:vAlign w:val="center"/>
          </w:tcPr>
          <w:p w14:paraId="69182380">
            <w:pPr>
              <w:jc w:val="left"/>
            </w:pPr>
            <w:r>
              <w:rPr>
                <w:rFonts w:ascii="仿宋" w:hAnsi="仿宋" w:eastAsia="仿宋"/>
                <w:sz w:val="17"/>
              </w:rPr>
              <w:t>行星/科普成像相机</w:t>
            </w:r>
          </w:p>
        </w:tc>
        <w:tc>
          <w:tcPr>
            <w:tcW w:w="1388" w:type="dxa"/>
            <w:vAlign w:val="center"/>
          </w:tcPr>
          <w:p w14:paraId="5E16D84A">
            <w:pPr>
              <w:jc w:val="center"/>
            </w:pPr>
            <w:r>
              <w:rPr>
                <w:rFonts w:ascii="仿宋" w:hAnsi="仿宋" w:eastAsia="仿宋"/>
                <w:sz w:val="17"/>
              </w:rPr>
              <w:t>#</w:t>
            </w:r>
          </w:p>
        </w:tc>
        <w:tc>
          <w:tcPr>
            <w:tcW w:w="2864" w:type="dxa"/>
            <w:vAlign w:val="center"/>
          </w:tcPr>
          <w:p w14:paraId="2D747337">
            <w:pPr>
              <w:jc w:val="left"/>
            </w:pPr>
            <w:r>
              <w:rPr>
                <w:rFonts w:ascii="仿宋" w:hAnsi="仿宋" w:eastAsia="仿宋"/>
                <w:sz w:val="17"/>
              </w:rPr>
              <w:t>CMOS；有效像素≥900万；支持USB 3.0高速传输和实时视频显示</w:t>
            </w:r>
          </w:p>
        </w:tc>
        <w:tc>
          <w:tcPr>
            <w:tcW w:w="2126" w:type="dxa"/>
            <w:vAlign w:val="center"/>
          </w:tcPr>
          <w:p w14:paraId="6774C0C5">
            <w:pPr>
              <w:jc w:val="center"/>
            </w:pPr>
            <w:r>
              <w:rPr>
                <w:rFonts w:ascii="仿宋" w:hAnsi="仿宋" w:eastAsia="仿宋"/>
                <w:sz w:val="17"/>
              </w:rPr>
              <w:t>是</w:t>
            </w:r>
          </w:p>
        </w:tc>
      </w:tr>
      <w:tr w14:paraId="504E1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757AAB99">
            <w:pPr>
              <w:jc w:val="center"/>
            </w:pPr>
            <w:r>
              <w:rPr>
                <w:rFonts w:ascii="仿宋" w:hAnsi="仿宋" w:eastAsia="仿宋"/>
                <w:sz w:val="17"/>
              </w:rPr>
              <w:t>8</w:t>
            </w:r>
          </w:p>
        </w:tc>
        <w:tc>
          <w:tcPr>
            <w:tcW w:w="1134" w:type="dxa"/>
            <w:vAlign w:val="center"/>
          </w:tcPr>
          <w:p w14:paraId="7E160464">
            <w:pPr>
              <w:jc w:val="left"/>
            </w:pPr>
            <w:r>
              <w:rPr>
                <w:rFonts w:ascii="仿宋" w:hAnsi="仿宋" w:eastAsia="仿宋"/>
                <w:sz w:val="17"/>
              </w:rPr>
              <w:t>Hα太阳望远镜</w:t>
            </w:r>
          </w:p>
        </w:tc>
        <w:tc>
          <w:tcPr>
            <w:tcW w:w="1388" w:type="dxa"/>
            <w:vAlign w:val="center"/>
          </w:tcPr>
          <w:p w14:paraId="2DB35B41">
            <w:pPr>
              <w:jc w:val="center"/>
            </w:pPr>
            <w:r>
              <w:rPr>
                <w:rFonts w:ascii="仿宋" w:hAnsi="仿宋" w:eastAsia="仿宋"/>
                <w:sz w:val="17"/>
              </w:rPr>
              <w:t>★</w:t>
            </w:r>
          </w:p>
        </w:tc>
        <w:tc>
          <w:tcPr>
            <w:tcW w:w="2864" w:type="dxa"/>
            <w:vAlign w:val="center"/>
          </w:tcPr>
          <w:p w14:paraId="54C087E1">
            <w:pPr>
              <w:jc w:val="left"/>
            </w:pPr>
            <w:r>
              <w:rPr>
                <w:rFonts w:ascii="仿宋" w:hAnsi="仿宋" w:eastAsia="仿宋"/>
                <w:sz w:val="17"/>
              </w:rPr>
              <w:t xml:space="preserve">有效口径≥100 mm；中心波长656.28 nm；滤光带宽≤0.5 </w:t>
            </w:r>
            <w:r>
              <w:rPr>
                <w:rFonts w:ascii="Calibri" w:hAnsi="Calibri" w:eastAsia="仿宋" w:cs="Calibri"/>
                <w:sz w:val="17"/>
              </w:rPr>
              <w:t>Å</w:t>
            </w:r>
          </w:p>
        </w:tc>
        <w:tc>
          <w:tcPr>
            <w:tcW w:w="2126" w:type="dxa"/>
            <w:vAlign w:val="center"/>
          </w:tcPr>
          <w:p w14:paraId="7929B693">
            <w:pPr>
              <w:jc w:val="center"/>
            </w:pPr>
            <w:r>
              <w:rPr>
                <w:rFonts w:ascii="仿宋" w:hAnsi="仿宋" w:eastAsia="仿宋"/>
                <w:sz w:val="17"/>
              </w:rPr>
              <w:t>是</w:t>
            </w:r>
          </w:p>
        </w:tc>
      </w:tr>
      <w:tr w14:paraId="2657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5FF74936">
            <w:pPr>
              <w:jc w:val="center"/>
            </w:pPr>
            <w:r>
              <w:rPr>
                <w:rFonts w:ascii="仿宋" w:hAnsi="仿宋" w:eastAsia="仿宋"/>
                <w:sz w:val="17"/>
              </w:rPr>
              <w:t>9</w:t>
            </w:r>
          </w:p>
        </w:tc>
        <w:tc>
          <w:tcPr>
            <w:tcW w:w="1134" w:type="dxa"/>
            <w:vAlign w:val="center"/>
          </w:tcPr>
          <w:p w14:paraId="2CC080B9">
            <w:pPr>
              <w:jc w:val="left"/>
            </w:pPr>
            <w:r>
              <w:rPr>
                <w:rFonts w:ascii="仿宋" w:hAnsi="仿宋" w:eastAsia="仿宋"/>
                <w:sz w:val="17"/>
              </w:rPr>
              <w:t>大口径太阳减能系统</w:t>
            </w:r>
          </w:p>
        </w:tc>
        <w:tc>
          <w:tcPr>
            <w:tcW w:w="1388" w:type="dxa"/>
            <w:vAlign w:val="center"/>
          </w:tcPr>
          <w:p w14:paraId="70170675">
            <w:pPr>
              <w:jc w:val="center"/>
            </w:pPr>
            <w:r>
              <w:rPr>
                <w:rFonts w:ascii="仿宋" w:hAnsi="仿宋" w:eastAsia="仿宋"/>
                <w:sz w:val="17"/>
              </w:rPr>
              <w:t>#</w:t>
            </w:r>
          </w:p>
        </w:tc>
        <w:tc>
          <w:tcPr>
            <w:tcW w:w="2864" w:type="dxa"/>
            <w:vAlign w:val="center"/>
          </w:tcPr>
          <w:p w14:paraId="3E5F9AC2">
            <w:pPr>
              <w:jc w:val="left"/>
            </w:pPr>
            <w:r>
              <w:rPr>
                <w:rFonts w:ascii="仿宋" w:hAnsi="仿宋" w:eastAsia="仿宋"/>
                <w:sz w:val="17"/>
              </w:rPr>
              <w:t>配置与主望远镜口径相等的前置减能（ERF,H-Alpha FWHM ≤ 25nm）滤镜</w:t>
            </w:r>
          </w:p>
        </w:tc>
        <w:tc>
          <w:tcPr>
            <w:tcW w:w="2126" w:type="dxa"/>
            <w:vAlign w:val="center"/>
          </w:tcPr>
          <w:p w14:paraId="74C0DFD0">
            <w:pPr>
              <w:jc w:val="center"/>
            </w:pPr>
            <w:r>
              <w:rPr>
                <w:rFonts w:ascii="仿宋" w:hAnsi="仿宋" w:eastAsia="仿宋"/>
                <w:sz w:val="17"/>
              </w:rPr>
              <w:t>是</w:t>
            </w:r>
          </w:p>
        </w:tc>
      </w:tr>
      <w:tr w14:paraId="0881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8" w:type="dxa"/>
            <w:vAlign w:val="center"/>
          </w:tcPr>
          <w:p w14:paraId="76542D6E">
            <w:pPr>
              <w:jc w:val="center"/>
            </w:pPr>
            <w:r>
              <w:rPr>
                <w:rFonts w:ascii="仿宋" w:hAnsi="仿宋" w:eastAsia="仿宋"/>
                <w:sz w:val="17"/>
              </w:rPr>
              <w:t>10</w:t>
            </w:r>
          </w:p>
        </w:tc>
        <w:tc>
          <w:tcPr>
            <w:tcW w:w="1134" w:type="dxa"/>
            <w:vAlign w:val="center"/>
          </w:tcPr>
          <w:p w14:paraId="165FDEFB">
            <w:pPr>
              <w:jc w:val="left"/>
            </w:pPr>
            <w:r>
              <w:rPr>
                <w:rFonts w:ascii="仿宋" w:hAnsi="仿宋" w:eastAsia="仿宋"/>
                <w:sz w:val="17"/>
              </w:rPr>
              <w:t>太阳色球滤光系统</w:t>
            </w:r>
          </w:p>
        </w:tc>
        <w:tc>
          <w:tcPr>
            <w:tcW w:w="1388" w:type="dxa"/>
            <w:vAlign w:val="center"/>
          </w:tcPr>
          <w:p w14:paraId="76FA0D23">
            <w:pPr>
              <w:jc w:val="center"/>
            </w:pPr>
            <w:r>
              <w:rPr>
                <w:rFonts w:ascii="仿宋" w:hAnsi="仿宋" w:eastAsia="仿宋"/>
                <w:sz w:val="17"/>
              </w:rPr>
              <w:t>★</w:t>
            </w:r>
          </w:p>
        </w:tc>
        <w:tc>
          <w:tcPr>
            <w:tcW w:w="2864" w:type="dxa"/>
            <w:vAlign w:val="center"/>
          </w:tcPr>
          <w:p w14:paraId="71D6DC44">
            <w:pPr>
              <w:jc w:val="left"/>
            </w:pPr>
            <w:r>
              <w:rPr>
                <w:rFonts w:ascii="仿宋" w:hAnsi="仿宋" w:eastAsia="仿宋"/>
                <w:sz w:val="17"/>
              </w:rPr>
              <w:t xml:space="preserve">中心波长656.28 nm；滤光带宽≤0.5 </w:t>
            </w:r>
            <w:r>
              <w:rPr>
                <w:rFonts w:ascii="Calibri" w:hAnsi="Calibri" w:eastAsia="仿宋" w:cs="Calibri"/>
                <w:sz w:val="17"/>
              </w:rPr>
              <w:t>Å</w:t>
            </w:r>
          </w:p>
        </w:tc>
        <w:tc>
          <w:tcPr>
            <w:tcW w:w="2126" w:type="dxa"/>
            <w:vAlign w:val="center"/>
          </w:tcPr>
          <w:p w14:paraId="5ACD13EA">
            <w:pPr>
              <w:jc w:val="center"/>
            </w:pPr>
            <w:r>
              <w:rPr>
                <w:rFonts w:ascii="仿宋" w:hAnsi="仿宋" w:eastAsia="仿宋"/>
                <w:sz w:val="17"/>
              </w:rPr>
              <w:t>是</w:t>
            </w:r>
          </w:p>
        </w:tc>
      </w:tr>
      <w:tr w14:paraId="71FD9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8" w:type="dxa"/>
            <w:vAlign w:val="center"/>
          </w:tcPr>
          <w:p w14:paraId="7750C405">
            <w:pPr>
              <w:jc w:val="center"/>
            </w:pPr>
            <w:r>
              <w:rPr>
                <w:rFonts w:ascii="仿宋" w:hAnsi="仿宋" w:eastAsia="仿宋"/>
                <w:sz w:val="17"/>
              </w:rPr>
              <w:t>11</w:t>
            </w:r>
          </w:p>
        </w:tc>
        <w:tc>
          <w:tcPr>
            <w:tcW w:w="1134" w:type="dxa"/>
            <w:vAlign w:val="center"/>
          </w:tcPr>
          <w:p w14:paraId="707CDDB0">
            <w:pPr>
              <w:jc w:val="left"/>
            </w:pPr>
            <w:r>
              <w:rPr>
                <w:rFonts w:ascii="仿宋" w:hAnsi="仿宋" w:eastAsia="仿宋"/>
                <w:sz w:val="17"/>
              </w:rPr>
              <w:t>太阳高速成像相机</w:t>
            </w:r>
          </w:p>
        </w:tc>
        <w:tc>
          <w:tcPr>
            <w:tcW w:w="1388" w:type="dxa"/>
            <w:vAlign w:val="center"/>
          </w:tcPr>
          <w:p w14:paraId="01519C1B">
            <w:pPr>
              <w:jc w:val="center"/>
            </w:pPr>
            <w:r>
              <w:rPr>
                <w:rFonts w:ascii="仿宋" w:hAnsi="仿宋" w:eastAsia="仿宋"/>
                <w:sz w:val="17"/>
              </w:rPr>
              <w:t>★</w:t>
            </w:r>
          </w:p>
        </w:tc>
        <w:tc>
          <w:tcPr>
            <w:tcW w:w="2864" w:type="dxa"/>
            <w:vAlign w:val="center"/>
          </w:tcPr>
          <w:p w14:paraId="32DE7254">
            <w:pPr>
              <w:jc w:val="left"/>
            </w:pPr>
            <w:r>
              <w:rPr>
                <w:rFonts w:ascii="仿宋" w:hAnsi="仿宋" w:eastAsia="仿宋"/>
                <w:sz w:val="17"/>
              </w:rPr>
              <w:t>采用全局快门单色CMOS；最高帧率≥100 fps；数据位深≥12 bit</w:t>
            </w:r>
          </w:p>
        </w:tc>
        <w:tc>
          <w:tcPr>
            <w:tcW w:w="2126" w:type="dxa"/>
            <w:vAlign w:val="center"/>
          </w:tcPr>
          <w:p w14:paraId="1AD4D50A">
            <w:pPr>
              <w:jc w:val="center"/>
            </w:pPr>
            <w:r>
              <w:rPr>
                <w:rFonts w:ascii="仿宋" w:hAnsi="仿宋" w:eastAsia="仿宋"/>
                <w:sz w:val="17"/>
              </w:rPr>
              <w:t>是</w:t>
            </w:r>
          </w:p>
        </w:tc>
      </w:tr>
      <w:tr w14:paraId="7C30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8" w:type="dxa"/>
            <w:vAlign w:val="center"/>
          </w:tcPr>
          <w:p w14:paraId="29400B3C">
            <w:pPr>
              <w:jc w:val="center"/>
            </w:pPr>
            <w:r>
              <w:rPr>
                <w:rFonts w:ascii="仿宋" w:hAnsi="仿宋" w:eastAsia="仿宋"/>
                <w:sz w:val="17"/>
              </w:rPr>
              <w:t>12</w:t>
            </w:r>
          </w:p>
        </w:tc>
        <w:tc>
          <w:tcPr>
            <w:tcW w:w="1134" w:type="dxa"/>
            <w:vAlign w:val="center"/>
          </w:tcPr>
          <w:p w14:paraId="18FBD73D">
            <w:pPr>
              <w:jc w:val="left"/>
            </w:pPr>
            <w:r>
              <w:rPr>
                <w:rFonts w:ascii="仿宋" w:hAnsi="仿宋" w:eastAsia="仿宋"/>
                <w:sz w:val="17"/>
              </w:rPr>
              <w:t>配套附件</w:t>
            </w:r>
          </w:p>
        </w:tc>
        <w:tc>
          <w:tcPr>
            <w:tcW w:w="1388" w:type="dxa"/>
            <w:vAlign w:val="center"/>
          </w:tcPr>
          <w:p w14:paraId="107CFBDB">
            <w:pPr>
              <w:jc w:val="center"/>
            </w:pPr>
            <w:r>
              <w:rPr>
                <w:rFonts w:ascii="仿宋" w:hAnsi="仿宋" w:eastAsia="仿宋"/>
                <w:sz w:val="17"/>
              </w:rPr>
              <w:t>#</w:t>
            </w:r>
          </w:p>
        </w:tc>
        <w:tc>
          <w:tcPr>
            <w:tcW w:w="2864" w:type="dxa"/>
            <w:vAlign w:val="center"/>
          </w:tcPr>
          <w:p w14:paraId="25D6B8FB">
            <w:pPr>
              <w:jc w:val="left"/>
            </w:pPr>
            <w:r>
              <w:rPr>
                <w:rFonts w:ascii="仿宋" w:hAnsi="仿宋" w:eastAsia="仿宋"/>
                <w:sz w:val="17"/>
              </w:rPr>
              <w:t>配置目镜组（≥3组）、增倍镜组（≥2组）、线缆（USB3.0及以上）及满足系统完整运行所需的附件（包括但不限于ADC、抱箍转接环、配重、除雾带）</w:t>
            </w:r>
          </w:p>
        </w:tc>
        <w:tc>
          <w:tcPr>
            <w:tcW w:w="2126" w:type="dxa"/>
            <w:vAlign w:val="center"/>
          </w:tcPr>
          <w:p w14:paraId="39834668">
            <w:pPr>
              <w:jc w:val="center"/>
            </w:pPr>
            <w:r>
              <w:rPr>
                <w:rFonts w:ascii="仿宋" w:hAnsi="仿宋" w:eastAsia="仿宋"/>
                <w:sz w:val="17"/>
              </w:rPr>
              <w:t>否</w:t>
            </w:r>
          </w:p>
        </w:tc>
      </w:tr>
      <w:tr w14:paraId="56E2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8" w:type="dxa"/>
            <w:vAlign w:val="center"/>
          </w:tcPr>
          <w:p w14:paraId="791D7528">
            <w:pPr>
              <w:jc w:val="center"/>
            </w:pPr>
            <w:r>
              <w:rPr>
                <w:rFonts w:ascii="仿宋" w:hAnsi="仿宋" w:eastAsia="仿宋"/>
                <w:sz w:val="17"/>
              </w:rPr>
              <w:t>13</w:t>
            </w:r>
          </w:p>
        </w:tc>
        <w:tc>
          <w:tcPr>
            <w:tcW w:w="1134" w:type="dxa"/>
            <w:vAlign w:val="center"/>
          </w:tcPr>
          <w:p w14:paraId="7A246F8C">
            <w:pPr>
              <w:jc w:val="left"/>
            </w:pPr>
            <w:r>
              <w:rPr>
                <w:rFonts w:ascii="仿宋" w:hAnsi="仿宋" w:eastAsia="仿宋"/>
                <w:sz w:val="17"/>
              </w:rPr>
              <w:t>安全保护</w:t>
            </w:r>
          </w:p>
        </w:tc>
        <w:tc>
          <w:tcPr>
            <w:tcW w:w="1388" w:type="dxa"/>
            <w:vAlign w:val="center"/>
          </w:tcPr>
          <w:p w14:paraId="62D83CFA">
            <w:pPr>
              <w:jc w:val="center"/>
            </w:pPr>
            <w:r>
              <w:rPr>
                <w:rFonts w:ascii="仿宋" w:hAnsi="仿宋" w:eastAsia="仿宋"/>
                <w:sz w:val="17"/>
              </w:rPr>
              <w:t>★</w:t>
            </w:r>
          </w:p>
        </w:tc>
        <w:tc>
          <w:tcPr>
            <w:tcW w:w="2864" w:type="dxa"/>
            <w:vAlign w:val="center"/>
          </w:tcPr>
          <w:p w14:paraId="1CA82B0C">
            <w:pPr>
              <w:jc w:val="left"/>
            </w:pPr>
            <w:r>
              <w:rPr>
                <w:rFonts w:ascii="仿宋" w:hAnsi="仿宋" w:eastAsia="仿宋"/>
                <w:sz w:val="17"/>
              </w:rPr>
              <w:t>太阳观测光路应具有防误操作措施，禁止未经减能和窄带滤光的太阳直视或成像</w:t>
            </w:r>
          </w:p>
        </w:tc>
        <w:tc>
          <w:tcPr>
            <w:tcW w:w="2126" w:type="dxa"/>
            <w:vAlign w:val="center"/>
          </w:tcPr>
          <w:p w14:paraId="7A88383C">
            <w:pPr>
              <w:jc w:val="center"/>
            </w:pPr>
            <w:r>
              <w:rPr>
                <w:rFonts w:ascii="仿宋" w:hAnsi="仿宋" w:eastAsia="仿宋"/>
                <w:sz w:val="17"/>
              </w:rPr>
              <w:t>否</w:t>
            </w:r>
          </w:p>
        </w:tc>
      </w:tr>
    </w:tbl>
    <w:p w14:paraId="4060F9E8">
      <w:pPr>
        <w:autoSpaceDE w:val="0"/>
        <w:autoSpaceDN w:val="0"/>
        <w:adjustRightInd w:val="0"/>
        <w:snapToGrid w:val="0"/>
        <w:spacing w:before="156" w:beforeLines="50" w:line="360" w:lineRule="auto"/>
        <w:jc w:val="left"/>
        <w:rPr>
          <w:rFonts w:ascii="仿宋" w:hAnsi="仿宋" w:eastAsia="仿宋" w:cs="宋体"/>
          <w:b/>
          <w:snapToGrid w:val="0"/>
          <w:kern w:val="0"/>
          <w:sz w:val="24"/>
          <w:szCs w:val="24"/>
          <w:lang w:val="zh-CN"/>
        </w:rPr>
      </w:pPr>
      <w:r>
        <w:rPr>
          <w:rFonts w:ascii="仿宋" w:hAnsi="仿宋" w:eastAsia="仿宋" w:cs="宋体"/>
          <w:b/>
          <w:snapToGrid w:val="0"/>
          <w:kern w:val="0"/>
          <w:sz w:val="24"/>
          <w:szCs w:val="24"/>
          <w:lang w:val="zh-CN"/>
        </w:rPr>
        <w:t>说明：</w:t>
      </w:r>
    </w:p>
    <w:p w14:paraId="63601A63">
      <w:pPr>
        <w:autoSpaceDE w:val="0"/>
        <w:autoSpaceDN w:val="0"/>
        <w:adjustRightInd w:val="0"/>
        <w:snapToGrid w:val="0"/>
        <w:spacing w:line="360" w:lineRule="auto"/>
        <w:ind w:firstLine="480" w:firstLineChars="200"/>
        <w:jc w:val="left"/>
        <w:rPr>
          <w:rFonts w:ascii="仿宋" w:hAnsi="仿宋" w:eastAsia="仿宋" w:cs="宋体"/>
          <w:snapToGrid w:val="0"/>
          <w:kern w:val="0"/>
          <w:sz w:val="24"/>
          <w:szCs w:val="24"/>
          <w:lang w:val="zh-CN"/>
        </w:rPr>
      </w:pPr>
      <w:r>
        <w:rPr>
          <w:rFonts w:ascii="仿宋" w:hAnsi="仿宋" w:eastAsia="仿宋" w:cs="宋体"/>
          <w:snapToGrid w:val="0"/>
          <w:kern w:val="0"/>
          <w:sz w:val="24"/>
          <w:szCs w:val="24"/>
          <w:lang w:val="zh-CN"/>
        </w:rPr>
        <w:t>①重要性采用“★”“#”表示，“★”代表关键指标，不满足将导致响应被拒绝；“#”代表重要指标；无标识为一般指标。</w:t>
      </w:r>
    </w:p>
    <w:p w14:paraId="78E13163">
      <w:pPr>
        <w:autoSpaceDE w:val="0"/>
        <w:autoSpaceDN w:val="0"/>
        <w:adjustRightInd w:val="0"/>
        <w:snapToGrid w:val="0"/>
        <w:spacing w:line="360" w:lineRule="auto"/>
        <w:ind w:firstLine="480" w:firstLineChars="200"/>
        <w:jc w:val="left"/>
        <w:rPr>
          <w:rFonts w:ascii="仿宋" w:hAnsi="仿宋" w:eastAsia="仿宋" w:cs="宋体"/>
          <w:snapToGrid w:val="0"/>
          <w:kern w:val="0"/>
          <w:sz w:val="24"/>
          <w:szCs w:val="24"/>
          <w:lang w:val="zh-CN"/>
        </w:rPr>
      </w:pPr>
      <w:r>
        <w:rPr>
          <w:rFonts w:ascii="仿宋" w:hAnsi="仿宋" w:eastAsia="仿宋" w:cs="宋体"/>
          <w:snapToGrid w:val="0"/>
          <w:kern w:val="0"/>
          <w:sz w:val="24"/>
          <w:szCs w:val="24"/>
          <w:lang w:val="zh-CN"/>
        </w:rPr>
        <w:t>②“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填“否”的，投标人需在技术偏离说明表中响应，未提供或提供的技术偏离说明表中有负偏离的，则该指标按不满足处理。</w:t>
      </w:r>
    </w:p>
    <w:p w14:paraId="7230929B">
      <w:pPr>
        <w:keepNext/>
        <w:widowControl/>
        <w:shd w:val="clear" w:color="auto" w:fill="FFFFFF"/>
        <w:spacing w:line="360" w:lineRule="auto"/>
        <w:ind w:firstLine="480" w:firstLineChars="200"/>
        <w:rPr>
          <w:rFonts w:ascii="仿宋" w:hAnsi="仿宋" w:eastAsia="仿宋" w:cs="仿宋"/>
          <w:color w:val="000000"/>
          <w:kern w:val="0"/>
          <w:sz w:val="24"/>
          <w:szCs w:val="24"/>
          <w:shd w:val="clear" w:color="auto" w:fill="FFFFFF"/>
        </w:rPr>
      </w:pPr>
      <w:r>
        <w:rPr>
          <w:rFonts w:ascii="仿宋" w:hAnsi="仿宋" w:eastAsia="仿宋" w:cs="仿宋"/>
          <w:color w:val="000000"/>
          <w:kern w:val="0"/>
          <w:sz w:val="24"/>
          <w:szCs w:val="24"/>
          <w:shd w:val="clear" w:color="auto" w:fill="FFFFFF"/>
        </w:rPr>
        <w:t>（</w:t>
      </w:r>
      <w:r>
        <w:rPr>
          <w:rFonts w:hint="eastAsia" w:ascii="仿宋" w:hAnsi="仿宋" w:eastAsia="仿宋" w:cs="仿宋"/>
          <w:color w:val="000000"/>
          <w:kern w:val="0"/>
          <w:sz w:val="24"/>
          <w:szCs w:val="24"/>
          <w:shd w:val="clear" w:color="auto" w:fill="FFFFFF"/>
        </w:rPr>
        <w:t>2</w:t>
      </w:r>
      <w:r>
        <w:rPr>
          <w:rFonts w:ascii="仿宋" w:hAnsi="仿宋" w:eastAsia="仿宋" w:cs="仿宋"/>
          <w:color w:val="000000"/>
          <w:kern w:val="0"/>
          <w:sz w:val="24"/>
          <w:szCs w:val="24"/>
          <w:shd w:val="clear" w:color="auto" w:fill="FFFFFF"/>
        </w:rPr>
        <w:t>）4.5米自动化望远镜穹顶及观测平台（1套）</w:t>
      </w:r>
    </w:p>
    <w:p w14:paraId="4C753706">
      <w:pPr>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1.功能要求：为室外望远镜提供全天候防护、自动开闭、旋转寻缝、气象联动和远程运行条件，并建设满足教学参观要求的安全观测平台。</w:t>
      </w:r>
    </w:p>
    <w:p w14:paraId="47CCBE9D">
      <w:pPr>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2.应遵循的相关国家标准、行业标准、地方标准等标准、规范：结构、防雷接地、低压配电、消防和施工安全应符合现行国家及地方标准。</w:t>
      </w:r>
    </w:p>
    <w:p w14:paraId="14B97A49">
      <w:pPr>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3.后续运营维护、升级更新、备品备件等要求：提供不少于2年免费质保，质保期内提供定期巡检；控制系统软件终身免费升级，长期提供电机、控制器和密封件等备件。</w:t>
      </w:r>
    </w:p>
    <w:p w14:paraId="2A94EF8E">
      <w:pPr>
        <w:keepNext/>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04C0B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blHeader/>
          <w:jc w:val="center"/>
        </w:trPr>
        <w:tc>
          <w:tcPr>
            <w:tcW w:w="988" w:type="dxa"/>
            <w:vAlign w:val="center"/>
          </w:tcPr>
          <w:p w14:paraId="2EB6D46F">
            <w:pPr>
              <w:jc w:val="center"/>
            </w:pPr>
            <w:r>
              <w:rPr>
                <w:rFonts w:ascii="仿宋" w:hAnsi="仿宋" w:eastAsia="仿宋"/>
                <w:sz w:val="17"/>
              </w:rPr>
              <w:t>序号</w:t>
            </w:r>
          </w:p>
        </w:tc>
        <w:tc>
          <w:tcPr>
            <w:tcW w:w="1134" w:type="dxa"/>
            <w:vAlign w:val="center"/>
          </w:tcPr>
          <w:p w14:paraId="3700627E">
            <w:pPr>
              <w:jc w:val="center"/>
            </w:pPr>
            <w:r>
              <w:rPr>
                <w:rFonts w:ascii="仿宋" w:hAnsi="仿宋" w:eastAsia="仿宋"/>
                <w:sz w:val="17"/>
              </w:rPr>
              <w:t>指标项</w:t>
            </w:r>
          </w:p>
        </w:tc>
        <w:tc>
          <w:tcPr>
            <w:tcW w:w="1388" w:type="dxa"/>
            <w:vAlign w:val="center"/>
          </w:tcPr>
          <w:p w14:paraId="24CF5025">
            <w:pPr>
              <w:jc w:val="center"/>
            </w:pPr>
            <w:r>
              <w:rPr>
                <w:rFonts w:ascii="仿宋" w:hAnsi="仿宋" w:eastAsia="仿宋"/>
                <w:sz w:val="17"/>
              </w:rPr>
              <w:t>重要性</w:t>
            </w:r>
          </w:p>
        </w:tc>
        <w:tc>
          <w:tcPr>
            <w:tcW w:w="2864" w:type="dxa"/>
            <w:vAlign w:val="center"/>
          </w:tcPr>
          <w:p w14:paraId="40426326">
            <w:pPr>
              <w:jc w:val="center"/>
            </w:pPr>
            <w:r>
              <w:rPr>
                <w:rFonts w:ascii="仿宋" w:hAnsi="仿宋" w:eastAsia="仿宋"/>
                <w:sz w:val="17"/>
              </w:rPr>
              <w:t>指标要求</w:t>
            </w:r>
          </w:p>
        </w:tc>
        <w:tc>
          <w:tcPr>
            <w:tcW w:w="2126" w:type="dxa"/>
            <w:vAlign w:val="center"/>
          </w:tcPr>
          <w:p w14:paraId="4DE27C20">
            <w:pPr>
              <w:jc w:val="center"/>
            </w:pPr>
            <w:r>
              <w:rPr>
                <w:rFonts w:ascii="仿宋" w:hAnsi="仿宋" w:eastAsia="仿宋"/>
                <w:sz w:val="17"/>
              </w:rPr>
              <w:t>证明材料要求</w:t>
            </w:r>
          </w:p>
        </w:tc>
      </w:tr>
      <w:tr w14:paraId="644E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6F4DF4EF">
            <w:pPr>
              <w:jc w:val="center"/>
            </w:pPr>
            <w:r>
              <w:rPr>
                <w:rFonts w:ascii="仿宋" w:hAnsi="仿宋" w:eastAsia="仿宋"/>
                <w:sz w:val="17"/>
              </w:rPr>
              <w:t>1</w:t>
            </w:r>
          </w:p>
        </w:tc>
        <w:tc>
          <w:tcPr>
            <w:tcW w:w="1134" w:type="dxa"/>
            <w:vAlign w:val="center"/>
          </w:tcPr>
          <w:p w14:paraId="1CBA6F2F">
            <w:pPr>
              <w:jc w:val="left"/>
            </w:pPr>
            <w:r>
              <w:rPr>
                <w:rFonts w:ascii="仿宋" w:hAnsi="仿宋" w:eastAsia="仿宋"/>
                <w:sz w:val="17"/>
              </w:rPr>
              <w:t>穹顶尺寸</w:t>
            </w:r>
          </w:p>
        </w:tc>
        <w:tc>
          <w:tcPr>
            <w:tcW w:w="1388" w:type="dxa"/>
            <w:vAlign w:val="center"/>
          </w:tcPr>
          <w:p w14:paraId="37482961">
            <w:pPr>
              <w:jc w:val="center"/>
            </w:pPr>
            <w:r>
              <w:rPr>
                <w:rFonts w:ascii="仿宋" w:hAnsi="仿宋" w:eastAsia="仿宋"/>
                <w:sz w:val="17"/>
              </w:rPr>
              <w:t>★</w:t>
            </w:r>
          </w:p>
        </w:tc>
        <w:tc>
          <w:tcPr>
            <w:tcW w:w="2864" w:type="dxa"/>
            <w:vAlign w:val="center"/>
          </w:tcPr>
          <w:p w14:paraId="666836C4">
            <w:pPr>
              <w:jc w:val="left"/>
            </w:pPr>
            <w:r>
              <w:rPr>
                <w:rFonts w:ascii="仿宋" w:hAnsi="仿宋" w:eastAsia="仿宋"/>
                <w:sz w:val="17"/>
              </w:rPr>
              <w:t>穹顶直径≥4.5 m</w:t>
            </w:r>
          </w:p>
        </w:tc>
        <w:tc>
          <w:tcPr>
            <w:tcW w:w="2126" w:type="dxa"/>
            <w:vAlign w:val="center"/>
          </w:tcPr>
          <w:p w14:paraId="4709F6D0">
            <w:pPr>
              <w:jc w:val="center"/>
            </w:pPr>
            <w:r>
              <w:rPr>
                <w:rFonts w:ascii="仿宋" w:hAnsi="仿宋" w:eastAsia="仿宋"/>
                <w:sz w:val="17"/>
              </w:rPr>
              <w:t>是</w:t>
            </w:r>
          </w:p>
        </w:tc>
      </w:tr>
      <w:tr w14:paraId="51975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2D25E527">
            <w:pPr>
              <w:jc w:val="center"/>
            </w:pPr>
            <w:r>
              <w:rPr>
                <w:rFonts w:ascii="仿宋" w:hAnsi="仿宋" w:eastAsia="仿宋"/>
                <w:sz w:val="17"/>
              </w:rPr>
              <w:t>2</w:t>
            </w:r>
          </w:p>
        </w:tc>
        <w:tc>
          <w:tcPr>
            <w:tcW w:w="1134" w:type="dxa"/>
            <w:vAlign w:val="center"/>
          </w:tcPr>
          <w:p w14:paraId="21D4DCCA">
            <w:pPr>
              <w:jc w:val="left"/>
            </w:pPr>
            <w:r>
              <w:rPr>
                <w:rFonts w:ascii="仿宋" w:hAnsi="仿宋" w:eastAsia="仿宋"/>
                <w:sz w:val="17"/>
              </w:rPr>
              <w:t>开闭与旋转</w:t>
            </w:r>
          </w:p>
        </w:tc>
        <w:tc>
          <w:tcPr>
            <w:tcW w:w="1388" w:type="dxa"/>
            <w:vAlign w:val="center"/>
          </w:tcPr>
          <w:p w14:paraId="7E270021">
            <w:pPr>
              <w:jc w:val="center"/>
            </w:pPr>
            <w:r>
              <w:rPr>
                <w:rFonts w:ascii="仿宋" w:hAnsi="仿宋" w:eastAsia="仿宋"/>
                <w:sz w:val="17"/>
              </w:rPr>
              <w:t>★</w:t>
            </w:r>
          </w:p>
        </w:tc>
        <w:tc>
          <w:tcPr>
            <w:tcW w:w="2864" w:type="dxa"/>
            <w:vAlign w:val="center"/>
          </w:tcPr>
          <w:p w14:paraId="393CEE85">
            <w:pPr>
              <w:jc w:val="left"/>
            </w:pPr>
            <w:r>
              <w:rPr>
                <w:rFonts w:ascii="仿宋" w:hAnsi="仿宋" w:eastAsia="仿宋"/>
                <w:sz w:val="17"/>
              </w:rPr>
              <w:t>具备电动开闭和360°电动旋转功能，具有限位保护</w:t>
            </w:r>
          </w:p>
        </w:tc>
        <w:tc>
          <w:tcPr>
            <w:tcW w:w="2126" w:type="dxa"/>
            <w:vAlign w:val="center"/>
          </w:tcPr>
          <w:p w14:paraId="719739F5">
            <w:pPr>
              <w:jc w:val="center"/>
            </w:pPr>
            <w:r>
              <w:rPr>
                <w:rFonts w:ascii="仿宋" w:hAnsi="仿宋" w:eastAsia="仿宋"/>
                <w:sz w:val="17"/>
              </w:rPr>
              <w:t>是</w:t>
            </w:r>
          </w:p>
        </w:tc>
      </w:tr>
      <w:tr w14:paraId="78E5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36E8B88E">
            <w:pPr>
              <w:jc w:val="center"/>
            </w:pPr>
            <w:r>
              <w:rPr>
                <w:rFonts w:ascii="仿宋" w:hAnsi="仿宋" w:eastAsia="仿宋"/>
                <w:sz w:val="17"/>
              </w:rPr>
              <w:t>3</w:t>
            </w:r>
          </w:p>
        </w:tc>
        <w:tc>
          <w:tcPr>
            <w:tcW w:w="1134" w:type="dxa"/>
            <w:vAlign w:val="center"/>
          </w:tcPr>
          <w:p w14:paraId="18FCE6C5">
            <w:pPr>
              <w:jc w:val="left"/>
            </w:pPr>
            <w:r>
              <w:rPr>
                <w:rFonts w:ascii="仿宋" w:hAnsi="仿宋" w:eastAsia="仿宋"/>
                <w:sz w:val="17"/>
              </w:rPr>
              <w:t>自动寻缝</w:t>
            </w:r>
          </w:p>
        </w:tc>
        <w:tc>
          <w:tcPr>
            <w:tcW w:w="1388" w:type="dxa"/>
            <w:vAlign w:val="center"/>
          </w:tcPr>
          <w:p w14:paraId="392DDC79">
            <w:pPr>
              <w:jc w:val="center"/>
            </w:pPr>
            <w:r>
              <w:rPr>
                <w:rFonts w:ascii="仿宋" w:hAnsi="仿宋" w:eastAsia="仿宋"/>
                <w:sz w:val="17"/>
              </w:rPr>
              <w:t>★</w:t>
            </w:r>
          </w:p>
        </w:tc>
        <w:tc>
          <w:tcPr>
            <w:tcW w:w="2864" w:type="dxa"/>
            <w:vAlign w:val="center"/>
          </w:tcPr>
          <w:p w14:paraId="2F6FDDAF">
            <w:pPr>
              <w:jc w:val="left"/>
            </w:pPr>
            <w:r>
              <w:rPr>
                <w:rFonts w:ascii="仿宋" w:hAnsi="仿宋" w:eastAsia="仿宋"/>
                <w:sz w:val="17"/>
              </w:rPr>
              <w:t>支持穹顶开口与望远镜指向联动，可自动寻缝和同步跟踪</w:t>
            </w:r>
          </w:p>
        </w:tc>
        <w:tc>
          <w:tcPr>
            <w:tcW w:w="2126" w:type="dxa"/>
            <w:vAlign w:val="center"/>
          </w:tcPr>
          <w:p w14:paraId="7198403D">
            <w:pPr>
              <w:jc w:val="center"/>
            </w:pPr>
            <w:r>
              <w:rPr>
                <w:rFonts w:ascii="仿宋" w:hAnsi="仿宋" w:eastAsia="仿宋"/>
                <w:sz w:val="17"/>
              </w:rPr>
              <w:t>是</w:t>
            </w:r>
          </w:p>
        </w:tc>
      </w:tr>
      <w:tr w14:paraId="375E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1059D75D">
            <w:pPr>
              <w:jc w:val="center"/>
            </w:pPr>
            <w:r>
              <w:rPr>
                <w:rFonts w:ascii="仿宋" w:hAnsi="仿宋" w:eastAsia="仿宋"/>
                <w:sz w:val="17"/>
              </w:rPr>
              <w:t>4</w:t>
            </w:r>
          </w:p>
        </w:tc>
        <w:tc>
          <w:tcPr>
            <w:tcW w:w="1134" w:type="dxa"/>
            <w:vAlign w:val="center"/>
          </w:tcPr>
          <w:p w14:paraId="61A7CD3F">
            <w:pPr>
              <w:jc w:val="left"/>
            </w:pPr>
            <w:r>
              <w:rPr>
                <w:rFonts w:ascii="仿宋" w:hAnsi="仿宋" w:eastAsia="仿宋"/>
                <w:sz w:val="17"/>
              </w:rPr>
              <w:t>远程与自动化</w:t>
            </w:r>
          </w:p>
        </w:tc>
        <w:tc>
          <w:tcPr>
            <w:tcW w:w="1388" w:type="dxa"/>
            <w:vAlign w:val="center"/>
          </w:tcPr>
          <w:p w14:paraId="7D79C825">
            <w:pPr>
              <w:jc w:val="center"/>
            </w:pPr>
            <w:r>
              <w:rPr>
                <w:rFonts w:ascii="仿宋" w:hAnsi="仿宋" w:eastAsia="仿宋"/>
                <w:sz w:val="17"/>
              </w:rPr>
              <w:t>★</w:t>
            </w:r>
          </w:p>
        </w:tc>
        <w:tc>
          <w:tcPr>
            <w:tcW w:w="2864" w:type="dxa"/>
            <w:vAlign w:val="center"/>
          </w:tcPr>
          <w:p w14:paraId="4400209D">
            <w:pPr>
              <w:jc w:val="left"/>
            </w:pPr>
            <w:r>
              <w:rPr>
                <w:rFonts w:ascii="仿宋" w:hAnsi="仿宋" w:eastAsia="仿宋"/>
                <w:sz w:val="17"/>
              </w:rPr>
              <w:t>支持本地、远程和自动化控制，提供ASCOM或兼容的开放控制接口</w:t>
            </w:r>
          </w:p>
        </w:tc>
        <w:tc>
          <w:tcPr>
            <w:tcW w:w="2126" w:type="dxa"/>
            <w:vAlign w:val="center"/>
          </w:tcPr>
          <w:p w14:paraId="53EFF389">
            <w:pPr>
              <w:jc w:val="center"/>
            </w:pPr>
            <w:r>
              <w:rPr>
                <w:rFonts w:ascii="仿宋" w:hAnsi="仿宋" w:eastAsia="仿宋"/>
                <w:sz w:val="17"/>
              </w:rPr>
              <w:t>是</w:t>
            </w:r>
          </w:p>
        </w:tc>
      </w:tr>
      <w:tr w14:paraId="6BFF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4814FC36">
            <w:pPr>
              <w:jc w:val="center"/>
            </w:pPr>
            <w:r>
              <w:rPr>
                <w:rFonts w:ascii="仿宋" w:hAnsi="仿宋" w:eastAsia="仿宋"/>
                <w:sz w:val="17"/>
              </w:rPr>
              <w:t>5</w:t>
            </w:r>
          </w:p>
        </w:tc>
        <w:tc>
          <w:tcPr>
            <w:tcW w:w="1134" w:type="dxa"/>
            <w:vAlign w:val="center"/>
          </w:tcPr>
          <w:p w14:paraId="681C7BE1">
            <w:pPr>
              <w:jc w:val="left"/>
            </w:pPr>
            <w:r>
              <w:rPr>
                <w:rFonts w:ascii="仿宋" w:hAnsi="仿宋" w:eastAsia="仿宋"/>
                <w:sz w:val="17"/>
              </w:rPr>
              <w:t>气象联动保护</w:t>
            </w:r>
          </w:p>
        </w:tc>
        <w:tc>
          <w:tcPr>
            <w:tcW w:w="1388" w:type="dxa"/>
            <w:vAlign w:val="center"/>
          </w:tcPr>
          <w:p w14:paraId="27C965E5">
            <w:pPr>
              <w:jc w:val="center"/>
            </w:pPr>
            <w:r>
              <w:rPr>
                <w:rFonts w:ascii="仿宋" w:hAnsi="仿宋" w:eastAsia="仿宋"/>
                <w:sz w:val="17"/>
              </w:rPr>
              <w:t>#</w:t>
            </w:r>
          </w:p>
        </w:tc>
        <w:tc>
          <w:tcPr>
            <w:tcW w:w="2864" w:type="dxa"/>
            <w:vAlign w:val="center"/>
          </w:tcPr>
          <w:p w14:paraId="7456BF08">
            <w:pPr>
              <w:jc w:val="left"/>
            </w:pPr>
            <w:r>
              <w:rPr>
                <w:rFonts w:ascii="仿宋" w:hAnsi="仿宋" w:eastAsia="仿宋"/>
                <w:sz w:val="17"/>
              </w:rPr>
              <w:t>监测降雨、风速、温湿度等参数，出现恶劣天气时可自动关闭</w:t>
            </w:r>
          </w:p>
        </w:tc>
        <w:tc>
          <w:tcPr>
            <w:tcW w:w="2126" w:type="dxa"/>
            <w:vAlign w:val="center"/>
          </w:tcPr>
          <w:p w14:paraId="3EEB82A1">
            <w:pPr>
              <w:jc w:val="center"/>
            </w:pPr>
            <w:r>
              <w:rPr>
                <w:rFonts w:ascii="仿宋" w:hAnsi="仿宋" w:eastAsia="仿宋"/>
                <w:sz w:val="17"/>
              </w:rPr>
              <w:t>是</w:t>
            </w:r>
          </w:p>
        </w:tc>
      </w:tr>
      <w:tr w14:paraId="0D00F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36036928">
            <w:pPr>
              <w:jc w:val="center"/>
            </w:pPr>
            <w:r>
              <w:rPr>
                <w:rFonts w:ascii="仿宋" w:hAnsi="仿宋" w:eastAsia="仿宋"/>
                <w:sz w:val="17"/>
              </w:rPr>
              <w:t>6</w:t>
            </w:r>
          </w:p>
        </w:tc>
        <w:tc>
          <w:tcPr>
            <w:tcW w:w="1134" w:type="dxa"/>
            <w:vAlign w:val="center"/>
          </w:tcPr>
          <w:p w14:paraId="3BE5FF78">
            <w:pPr>
              <w:jc w:val="left"/>
            </w:pPr>
            <w:r>
              <w:rPr>
                <w:rFonts w:ascii="仿宋" w:hAnsi="仿宋" w:eastAsia="仿宋"/>
                <w:sz w:val="17"/>
              </w:rPr>
              <w:t>停电应急</w:t>
            </w:r>
          </w:p>
        </w:tc>
        <w:tc>
          <w:tcPr>
            <w:tcW w:w="1388" w:type="dxa"/>
            <w:vAlign w:val="center"/>
          </w:tcPr>
          <w:p w14:paraId="01867391">
            <w:pPr>
              <w:jc w:val="center"/>
            </w:pPr>
            <w:r>
              <w:rPr>
                <w:rFonts w:ascii="仿宋" w:hAnsi="仿宋" w:eastAsia="仿宋"/>
                <w:sz w:val="17"/>
              </w:rPr>
              <w:t>#</w:t>
            </w:r>
          </w:p>
        </w:tc>
        <w:tc>
          <w:tcPr>
            <w:tcW w:w="2864" w:type="dxa"/>
            <w:vAlign w:val="center"/>
          </w:tcPr>
          <w:p w14:paraId="1E0C3468">
            <w:pPr>
              <w:jc w:val="left"/>
            </w:pPr>
            <w:r>
              <w:rPr>
                <w:rFonts w:ascii="仿宋" w:hAnsi="仿宋" w:eastAsia="仿宋"/>
                <w:sz w:val="17"/>
              </w:rPr>
              <w:t>停电或通信异常时具备应急关闭措施，穹顶内所有用电器接入不间断电源，满足断电后30min内可稳压运行的能力</w:t>
            </w:r>
          </w:p>
        </w:tc>
        <w:tc>
          <w:tcPr>
            <w:tcW w:w="2126" w:type="dxa"/>
            <w:vAlign w:val="center"/>
          </w:tcPr>
          <w:p w14:paraId="55432C22">
            <w:pPr>
              <w:jc w:val="center"/>
            </w:pPr>
            <w:r>
              <w:rPr>
                <w:rFonts w:ascii="仿宋" w:hAnsi="仿宋" w:eastAsia="仿宋"/>
                <w:sz w:val="17"/>
              </w:rPr>
              <w:t>是</w:t>
            </w:r>
          </w:p>
        </w:tc>
      </w:tr>
      <w:tr w14:paraId="54EFC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79D3D784">
            <w:pPr>
              <w:jc w:val="center"/>
            </w:pPr>
            <w:r>
              <w:rPr>
                <w:rFonts w:ascii="仿宋" w:hAnsi="仿宋" w:eastAsia="仿宋"/>
                <w:sz w:val="17"/>
              </w:rPr>
              <w:t>7</w:t>
            </w:r>
          </w:p>
        </w:tc>
        <w:tc>
          <w:tcPr>
            <w:tcW w:w="1134" w:type="dxa"/>
            <w:vAlign w:val="center"/>
          </w:tcPr>
          <w:p w14:paraId="4EFFE900">
            <w:pPr>
              <w:jc w:val="left"/>
            </w:pPr>
            <w:r>
              <w:rPr>
                <w:rFonts w:ascii="仿宋" w:hAnsi="仿宋" w:eastAsia="仿宋"/>
                <w:sz w:val="17"/>
              </w:rPr>
              <w:t>开口与运行性能</w:t>
            </w:r>
          </w:p>
        </w:tc>
        <w:tc>
          <w:tcPr>
            <w:tcW w:w="1388" w:type="dxa"/>
            <w:vAlign w:val="center"/>
          </w:tcPr>
          <w:p w14:paraId="4A9A7D31">
            <w:pPr>
              <w:jc w:val="center"/>
            </w:pPr>
            <w:r>
              <w:rPr>
                <w:rFonts w:ascii="仿宋" w:hAnsi="仿宋" w:eastAsia="仿宋"/>
                <w:sz w:val="17"/>
              </w:rPr>
              <w:t>#</w:t>
            </w:r>
          </w:p>
        </w:tc>
        <w:tc>
          <w:tcPr>
            <w:tcW w:w="2864" w:type="dxa"/>
            <w:vAlign w:val="center"/>
          </w:tcPr>
          <w:p w14:paraId="23C192A0">
            <w:pPr>
              <w:jc w:val="left"/>
            </w:pPr>
            <w:r>
              <w:rPr>
                <w:rFonts w:ascii="仿宋" w:hAnsi="仿宋" w:eastAsia="仿宋"/>
                <w:sz w:val="17"/>
              </w:rPr>
              <w:t>观测开口宽度≥1.2 m；穹顶旋转速度≥3°/s；定位误差≤1°</w:t>
            </w:r>
          </w:p>
        </w:tc>
        <w:tc>
          <w:tcPr>
            <w:tcW w:w="2126" w:type="dxa"/>
            <w:vAlign w:val="center"/>
          </w:tcPr>
          <w:p w14:paraId="5422C516">
            <w:pPr>
              <w:jc w:val="center"/>
            </w:pPr>
            <w:r>
              <w:rPr>
                <w:rFonts w:ascii="仿宋" w:hAnsi="仿宋" w:eastAsia="仿宋"/>
                <w:sz w:val="17"/>
              </w:rPr>
              <w:t>是</w:t>
            </w:r>
          </w:p>
        </w:tc>
      </w:tr>
      <w:tr w14:paraId="23BDC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0E0BDB1C">
            <w:pPr>
              <w:jc w:val="center"/>
            </w:pPr>
            <w:r>
              <w:rPr>
                <w:rFonts w:ascii="仿宋" w:hAnsi="仿宋" w:eastAsia="仿宋"/>
                <w:sz w:val="17"/>
              </w:rPr>
              <w:t>8</w:t>
            </w:r>
          </w:p>
        </w:tc>
        <w:tc>
          <w:tcPr>
            <w:tcW w:w="1134" w:type="dxa"/>
            <w:vAlign w:val="center"/>
          </w:tcPr>
          <w:p w14:paraId="77E1861A">
            <w:pPr>
              <w:jc w:val="left"/>
            </w:pPr>
            <w:r>
              <w:rPr>
                <w:rFonts w:ascii="仿宋" w:hAnsi="仿宋" w:eastAsia="仿宋"/>
                <w:sz w:val="17"/>
              </w:rPr>
              <w:t>独立观测基础</w:t>
            </w:r>
          </w:p>
        </w:tc>
        <w:tc>
          <w:tcPr>
            <w:tcW w:w="1388" w:type="dxa"/>
            <w:vAlign w:val="center"/>
          </w:tcPr>
          <w:p w14:paraId="21E297D9">
            <w:pPr>
              <w:jc w:val="center"/>
            </w:pPr>
            <w:r>
              <w:rPr>
                <w:rFonts w:ascii="仿宋" w:hAnsi="仿宋" w:eastAsia="仿宋"/>
                <w:sz w:val="17"/>
              </w:rPr>
              <w:t>#</w:t>
            </w:r>
          </w:p>
        </w:tc>
        <w:tc>
          <w:tcPr>
            <w:tcW w:w="2864" w:type="dxa"/>
            <w:vAlign w:val="center"/>
          </w:tcPr>
          <w:p w14:paraId="0CE811D0">
            <w:pPr>
              <w:jc w:val="left"/>
            </w:pPr>
            <w:r>
              <w:rPr>
                <w:rFonts w:ascii="仿宋" w:hAnsi="仿宋" w:eastAsia="仿宋"/>
                <w:sz w:val="17"/>
              </w:rPr>
              <w:t>设置独立望远镜基础或立柱（为钢结构或钢筋混凝土结构），与人员活动平台采取隔振措施</w:t>
            </w:r>
          </w:p>
        </w:tc>
        <w:tc>
          <w:tcPr>
            <w:tcW w:w="2126" w:type="dxa"/>
            <w:vAlign w:val="center"/>
          </w:tcPr>
          <w:p w14:paraId="3E0011F5">
            <w:pPr>
              <w:jc w:val="center"/>
            </w:pPr>
            <w:r>
              <w:rPr>
                <w:rFonts w:ascii="仿宋" w:hAnsi="仿宋" w:eastAsia="仿宋"/>
                <w:sz w:val="17"/>
              </w:rPr>
              <w:t>是</w:t>
            </w:r>
          </w:p>
        </w:tc>
      </w:tr>
      <w:tr w14:paraId="190B7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8" w:type="dxa"/>
            <w:vAlign w:val="center"/>
          </w:tcPr>
          <w:p w14:paraId="41F21017">
            <w:pPr>
              <w:jc w:val="center"/>
            </w:pPr>
            <w:r>
              <w:rPr>
                <w:rFonts w:ascii="仿宋" w:hAnsi="仿宋" w:eastAsia="仿宋"/>
                <w:sz w:val="17"/>
              </w:rPr>
              <w:t>9</w:t>
            </w:r>
          </w:p>
        </w:tc>
        <w:tc>
          <w:tcPr>
            <w:tcW w:w="1134" w:type="dxa"/>
            <w:vAlign w:val="center"/>
          </w:tcPr>
          <w:p w14:paraId="7E6007CF">
            <w:pPr>
              <w:jc w:val="left"/>
            </w:pPr>
            <w:r>
              <w:rPr>
                <w:rFonts w:ascii="仿宋" w:hAnsi="仿宋" w:eastAsia="仿宋"/>
                <w:sz w:val="17"/>
              </w:rPr>
              <w:t>平台与安全防护</w:t>
            </w:r>
          </w:p>
        </w:tc>
        <w:tc>
          <w:tcPr>
            <w:tcW w:w="1388" w:type="dxa"/>
            <w:vAlign w:val="center"/>
          </w:tcPr>
          <w:p w14:paraId="45189F03">
            <w:pPr>
              <w:jc w:val="center"/>
            </w:pPr>
            <w:r>
              <w:rPr>
                <w:rFonts w:ascii="仿宋" w:hAnsi="仿宋" w:eastAsia="仿宋"/>
                <w:sz w:val="17"/>
              </w:rPr>
              <w:t>#</w:t>
            </w:r>
          </w:p>
        </w:tc>
        <w:tc>
          <w:tcPr>
            <w:tcW w:w="2864" w:type="dxa"/>
            <w:vAlign w:val="center"/>
          </w:tcPr>
          <w:p w14:paraId="5C991805">
            <w:pPr>
              <w:jc w:val="left"/>
            </w:pPr>
            <w:r>
              <w:rPr>
                <w:rFonts w:ascii="仿宋" w:hAnsi="仿宋" w:eastAsia="仿宋"/>
                <w:sz w:val="17"/>
              </w:rPr>
              <w:t>钢结构平台、楼梯、护栏和防滑设施满足承载（≥3000kg）、抗风（≥10级）</w:t>
            </w:r>
          </w:p>
        </w:tc>
        <w:tc>
          <w:tcPr>
            <w:tcW w:w="2126" w:type="dxa"/>
            <w:vAlign w:val="center"/>
          </w:tcPr>
          <w:p w14:paraId="783B612A">
            <w:pPr>
              <w:jc w:val="center"/>
            </w:pPr>
            <w:r>
              <w:rPr>
                <w:rFonts w:ascii="仿宋" w:hAnsi="仿宋" w:eastAsia="仿宋"/>
                <w:sz w:val="17"/>
              </w:rPr>
              <w:t>是</w:t>
            </w:r>
          </w:p>
        </w:tc>
      </w:tr>
      <w:tr w14:paraId="3B13C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8" w:type="dxa"/>
            <w:vAlign w:val="center"/>
          </w:tcPr>
          <w:p w14:paraId="66F85138">
            <w:pPr>
              <w:jc w:val="center"/>
            </w:pPr>
            <w:r>
              <w:rPr>
                <w:rFonts w:ascii="仿宋" w:hAnsi="仿宋" w:eastAsia="仿宋"/>
                <w:sz w:val="17"/>
              </w:rPr>
              <w:t>10</w:t>
            </w:r>
          </w:p>
        </w:tc>
        <w:tc>
          <w:tcPr>
            <w:tcW w:w="1134" w:type="dxa"/>
            <w:vAlign w:val="center"/>
          </w:tcPr>
          <w:p w14:paraId="5F50CDB9">
            <w:pPr>
              <w:jc w:val="left"/>
            </w:pPr>
            <w:r>
              <w:rPr>
                <w:rFonts w:ascii="仿宋" w:hAnsi="仿宋" w:eastAsia="仿宋"/>
                <w:sz w:val="17"/>
              </w:rPr>
              <w:t>防雷接地</w:t>
            </w:r>
          </w:p>
        </w:tc>
        <w:tc>
          <w:tcPr>
            <w:tcW w:w="1388" w:type="dxa"/>
            <w:vAlign w:val="center"/>
          </w:tcPr>
          <w:p w14:paraId="39F12021">
            <w:pPr>
              <w:jc w:val="center"/>
            </w:pPr>
            <w:r>
              <w:rPr>
                <w:rFonts w:ascii="仿宋" w:hAnsi="仿宋" w:eastAsia="仿宋"/>
                <w:sz w:val="17"/>
              </w:rPr>
              <w:t>#</w:t>
            </w:r>
          </w:p>
        </w:tc>
        <w:tc>
          <w:tcPr>
            <w:tcW w:w="2864" w:type="dxa"/>
            <w:vAlign w:val="center"/>
          </w:tcPr>
          <w:p w14:paraId="726A575E">
            <w:pPr>
              <w:jc w:val="left"/>
            </w:pPr>
            <w:r>
              <w:rPr>
                <w:rFonts w:ascii="仿宋" w:hAnsi="仿宋" w:eastAsia="仿宋"/>
                <w:sz w:val="17"/>
              </w:rPr>
              <w:t>配置符合现行规范的防雷、接地和浪涌保护系统</w:t>
            </w:r>
          </w:p>
        </w:tc>
        <w:tc>
          <w:tcPr>
            <w:tcW w:w="2126" w:type="dxa"/>
            <w:vAlign w:val="center"/>
          </w:tcPr>
          <w:p w14:paraId="74A6B8FE">
            <w:pPr>
              <w:jc w:val="center"/>
            </w:pPr>
            <w:r>
              <w:rPr>
                <w:rFonts w:ascii="仿宋" w:hAnsi="仿宋" w:eastAsia="仿宋"/>
                <w:sz w:val="17"/>
              </w:rPr>
              <w:t>是</w:t>
            </w:r>
          </w:p>
        </w:tc>
      </w:tr>
      <w:tr w14:paraId="5D826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8" w:type="dxa"/>
            <w:vAlign w:val="center"/>
          </w:tcPr>
          <w:p w14:paraId="01DC4F56">
            <w:pPr>
              <w:jc w:val="center"/>
            </w:pPr>
            <w:r>
              <w:rPr>
                <w:rFonts w:ascii="仿宋" w:hAnsi="仿宋" w:eastAsia="仿宋"/>
                <w:sz w:val="17"/>
              </w:rPr>
              <w:t>11</w:t>
            </w:r>
          </w:p>
        </w:tc>
        <w:tc>
          <w:tcPr>
            <w:tcW w:w="1134" w:type="dxa"/>
            <w:vAlign w:val="center"/>
          </w:tcPr>
          <w:p w14:paraId="7BDC40CC">
            <w:pPr>
              <w:jc w:val="left"/>
            </w:pPr>
            <w:r>
              <w:rPr>
                <w:rFonts w:ascii="仿宋" w:hAnsi="仿宋" w:eastAsia="仿宋"/>
                <w:sz w:val="17"/>
              </w:rPr>
              <w:t>环境保障</w:t>
            </w:r>
          </w:p>
        </w:tc>
        <w:tc>
          <w:tcPr>
            <w:tcW w:w="1388" w:type="dxa"/>
            <w:vAlign w:val="center"/>
          </w:tcPr>
          <w:p w14:paraId="4BAED8E8"/>
        </w:tc>
        <w:tc>
          <w:tcPr>
            <w:tcW w:w="2864" w:type="dxa"/>
            <w:vAlign w:val="center"/>
          </w:tcPr>
          <w:p w14:paraId="0DC4245C">
            <w:pPr>
              <w:jc w:val="left"/>
            </w:pPr>
            <w:r>
              <w:rPr>
                <w:rFonts w:ascii="仿宋" w:hAnsi="仿宋" w:eastAsia="仿宋"/>
                <w:sz w:val="17"/>
              </w:rPr>
              <w:t>配置电子防潮存储设备及必要的通风、温湿度监测和设备维护空间</w:t>
            </w:r>
          </w:p>
        </w:tc>
        <w:tc>
          <w:tcPr>
            <w:tcW w:w="2126" w:type="dxa"/>
            <w:vAlign w:val="center"/>
          </w:tcPr>
          <w:p w14:paraId="38B39C5D">
            <w:pPr>
              <w:jc w:val="center"/>
            </w:pPr>
            <w:r>
              <w:rPr>
                <w:rFonts w:ascii="仿宋" w:hAnsi="仿宋" w:eastAsia="仿宋"/>
                <w:sz w:val="17"/>
              </w:rPr>
              <w:t>否</w:t>
            </w:r>
          </w:p>
        </w:tc>
      </w:tr>
    </w:tbl>
    <w:p w14:paraId="6E7A68BB">
      <w:pPr>
        <w:autoSpaceDE w:val="0"/>
        <w:autoSpaceDN w:val="0"/>
        <w:adjustRightInd w:val="0"/>
        <w:snapToGrid w:val="0"/>
        <w:spacing w:before="156" w:beforeLines="50" w:line="360" w:lineRule="auto"/>
        <w:jc w:val="left"/>
        <w:rPr>
          <w:rFonts w:ascii="仿宋" w:hAnsi="仿宋" w:eastAsia="仿宋" w:cs="宋体"/>
          <w:b/>
          <w:snapToGrid w:val="0"/>
          <w:kern w:val="0"/>
          <w:sz w:val="24"/>
          <w:szCs w:val="24"/>
          <w:lang w:val="zh-CN"/>
        </w:rPr>
      </w:pPr>
      <w:r>
        <w:rPr>
          <w:rFonts w:ascii="仿宋" w:hAnsi="仿宋" w:eastAsia="仿宋" w:cs="宋体"/>
          <w:b/>
          <w:snapToGrid w:val="0"/>
          <w:kern w:val="0"/>
          <w:sz w:val="24"/>
          <w:szCs w:val="24"/>
          <w:lang w:val="zh-CN"/>
        </w:rPr>
        <w:t>说明：</w:t>
      </w:r>
    </w:p>
    <w:p w14:paraId="6910AF1D">
      <w:pPr>
        <w:autoSpaceDE w:val="0"/>
        <w:autoSpaceDN w:val="0"/>
        <w:adjustRightInd w:val="0"/>
        <w:snapToGrid w:val="0"/>
        <w:spacing w:line="360" w:lineRule="auto"/>
        <w:ind w:firstLine="480" w:firstLineChars="200"/>
        <w:jc w:val="left"/>
        <w:rPr>
          <w:rFonts w:ascii="仿宋" w:hAnsi="仿宋" w:eastAsia="仿宋" w:cs="宋体"/>
          <w:snapToGrid w:val="0"/>
          <w:kern w:val="0"/>
          <w:sz w:val="24"/>
          <w:szCs w:val="24"/>
          <w:lang w:val="zh-CN"/>
        </w:rPr>
      </w:pPr>
      <w:r>
        <w:rPr>
          <w:rFonts w:ascii="仿宋" w:hAnsi="仿宋" w:eastAsia="仿宋" w:cs="宋体"/>
          <w:snapToGrid w:val="0"/>
          <w:kern w:val="0"/>
          <w:sz w:val="24"/>
          <w:szCs w:val="24"/>
          <w:lang w:val="zh-CN"/>
        </w:rPr>
        <w:t>①重要性采用“★”“#”表示，“★”代表关键指标，不满足将导致响应被拒绝；“#”代表重要指标；无标识为一般指标。</w:t>
      </w:r>
    </w:p>
    <w:p w14:paraId="401ADC01">
      <w:pPr>
        <w:autoSpaceDE w:val="0"/>
        <w:autoSpaceDN w:val="0"/>
        <w:adjustRightInd w:val="0"/>
        <w:snapToGrid w:val="0"/>
        <w:spacing w:line="360" w:lineRule="auto"/>
        <w:ind w:firstLine="480" w:firstLineChars="200"/>
        <w:jc w:val="left"/>
        <w:rPr>
          <w:rFonts w:ascii="仿宋" w:hAnsi="仿宋" w:eastAsia="仿宋" w:cs="宋体"/>
          <w:snapToGrid w:val="0"/>
          <w:kern w:val="0"/>
          <w:sz w:val="24"/>
          <w:szCs w:val="24"/>
          <w:lang w:val="zh-CN"/>
        </w:rPr>
      </w:pPr>
      <w:r>
        <w:rPr>
          <w:rFonts w:ascii="仿宋" w:hAnsi="仿宋" w:eastAsia="仿宋" w:cs="宋体"/>
          <w:snapToGrid w:val="0"/>
          <w:kern w:val="0"/>
          <w:sz w:val="24"/>
          <w:szCs w:val="24"/>
          <w:lang w:val="zh-CN"/>
        </w:rPr>
        <w:t>②“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填“否”的，投标人需在技术偏离说明表中响应，未提供或提供的技术偏离说明表中有负偏离的，则该指标按不满足处理。</w:t>
      </w:r>
    </w:p>
    <w:p w14:paraId="6176DE7D">
      <w:pPr>
        <w:keepNext/>
        <w:widowControl/>
        <w:shd w:val="clear" w:color="auto" w:fill="FFFFFF"/>
        <w:spacing w:line="360" w:lineRule="auto"/>
        <w:ind w:firstLine="480" w:firstLineChars="200"/>
        <w:rPr>
          <w:rFonts w:ascii="仿宋" w:hAnsi="仿宋" w:eastAsia="仿宋" w:cs="仿宋"/>
          <w:color w:val="000000"/>
          <w:kern w:val="0"/>
          <w:sz w:val="24"/>
          <w:szCs w:val="24"/>
          <w:shd w:val="clear" w:color="auto" w:fill="FFFFFF"/>
        </w:rPr>
      </w:pPr>
      <w:r>
        <w:rPr>
          <w:rFonts w:ascii="仿宋" w:hAnsi="仿宋" w:eastAsia="仿宋" w:cs="仿宋"/>
          <w:color w:val="000000"/>
          <w:kern w:val="0"/>
          <w:sz w:val="24"/>
          <w:szCs w:val="24"/>
          <w:shd w:val="clear" w:color="auto" w:fill="FFFFFF"/>
        </w:rPr>
        <w:t>（</w:t>
      </w:r>
      <w:r>
        <w:rPr>
          <w:rFonts w:hint="eastAsia" w:ascii="仿宋" w:hAnsi="仿宋" w:eastAsia="仿宋" w:cs="仿宋"/>
          <w:color w:val="000000"/>
          <w:kern w:val="0"/>
          <w:sz w:val="24"/>
          <w:szCs w:val="24"/>
          <w:shd w:val="clear" w:color="auto" w:fill="FFFFFF"/>
        </w:rPr>
        <w:t>3</w:t>
      </w:r>
      <w:r>
        <w:rPr>
          <w:rFonts w:ascii="仿宋" w:hAnsi="仿宋" w:eastAsia="仿宋" w:cs="仿宋"/>
          <w:color w:val="000000"/>
          <w:kern w:val="0"/>
          <w:sz w:val="24"/>
          <w:szCs w:val="24"/>
          <w:shd w:val="clear" w:color="auto" w:fill="FFFFFF"/>
        </w:rPr>
        <w:t>）室内成像与仿真系统（1套）</w:t>
      </w:r>
    </w:p>
    <w:p w14:paraId="2842503B">
      <w:pPr>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1.功能要求：用于室外望远镜观测画面的室内实时显示、数字星空和天体运行仿真、VR沉浸式教学及互动科普展示。</w:t>
      </w:r>
    </w:p>
    <w:p w14:paraId="130CB3B7">
      <w:pPr>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2.应遵循的相关国家标准、行业标准、地方标准等标准、规范：计算机、显示、网络和VR设备应符合现行电气安全、信息安全及教学场所使用规范。</w:t>
      </w:r>
    </w:p>
    <w:p w14:paraId="69572382">
      <w:pPr>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3.后续运营维护、升级更新、备品备件等要求：硬件提供不少于2年免费质保，系统和教学软件终身免费升级；提供课程资源更新、系统备份恢复和现场培训服务。</w:t>
      </w:r>
    </w:p>
    <w:p w14:paraId="4EFA1CA0">
      <w:pPr>
        <w:keepNext/>
        <w:widowControl/>
        <w:shd w:val="clear" w:color="auto" w:fill="FFFFFF"/>
        <w:spacing w:line="360" w:lineRule="auto"/>
        <w:ind w:firstLine="480" w:firstLineChars="200"/>
        <w:jc w:val="left"/>
        <w:rPr>
          <w:rFonts w:ascii="仿宋" w:hAnsi="仿宋" w:eastAsia="仿宋"/>
          <w:sz w:val="24"/>
          <w:szCs w:val="24"/>
        </w:rPr>
      </w:pPr>
      <w:r>
        <w:rPr>
          <w:rFonts w:ascii="仿宋" w:hAnsi="仿宋" w:eastAsia="仿宋"/>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12A9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blHeader/>
          <w:jc w:val="center"/>
        </w:trPr>
        <w:tc>
          <w:tcPr>
            <w:tcW w:w="988" w:type="dxa"/>
            <w:vAlign w:val="center"/>
          </w:tcPr>
          <w:p w14:paraId="6C28FD44">
            <w:pPr>
              <w:jc w:val="center"/>
            </w:pPr>
            <w:r>
              <w:rPr>
                <w:rFonts w:ascii="仿宋" w:hAnsi="仿宋" w:eastAsia="仿宋"/>
                <w:sz w:val="17"/>
              </w:rPr>
              <w:t>序号</w:t>
            </w:r>
          </w:p>
        </w:tc>
        <w:tc>
          <w:tcPr>
            <w:tcW w:w="1134" w:type="dxa"/>
            <w:vAlign w:val="center"/>
          </w:tcPr>
          <w:p w14:paraId="7B88FD0E">
            <w:pPr>
              <w:jc w:val="center"/>
            </w:pPr>
            <w:r>
              <w:rPr>
                <w:rFonts w:ascii="仿宋" w:hAnsi="仿宋" w:eastAsia="仿宋"/>
                <w:sz w:val="17"/>
              </w:rPr>
              <w:t>指标项</w:t>
            </w:r>
          </w:p>
        </w:tc>
        <w:tc>
          <w:tcPr>
            <w:tcW w:w="1388" w:type="dxa"/>
            <w:vAlign w:val="center"/>
          </w:tcPr>
          <w:p w14:paraId="5160FCE5">
            <w:pPr>
              <w:jc w:val="center"/>
            </w:pPr>
            <w:r>
              <w:rPr>
                <w:rFonts w:ascii="仿宋" w:hAnsi="仿宋" w:eastAsia="仿宋"/>
                <w:sz w:val="17"/>
              </w:rPr>
              <w:t>重要性</w:t>
            </w:r>
          </w:p>
        </w:tc>
        <w:tc>
          <w:tcPr>
            <w:tcW w:w="2864" w:type="dxa"/>
            <w:vAlign w:val="center"/>
          </w:tcPr>
          <w:p w14:paraId="10D2ABF2">
            <w:pPr>
              <w:jc w:val="center"/>
            </w:pPr>
            <w:r>
              <w:rPr>
                <w:rFonts w:ascii="仿宋" w:hAnsi="仿宋" w:eastAsia="仿宋"/>
                <w:sz w:val="17"/>
              </w:rPr>
              <w:t>指标要求</w:t>
            </w:r>
          </w:p>
        </w:tc>
        <w:tc>
          <w:tcPr>
            <w:tcW w:w="2126" w:type="dxa"/>
            <w:vAlign w:val="center"/>
          </w:tcPr>
          <w:p w14:paraId="7D1B12B7">
            <w:pPr>
              <w:jc w:val="center"/>
            </w:pPr>
            <w:r>
              <w:rPr>
                <w:rFonts w:ascii="仿宋" w:hAnsi="仿宋" w:eastAsia="仿宋"/>
                <w:sz w:val="17"/>
              </w:rPr>
              <w:t>证明材料要求</w:t>
            </w:r>
          </w:p>
        </w:tc>
      </w:tr>
      <w:tr w14:paraId="07BE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1CC2B0D3">
            <w:pPr>
              <w:jc w:val="center"/>
            </w:pPr>
            <w:r>
              <w:rPr>
                <w:rFonts w:ascii="仿宋" w:hAnsi="仿宋" w:eastAsia="仿宋"/>
                <w:sz w:val="17"/>
              </w:rPr>
              <w:t>1</w:t>
            </w:r>
          </w:p>
        </w:tc>
        <w:tc>
          <w:tcPr>
            <w:tcW w:w="1134" w:type="dxa"/>
            <w:vAlign w:val="center"/>
          </w:tcPr>
          <w:p w14:paraId="7406517C">
            <w:pPr>
              <w:jc w:val="left"/>
            </w:pPr>
            <w:r>
              <w:rPr>
                <w:rFonts w:ascii="仿宋" w:hAnsi="仿宋" w:eastAsia="仿宋"/>
                <w:sz w:val="17"/>
              </w:rPr>
              <w:t>数字星空仿真</w:t>
            </w:r>
          </w:p>
        </w:tc>
        <w:tc>
          <w:tcPr>
            <w:tcW w:w="1388" w:type="dxa"/>
            <w:vAlign w:val="center"/>
          </w:tcPr>
          <w:p w14:paraId="31710326">
            <w:pPr>
              <w:jc w:val="center"/>
            </w:pPr>
            <w:r>
              <w:rPr>
                <w:rFonts w:ascii="仿宋" w:hAnsi="仿宋" w:eastAsia="仿宋"/>
                <w:sz w:val="17"/>
              </w:rPr>
              <w:t>★</w:t>
            </w:r>
          </w:p>
        </w:tc>
        <w:tc>
          <w:tcPr>
            <w:tcW w:w="2864" w:type="dxa"/>
            <w:vAlign w:val="center"/>
          </w:tcPr>
          <w:p w14:paraId="5792A172">
            <w:pPr>
              <w:jc w:val="left"/>
            </w:pPr>
            <w:r>
              <w:rPr>
                <w:rFonts w:ascii="仿宋" w:hAnsi="仿宋" w:eastAsia="仿宋"/>
                <w:sz w:val="17"/>
              </w:rPr>
              <w:t>支持全天球星空、太阳系天体和典型深空目标的实时位置、运行及时间演化模拟</w:t>
            </w:r>
          </w:p>
        </w:tc>
        <w:tc>
          <w:tcPr>
            <w:tcW w:w="2126" w:type="dxa"/>
            <w:vAlign w:val="center"/>
          </w:tcPr>
          <w:p w14:paraId="2F4867AF">
            <w:pPr>
              <w:jc w:val="center"/>
            </w:pPr>
            <w:r>
              <w:rPr>
                <w:rFonts w:ascii="仿宋" w:hAnsi="仿宋" w:eastAsia="仿宋"/>
                <w:sz w:val="17"/>
              </w:rPr>
              <w:t>是</w:t>
            </w:r>
          </w:p>
        </w:tc>
      </w:tr>
      <w:tr w14:paraId="3B0CE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30554D94">
            <w:pPr>
              <w:jc w:val="center"/>
            </w:pPr>
            <w:r>
              <w:rPr>
                <w:rFonts w:ascii="仿宋" w:hAnsi="仿宋" w:eastAsia="仿宋"/>
                <w:sz w:val="17"/>
              </w:rPr>
              <w:t>2</w:t>
            </w:r>
          </w:p>
        </w:tc>
        <w:tc>
          <w:tcPr>
            <w:tcW w:w="1134" w:type="dxa"/>
            <w:vAlign w:val="center"/>
          </w:tcPr>
          <w:p w14:paraId="538E0480">
            <w:pPr>
              <w:jc w:val="left"/>
            </w:pPr>
            <w:r>
              <w:rPr>
                <w:rFonts w:ascii="仿宋" w:hAnsi="仿宋" w:eastAsia="仿宋"/>
                <w:sz w:val="17"/>
              </w:rPr>
              <w:t>数字内容播放</w:t>
            </w:r>
          </w:p>
        </w:tc>
        <w:tc>
          <w:tcPr>
            <w:tcW w:w="1388" w:type="dxa"/>
            <w:vAlign w:val="center"/>
          </w:tcPr>
          <w:p w14:paraId="0A4F8542">
            <w:pPr>
              <w:jc w:val="center"/>
            </w:pPr>
            <w:r>
              <w:rPr>
                <w:rFonts w:ascii="仿宋" w:hAnsi="仿宋" w:eastAsia="仿宋"/>
                <w:sz w:val="17"/>
              </w:rPr>
              <w:t>★</w:t>
            </w:r>
          </w:p>
        </w:tc>
        <w:tc>
          <w:tcPr>
            <w:tcW w:w="2864" w:type="dxa"/>
            <w:vAlign w:val="center"/>
          </w:tcPr>
          <w:p w14:paraId="27B7F7E4">
            <w:pPr>
              <w:jc w:val="left"/>
            </w:pPr>
            <w:r>
              <w:rPr>
                <w:rFonts w:ascii="仿宋" w:hAnsi="仿宋" w:eastAsia="仿宋"/>
                <w:sz w:val="17"/>
              </w:rPr>
              <w:t>支持8K级天文数字内容解码与播放，支持图片、视频、模型和观测数据综合展示</w:t>
            </w:r>
          </w:p>
        </w:tc>
        <w:tc>
          <w:tcPr>
            <w:tcW w:w="2126" w:type="dxa"/>
            <w:vAlign w:val="center"/>
          </w:tcPr>
          <w:p w14:paraId="57ADA12C">
            <w:pPr>
              <w:jc w:val="center"/>
            </w:pPr>
            <w:r>
              <w:rPr>
                <w:rFonts w:ascii="仿宋" w:hAnsi="仿宋" w:eastAsia="仿宋"/>
                <w:sz w:val="17"/>
              </w:rPr>
              <w:t>是</w:t>
            </w:r>
          </w:p>
        </w:tc>
      </w:tr>
      <w:tr w14:paraId="0F37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7963EFA2">
            <w:pPr>
              <w:jc w:val="center"/>
            </w:pPr>
            <w:r>
              <w:rPr>
                <w:rFonts w:ascii="仿宋" w:hAnsi="仿宋" w:eastAsia="仿宋"/>
                <w:sz w:val="17"/>
              </w:rPr>
              <w:t>3</w:t>
            </w:r>
          </w:p>
        </w:tc>
        <w:tc>
          <w:tcPr>
            <w:tcW w:w="1134" w:type="dxa"/>
            <w:vAlign w:val="center"/>
          </w:tcPr>
          <w:p w14:paraId="09ED0F6B">
            <w:pPr>
              <w:jc w:val="left"/>
            </w:pPr>
            <w:r>
              <w:rPr>
                <w:rFonts w:ascii="仿宋" w:hAnsi="仿宋" w:eastAsia="仿宋"/>
                <w:sz w:val="17"/>
              </w:rPr>
              <w:t>室外观测接入</w:t>
            </w:r>
          </w:p>
        </w:tc>
        <w:tc>
          <w:tcPr>
            <w:tcW w:w="1388" w:type="dxa"/>
            <w:vAlign w:val="center"/>
          </w:tcPr>
          <w:p w14:paraId="66752F32">
            <w:pPr>
              <w:jc w:val="center"/>
            </w:pPr>
            <w:r>
              <w:rPr>
                <w:rFonts w:ascii="仿宋" w:hAnsi="仿宋" w:eastAsia="仿宋"/>
                <w:sz w:val="17"/>
              </w:rPr>
              <w:t>#</w:t>
            </w:r>
          </w:p>
        </w:tc>
        <w:tc>
          <w:tcPr>
            <w:tcW w:w="2864" w:type="dxa"/>
            <w:vAlign w:val="center"/>
          </w:tcPr>
          <w:p w14:paraId="38A07B43">
            <w:pPr>
              <w:jc w:val="left"/>
            </w:pPr>
            <w:r>
              <w:rPr>
                <w:rFonts w:ascii="仿宋" w:hAnsi="仿宋" w:eastAsia="仿宋"/>
                <w:sz w:val="17"/>
              </w:rPr>
              <w:t>可接入室外望远镜实时图像和历史观测数据，支持课堂同步显示、录制和回放</w:t>
            </w:r>
          </w:p>
        </w:tc>
        <w:tc>
          <w:tcPr>
            <w:tcW w:w="2126" w:type="dxa"/>
            <w:vAlign w:val="center"/>
          </w:tcPr>
          <w:p w14:paraId="7FA59AF8">
            <w:pPr>
              <w:jc w:val="center"/>
            </w:pPr>
            <w:r>
              <w:rPr>
                <w:rFonts w:ascii="仿宋" w:hAnsi="仿宋" w:eastAsia="仿宋"/>
                <w:sz w:val="17"/>
              </w:rPr>
              <w:t>是</w:t>
            </w:r>
          </w:p>
        </w:tc>
      </w:tr>
      <w:tr w14:paraId="5D61A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4E6B16C5">
            <w:pPr>
              <w:jc w:val="center"/>
            </w:pPr>
            <w:r>
              <w:rPr>
                <w:rFonts w:ascii="仿宋" w:hAnsi="仿宋" w:eastAsia="仿宋"/>
                <w:sz w:val="17"/>
              </w:rPr>
              <w:t>4</w:t>
            </w:r>
          </w:p>
        </w:tc>
        <w:tc>
          <w:tcPr>
            <w:tcW w:w="1134" w:type="dxa"/>
            <w:vAlign w:val="center"/>
          </w:tcPr>
          <w:p w14:paraId="7D556053">
            <w:pPr>
              <w:jc w:val="left"/>
            </w:pPr>
            <w:r>
              <w:rPr>
                <w:rFonts w:ascii="仿宋" w:hAnsi="仿宋" w:eastAsia="仿宋"/>
                <w:sz w:val="17"/>
              </w:rPr>
              <w:t>VR教学功能</w:t>
            </w:r>
          </w:p>
        </w:tc>
        <w:tc>
          <w:tcPr>
            <w:tcW w:w="1388" w:type="dxa"/>
            <w:vAlign w:val="center"/>
          </w:tcPr>
          <w:p w14:paraId="4F5D4B69">
            <w:pPr>
              <w:jc w:val="center"/>
            </w:pPr>
          </w:p>
        </w:tc>
        <w:tc>
          <w:tcPr>
            <w:tcW w:w="2864" w:type="dxa"/>
            <w:vAlign w:val="center"/>
          </w:tcPr>
          <w:p w14:paraId="4922CD57">
            <w:pPr>
              <w:jc w:val="left"/>
            </w:pPr>
            <w:r>
              <w:rPr>
                <w:rFonts w:ascii="仿宋" w:hAnsi="仿宋" w:eastAsia="仿宋"/>
                <w:sz w:val="17"/>
              </w:rPr>
              <w:t>支持太阳系与深空漫游、空间站或月球场景等沉浸式教学内容</w:t>
            </w:r>
          </w:p>
        </w:tc>
        <w:tc>
          <w:tcPr>
            <w:tcW w:w="2126" w:type="dxa"/>
            <w:vAlign w:val="center"/>
          </w:tcPr>
          <w:p w14:paraId="572C6669">
            <w:pPr>
              <w:jc w:val="center"/>
            </w:pPr>
            <w:r>
              <w:rPr>
                <w:rFonts w:ascii="仿宋" w:hAnsi="仿宋" w:eastAsia="仿宋"/>
                <w:sz w:val="17"/>
              </w:rPr>
              <w:t>否</w:t>
            </w:r>
          </w:p>
        </w:tc>
      </w:tr>
      <w:tr w14:paraId="2B3F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058C4FD8">
            <w:pPr>
              <w:jc w:val="center"/>
            </w:pPr>
            <w:r>
              <w:rPr>
                <w:rFonts w:ascii="仿宋" w:hAnsi="仿宋" w:eastAsia="仿宋"/>
                <w:sz w:val="17"/>
              </w:rPr>
              <w:t>5</w:t>
            </w:r>
          </w:p>
        </w:tc>
        <w:tc>
          <w:tcPr>
            <w:tcW w:w="1134" w:type="dxa"/>
            <w:vAlign w:val="center"/>
          </w:tcPr>
          <w:p w14:paraId="72DFC4CB">
            <w:pPr>
              <w:jc w:val="left"/>
            </w:pPr>
            <w:r>
              <w:rPr>
                <w:rFonts w:ascii="仿宋" w:hAnsi="仿宋" w:eastAsia="仿宋"/>
                <w:sz w:val="17"/>
              </w:rPr>
              <w:t>多人互动</w:t>
            </w:r>
          </w:p>
        </w:tc>
        <w:tc>
          <w:tcPr>
            <w:tcW w:w="1388" w:type="dxa"/>
            <w:vAlign w:val="center"/>
          </w:tcPr>
          <w:p w14:paraId="0D8D89D9">
            <w:pPr>
              <w:jc w:val="center"/>
            </w:pPr>
          </w:p>
        </w:tc>
        <w:tc>
          <w:tcPr>
            <w:tcW w:w="2864" w:type="dxa"/>
            <w:vAlign w:val="center"/>
          </w:tcPr>
          <w:p w14:paraId="09EE051B">
            <w:pPr>
              <w:jc w:val="left"/>
            </w:pPr>
            <w:r>
              <w:rPr>
                <w:rFonts w:ascii="仿宋" w:hAnsi="仿宋" w:eastAsia="仿宋"/>
                <w:sz w:val="17"/>
              </w:rPr>
              <w:t>支持教师控制、多人观看和交互操作，可扩展课程资源和展示内容</w:t>
            </w:r>
          </w:p>
        </w:tc>
        <w:tc>
          <w:tcPr>
            <w:tcW w:w="2126" w:type="dxa"/>
            <w:vAlign w:val="center"/>
          </w:tcPr>
          <w:p w14:paraId="0B4683ED">
            <w:pPr>
              <w:jc w:val="center"/>
            </w:pPr>
            <w:r>
              <w:rPr>
                <w:rFonts w:ascii="仿宋" w:hAnsi="仿宋" w:eastAsia="仿宋"/>
                <w:sz w:val="17"/>
              </w:rPr>
              <w:t>否</w:t>
            </w:r>
          </w:p>
        </w:tc>
      </w:tr>
      <w:tr w14:paraId="01A8F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48D67B3B">
            <w:pPr>
              <w:jc w:val="center"/>
            </w:pPr>
            <w:r>
              <w:rPr>
                <w:rFonts w:ascii="仿宋" w:hAnsi="仿宋" w:eastAsia="仿宋"/>
                <w:sz w:val="17"/>
              </w:rPr>
              <w:t>6</w:t>
            </w:r>
          </w:p>
        </w:tc>
        <w:tc>
          <w:tcPr>
            <w:tcW w:w="1134" w:type="dxa"/>
            <w:vAlign w:val="center"/>
          </w:tcPr>
          <w:p w14:paraId="67426391">
            <w:pPr>
              <w:jc w:val="left"/>
            </w:pPr>
            <w:r>
              <w:rPr>
                <w:rFonts w:ascii="仿宋" w:hAnsi="仿宋" w:eastAsia="仿宋"/>
                <w:sz w:val="17"/>
              </w:rPr>
              <w:t>教学工作站处理器</w:t>
            </w:r>
          </w:p>
        </w:tc>
        <w:tc>
          <w:tcPr>
            <w:tcW w:w="1388" w:type="dxa"/>
            <w:vAlign w:val="center"/>
          </w:tcPr>
          <w:p w14:paraId="78F2A968">
            <w:pPr>
              <w:jc w:val="center"/>
            </w:pPr>
            <w:r>
              <w:rPr>
                <w:rFonts w:ascii="仿宋" w:hAnsi="仿宋" w:eastAsia="仿宋"/>
                <w:sz w:val="17"/>
              </w:rPr>
              <w:t>★</w:t>
            </w:r>
          </w:p>
        </w:tc>
        <w:tc>
          <w:tcPr>
            <w:tcW w:w="2864" w:type="dxa"/>
            <w:vAlign w:val="center"/>
          </w:tcPr>
          <w:p w14:paraId="105A0507">
            <w:pPr>
              <w:jc w:val="left"/>
            </w:pPr>
            <w:r>
              <w:rPr>
                <w:rFonts w:ascii="仿宋" w:hAnsi="仿宋" w:eastAsia="仿宋"/>
                <w:sz w:val="17"/>
              </w:rPr>
              <w:t>内存≥64 GB，固态硬盘≥2 TB</w:t>
            </w:r>
          </w:p>
        </w:tc>
        <w:tc>
          <w:tcPr>
            <w:tcW w:w="2126" w:type="dxa"/>
            <w:vAlign w:val="center"/>
          </w:tcPr>
          <w:p w14:paraId="687F95F6">
            <w:pPr>
              <w:jc w:val="center"/>
            </w:pPr>
            <w:r>
              <w:rPr>
                <w:rFonts w:ascii="仿宋" w:hAnsi="仿宋" w:eastAsia="仿宋"/>
                <w:sz w:val="17"/>
              </w:rPr>
              <w:t>是</w:t>
            </w:r>
          </w:p>
        </w:tc>
      </w:tr>
      <w:tr w14:paraId="6C4E2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49F06795">
            <w:pPr>
              <w:jc w:val="center"/>
            </w:pPr>
            <w:r>
              <w:rPr>
                <w:rFonts w:ascii="仿宋" w:hAnsi="仿宋" w:eastAsia="仿宋"/>
                <w:sz w:val="17"/>
              </w:rPr>
              <w:t>7</w:t>
            </w:r>
          </w:p>
        </w:tc>
        <w:tc>
          <w:tcPr>
            <w:tcW w:w="1134" w:type="dxa"/>
            <w:vAlign w:val="center"/>
          </w:tcPr>
          <w:p w14:paraId="26C2A615">
            <w:pPr>
              <w:jc w:val="left"/>
            </w:pPr>
            <w:r>
              <w:rPr>
                <w:rFonts w:ascii="仿宋" w:hAnsi="仿宋" w:eastAsia="仿宋"/>
                <w:sz w:val="17"/>
              </w:rPr>
              <w:t>图形处理能力</w:t>
            </w:r>
          </w:p>
        </w:tc>
        <w:tc>
          <w:tcPr>
            <w:tcW w:w="1388" w:type="dxa"/>
            <w:vAlign w:val="center"/>
          </w:tcPr>
          <w:p w14:paraId="146A489A">
            <w:pPr>
              <w:jc w:val="center"/>
            </w:pPr>
            <w:r>
              <w:rPr>
                <w:rFonts w:ascii="仿宋" w:hAnsi="仿宋" w:eastAsia="仿宋"/>
                <w:sz w:val="17"/>
              </w:rPr>
              <w:t>★</w:t>
            </w:r>
          </w:p>
        </w:tc>
        <w:tc>
          <w:tcPr>
            <w:tcW w:w="2864" w:type="dxa"/>
            <w:vAlign w:val="center"/>
          </w:tcPr>
          <w:p w14:paraId="4C6FEEAC">
            <w:pPr>
              <w:jc w:val="left"/>
            </w:pPr>
            <w:r>
              <w:rPr>
                <w:rFonts w:ascii="仿宋" w:hAnsi="仿宋" w:eastAsia="仿宋"/>
                <w:sz w:val="17"/>
              </w:rPr>
              <w:t>独立图形处理器显存≥16 GB，支持GPU加速、三维仿真和天文图像处理</w:t>
            </w:r>
          </w:p>
        </w:tc>
        <w:tc>
          <w:tcPr>
            <w:tcW w:w="2126" w:type="dxa"/>
            <w:vAlign w:val="center"/>
          </w:tcPr>
          <w:p w14:paraId="7D241532">
            <w:pPr>
              <w:jc w:val="center"/>
            </w:pPr>
            <w:r>
              <w:rPr>
                <w:rFonts w:ascii="仿宋" w:hAnsi="仿宋" w:eastAsia="仿宋"/>
                <w:sz w:val="17"/>
              </w:rPr>
              <w:t>是</w:t>
            </w:r>
          </w:p>
        </w:tc>
      </w:tr>
      <w:tr w14:paraId="1E65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0C7226C3">
            <w:pPr>
              <w:jc w:val="center"/>
            </w:pPr>
            <w:r>
              <w:rPr>
                <w:rFonts w:ascii="仿宋" w:hAnsi="仿宋" w:eastAsia="仿宋"/>
                <w:sz w:val="17"/>
              </w:rPr>
              <w:t>8</w:t>
            </w:r>
          </w:p>
        </w:tc>
        <w:tc>
          <w:tcPr>
            <w:tcW w:w="1134" w:type="dxa"/>
            <w:vAlign w:val="center"/>
          </w:tcPr>
          <w:p w14:paraId="1245B021">
            <w:pPr>
              <w:jc w:val="left"/>
            </w:pPr>
            <w:r>
              <w:rPr>
                <w:rFonts w:ascii="仿宋" w:hAnsi="仿宋" w:eastAsia="仿宋"/>
                <w:sz w:val="17"/>
              </w:rPr>
              <w:t>互动显示终端</w:t>
            </w:r>
          </w:p>
        </w:tc>
        <w:tc>
          <w:tcPr>
            <w:tcW w:w="1388" w:type="dxa"/>
            <w:vAlign w:val="center"/>
          </w:tcPr>
          <w:p w14:paraId="168298B0">
            <w:pPr>
              <w:jc w:val="center"/>
            </w:pPr>
            <w:r>
              <w:rPr>
                <w:rFonts w:ascii="仿宋" w:hAnsi="仿宋" w:eastAsia="仿宋"/>
                <w:sz w:val="17"/>
              </w:rPr>
              <w:t>#</w:t>
            </w:r>
          </w:p>
        </w:tc>
        <w:tc>
          <w:tcPr>
            <w:tcW w:w="2864" w:type="dxa"/>
            <w:vAlign w:val="center"/>
          </w:tcPr>
          <w:p w14:paraId="2B286258">
            <w:pPr>
              <w:jc w:val="left"/>
            </w:pPr>
            <w:r>
              <w:rPr>
                <w:rFonts w:ascii="仿宋" w:hAnsi="仿宋" w:eastAsia="仿宋"/>
                <w:sz w:val="17"/>
              </w:rPr>
              <w:t>配置8K分辨率显示和触控/交互终端，支持多媒体统一控制</w:t>
            </w:r>
          </w:p>
        </w:tc>
        <w:tc>
          <w:tcPr>
            <w:tcW w:w="2126" w:type="dxa"/>
            <w:vAlign w:val="center"/>
          </w:tcPr>
          <w:p w14:paraId="47518B9B">
            <w:pPr>
              <w:jc w:val="center"/>
            </w:pPr>
            <w:r>
              <w:rPr>
                <w:rFonts w:ascii="仿宋" w:hAnsi="仿宋" w:eastAsia="仿宋"/>
                <w:sz w:val="17"/>
              </w:rPr>
              <w:t>是</w:t>
            </w:r>
          </w:p>
        </w:tc>
      </w:tr>
      <w:tr w14:paraId="3EE85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88" w:type="dxa"/>
            <w:vAlign w:val="center"/>
          </w:tcPr>
          <w:p w14:paraId="3A7762B8">
            <w:pPr>
              <w:jc w:val="center"/>
            </w:pPr>
            <w:r>
              <w:rPr>
                <w:rFonts w:ascii="仿宋" w:hAnsi="仿宋" w:eastAsia="仿宋"/>
                <w:sz w:val="17"/>
              </w:rPr>
              <w:t>9</w:t>
            </w:r>
          </w:p>
        </w:tc>
        <w:tc>
          <w:tcPr>
            <w:tcW w:w="1134" w:type="dxa"/>
            <w:vAlign w:val="center"/>
          </w:tcPr>
          <w:p w14:paraId="1112F527">
            <w:pPr>
              <w:jc w:val="left"/>
            </w:pPr>
            <w:r>
              <w:rPr>
                <w:rFonts w:ascii="仿宋" w:hAnsi="仿宋" w:eastAsia="仿宋"/>
                <w:sz w:val="17"/>
              </w:rPr>
              <w:t>软件授权</w:t>
            </w:r>
          </w:p>
        </w:tc>
        <w:tc>
          <w:tcPr>
            <w:tcW w:w="1388" w:type="dxa"/>
            <w:vAlign w:val="center"/>
          </w:tcPr>
          <w:p w14:paraId="1F539783">
            <w:pPr>
              <w:jc w:val="center"/>
            </w:pPr>
            <w:r>
              <w:rPr>
                <w:rFonts w:ascii="仿宋" w:hAnsi="仿宋" w:eastAsia="仿宋"/>
                <w:sz w:val="17"/>
              </w:rPr>
              <w:t>★</w:t>
            </w:r>
          </w:p>
        </w:tc>
        <w:tc>
          <w:tcPr>
            <w:tcW w:w="2864" w:type="dxa"/>
            <w:vAlign w:val="center"/>
          </w:tcPr>
          <w:p w14:paraId="64E834DC">
            <w:pPr>
              <w:jc w:val="left"/>
            </w:pPr>
            <w:r>
              <w:rPr>
                <w:rFonts w:ascii="仿宋" w:hAnsi="仿宋" w:eastAsia="仿宋"/>
                <w:sz w:val="17"/>
              </w:rPr>
              <w:t>核心教学、仿真和控制软件提供合法永久授权，用户数据可导出并支持离线使用</w:t>
            </w:r>
          </w:p>
        </w:tc>
        <w:tc>
          <w:tcPr>
            <w:tcW w:w="2126" w:type="dxa"/>
            <w:vAlign w:val="center"/>
          </w:tcPr>
          <w:p w14:paraId="3B40C592">
            <w:pPr>
              <w:jc w:val="center"/>
            </w:pPr>
            <w:r>
              <w:rPr>
                <w:rFonts w:ascii="仿宋" w:hAnsi="仿宋" w:eastAsia="仿宋"/>
                <w:sz w:val="17"/>
              </w:rPr>
              <w:t>是</w:t>
            </w:r>
          </w:p>
        </w:tc>
      </w:tr>
      <w:tr w14:paraId="2C0E1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8" w:type="dxa"/>
            <w:vAlign w:val="center"/>
          </w:tcPr>
          <w:p w14:paraId="715A80E8">
            <w:pPr>
              <w:jc w:val="center"/>
            </w:pPr>
            <w:r>
              <w:rPr>
                <w:rFonts w:ascii="仿宋" w:hAnsi="仿宋" w:eastAsia="仿宋"/>
                <w:sz w:val="17"/>
              </w:rPr>
              <w:t>10</w:t>
            </w:r>
          </w:p>
        </w:tc>
        <w:tc>
          <w:tcPr>
            <w:tcW w:w="1134" w:type="dxa"/>
            <w:vAlign w:val="center"/>
          </w:tcPr>
          <w:p w14:paraId="38103B31">
            <w:pPr>
              <w:jc w:val="left"/>
            </w:pPr>
            <w:r>
              <w:rPr>
                <w:rFonts w:ascii="仿宋" w:hAnsi="仿宋" w:eastAsia="仿宋"/>
                <w:sz w:val="17"/>
              </w:rPr>
              <w:t>数据存储与备份</w:t>
            </w:r>
          </w:p>
        </w:tc>
        <w:tc>
          <w:tcPr>
            <w:tcW w:w="1388" w:type="dxa"/>
            <w:vAlign w:val="center"/>
          </w:tcPr>
          <w:p w14:paraId="61BBAAD4">
            <w:pPr>
              <w:jc w:val="center"/>
            </w:pPr>
            <w:r>
              <w:rPr>
                <w:rFonts w:ascii="仿宋" w:hAnsi="仿宋" w:eastAsia="仿宋"/>
                <w:sz w:val="17"/>
              </w:rPr>
              <w:t>#</w:t>
            </w:r>
          </w:p>
        </w:tc>
        <w:tc>
          <w:tcPr>
            <w:tcW w:w="2864" w:type="dxa"/>
            <w:vAlign w:val="center"/>
          </w:tcPr>
          <w:p w14:paraId="779573A9">
            <w:pPr>
              <w:jc w:val="left"/>
            </w:pPr>
            <w:r>
              <w:rPr>
                <w:rFonts w:ascii="仿宋" w:hAnsi="仿宋" w:eastAsia="仿宋"/>
                <w:sz w:val="17"/>
              </w:rPr>
              <w:t>具备观测数据集中存储、分类管理、自动备份及恢复功能</w:t>
            </w:r>
          </w:p>
        </w:tc>
        <w:tc>
          <w:tcPr>
            <w:tcW w:w="2126" w:type="dxa"/>
            <w:vAlign w:val="center"/>
          </w:tcPr>
          <w:p w14:paraId="3B8302C5">
            <w:pPr>
              <w:jc w:val="center"/>
            </w:pPr>
            <w:r>
              <w:rPr>
                <w:rFonts w:ascii="仿宋" w:hAnsi="仿宋" w:eastAsia="仿宋"/>
                <w:sz w:val="17"/>
              </w:rPr>
              <w:t>是</w:t>
            </w:r>
          </w:p>
        </w:tc>
      </w:tr>
      <w:tr w14:paraId="3C02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8" w:type="dxa"/>
            <w:vAlign w:val="center"/>
          </w:tcPr>
          <w:p w14:paraId="3419BAA5">
            <w:pPr>
              <w:jc w:val="center"/>
            </w:pPr>
            <w:r>
              <w:rPr>
                <w:rFonts w:ascii="仿宋" w:hAnsi="仿宋" w:eastAsia="仿宋"/>
                <w:sz w:val="17"/>
              </w:rPr>
              <w:t>11</w:t>
            </w:r>
          </w:p>
        </w:tc>
        <w:tc>
          <w:tcPr>
            <w:tcW w:w="1134" w:type="dxa"/>
            <w:vAlign w:val="center"/>
          </w:tcPr>
          <w:p w14:paraId="5A1A1200">
            <w:pPr>
              <w:jc w:val="left"/>
            </w:pPr>
            <w:r>
              <w:rPr>
                <w:rFonts w:ascii="仿宋" w:hAnsi="仿宋" w:eastAsia="仿宋"/>
                <w:sz w:val="17"/>
              </w:rPr>
              <w:t>技术支撑</w:t>
            </w:r>
          </w:p>
        </w:tc>
        <w:tc>
          <w:tcPr>
            <w:tcW w:w="1388" w:type="dxa"/>
            <w:vAlign w:val="center"/>
          </w:tcPr>
          <w:p w14:paraId="35315D79">
            <w:pPr>
              <w:jc w:val="center"/>
            </w:pPr>
          </w:p>
        </w:tc>
        <w:tc>
          <w:tcPr>
            <w:tcW w:w="2864" w:type="dxa"/>
            <w:vAlign w:val="center"/>
          </w:tcPr>
          <w:p w14:paraId="41DBABC5">
            <w:pPr>
              <w:jc w:val="left"/>
            </w:pPr>
            <w:r>
              <w:rPr>
                <w:rFonts w:ascii="仿宋" w:hAnsi="仿宋" w:eastAsia="仿宋"/>
                <w:sz w:val="17"/>
              </w:rPr>
              <w:t>厂商应开放模拟源码或将仿真模型开房标准结构</w:t>
            </w:r>
          </w:p>
        </w:tc>
        <w:tc>
          <w:tcPr>
            <w:tcW w:w="2126" w:type="dxa"/>
            <w:vAlign w:val="center"/>
          </w:tcPr>
          <w:p w14:paraId="235982FA">
            <w:pPr>
              <w:jc w:val="center"/>
            </w:pPr>
            <w:r>
              <w:rPr>
                <w:rFonts w:ascii="仿宋" w:hAnsi="仿宋" w:eastAsia="仿宋"/>
                <w:sz w:val="17"/>
              </w:rPr>
              <w:t>否</w:t>
            </w:r>
          </w:p>
        </w:tc>
      </w:tr>
    </w:tbl>
    <w:p w14:paraId="47CACFDC">
      <w:pPr>
        <w:autoSpaceDE w:val="0"/>
        <w:autoSpaceDN w:val="0"/>
        <w:adjustRightInd w:val="0"/>
        <w:snapToGrid w:val="0"/>
        <w:spacing w:before="156" w:beforeLines="50" w:line="360" w:lineRule="auto"/>
        <w:jc w:val="left"/>
        <w:rPr>
          <w:rFonts w:ascii="仿宋" w:hAnsi="仿宋" w:eastAsia="仿宋" w:cs="宋体"/>
          <w:b/>
          <w:snapToGrid w:val="0"/>
          <w:kern w:val="0"/>
          <w:sz w:val="24"/>
          <w:szCs w:val="24"/>
          <w:lang w:val="zh-CN"/>
        </w:rPr>
      </w:pPr>
      <w:r>
        <w:rPr>
          <w:rFonts w:ascii="仿宋" w:hAnsi="仿宋" w:eastAsia="仿宋" w:cs="宋体"/>
          <w:b/>
          <w:snapToGrid w:val="0"/>
          <w:kern w:val="0"/>
          <w:sz w:val="24"/>
          <w:szCs w:val="24"/>
          <w:lang w:val="zh-CN"/>
        </w:rPr>
        <w:t>说明：</w:t>
      </w:r>
    </w:p>
    <w:p w14:paraId="4A951000">
      <w:pPr>
        <w:autoSpaceDE w:val="0"/>
        <w:autoSpaceDN w:val="0"/>
        <w:adjustRightInd w:val="0"/>
        <w:snapToGrid w:val="0"/>
        <w:spacing w:line="360" w:lineRule="auto"/>
        <w:ind w:firstLine="480" w:firstLineChars="200"/>
        <w:jc w:val="left"/>
        <w:rPr>
          <w:rFonts w:ascii="仿宋" w:hAnsi="仿宋" w:eastAsia="仿宋" w:cs="宋体"/>
          <w:snapToGrid w:val="0"/>
          <w:kern w:val="0"/>
          <w:sz w:val="24"/>
          <w:szCs w:val="24"/>
          <w:lang w:val="zh-CN"/>
        </w:rPr>
      </w:pPr>
      <w:r>
        <w:rPr>
          <w:rFonts w:ascii="仿宋" w:hAnsi="仿宋" w:eastAsia="仿宋" w:cs="宋体"/>
          <w:snapToGrid w:val="0"/>
          <w:kern w:val="0"/>
          <w:sz w:val="24"/>
          <w:szCs w:val="24"/>
          <w:lang w:val="zh-CN"/>
        </w:rPr>
        <w:t>①重要性采用“★”“#”表示，“★”代表关键指标，不满足将导致响应被拒绝；“#”代表重要指标；无标识为一般指标。</w:t>
      </w:r>
    </w:p>
    <w:p w14:paraId="5393AB1D">
      <w:pPr>
        <w:autoSpaceDE w:val="0"/>
        <w:autoSpaceDN w:val="0"/>
        <w:adjustRightInd w:val="0"/>
        <w:snapToGrid w:val="0"/>
        <w:spacing w:line="360" w:lineRule="auto"/>
        <w:ind w:firstLine="480" w:firstLineChars="200"/>
        <w:jc w:val="left"/>
        <w:rPr>
          <w:rFonts w:ascii="仿宋" w:hAnsi="仿宋" w:eastAsia="仿宋" w:cs="宋体"/>
          <w:snapToGrid w:val="0"/>
          <w:kern w:val="0"/>
          <w:sz w:val="24"/>
          <w:szCs w:val="24"/>
          <w:lang w:val="zh-CN"/>
        </w:rPr>
      </w:pPr>
      <w:r>
        <w:rPr>
          <w:rFonts w:ascii="仿宋" w:hAnsi="仿宋" w:eastAsia="仿宋" w:cs="宋体"/>
          <w:snapToGrid w:val="0"/>
          <w:kern w:val="0"/>
          <w:sz w:val="24"/>
          <w:szCs w:val="24"/>
          <w:lang w:val="zh-CN"/>
        </w:rPr>
        <w:t>②“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填“否”的，投标人需在技术偏离说明表中响应，未提供或提供的技术偏离说明表中有负偏离的，则该指标按不满足处理。</w:t>
      </w:r>
    </w:p>
    <w:p w14:paraId="5F679528">
      <w:pPr>
        <w:autoSpaceDE w:val="0"/>
        <w:autoSpaceDN w:val="0"/>
        <w:adjustRightInd w:val="0"/>
        <w:snapToGrid w:val="0"/>
        <w:spacing w:line="360" w:lineRule="auto"/>
        <w:jc w:val="left"/>
        <w:rPr>
          <w:rFonts w:hint="eastAsia" w:ascii="仿宋" w:hAnsi="仿宋" w:eastAsia="仿宋" w:cs="宋体"/>
          <w:snapToGrid w:val="0"/>
          <w:kern w:val="0"/>
          <w:sz w:val="24"/>
          <w:szCs w:val="24"/>
          <w:lang w:val="zh-CN"/>
        </w:rPr>
      </w:pPr>
    </w:p>
    <w:p w14:paraId="7A0F1D25">
      <w:pPr>
        <w:widowControl/>
        <w:ind w:firstLine="482" w:firstLineChars="200"/>
        <w:jc w:val="left"/>
        <w:rPr>
          <w:rFonts w:hint="eastAsia" w:ascii="仿宋" w:hAnsi="仿宋" w:eastAsia="仿宋" w:cs="仿宋"/>
          <w:b/>
          <w:color w:val="000000"/>
          <w:kern w:val="0"/>
          <w:sz w:val="24"/>
          <w:szCs w:val="24"/>
          <w:shd w:val="clear" w:color="auto" w:fill="FFFFFF"/>
        </w:rPr>
      </w:pPr>
      <w:r>
        <w:rPr>
          <w:rFonts w:hint="eastAsia" w:ascii="仿宋" w:hAnsi="仿宋" w:eastAsia="仿宋" w:cs="仿宋"/>
          <w:b/>
          <w:color w:val="000000"/>
          <w:kern w:val="0"/>
          <w:sz w:val="24"/>
          <w:szCs w:val="24"/>
          <w:shd w:val="clear" w:color="auto" w:fill="FFFFFF"/>
        </w:rPr>
        <w:t>四、商务要求</w:t>
      </w:r>
    </w:p>
    <w:tbl>
      <w:tblPr>
        <w:tblStyle w:val="7"/>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79C17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30DE0104">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序号</w:t>
            </w:r>
          </w:p>
        </w:tc>
        <w:tc>
          <w:tcPr>
            <w:tcW w:w="1603" w:type="dxa"/>
            <w:vAlign w:val="center"/>
          </w:tcPr>
          <w:p w14:paraId="4FD9B192">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指标项</w:t>
            </w:r>
          </w:p>
        </w:tc>
        <w:tc>
          <w:tcPr>
            <w:tcW w:w="940" w:type="dxa"/>
            <w:vAlign w:val="center"/>
          </w:tcPr>
          <w:p w14:paraId="6D7E13F0">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重要性</w:t>
            </w:r>
          </w:p>
        </w:tc>
        <w:tc>
          <w:tcPr>
            <w:tcW w:w="5237" w:type="dxa"/>
            <w:vAlign w:val="center"/>
          </w:tcPr>
          <w:p w14:paraId="18CFDF97">
            <w:pPr>
              <w:autoSpaceDE w:val="0"/>
              <w:autoSpaceDN w:val="0"/>
              <w:adjustRightInd w:val="0"/>
              <w:snapToGrid w:val="0"/>
              <w:jc w:val="center"/>
              <w:rPr>
                <w:rFonts w:hint="eastAsia" w:ascii="仿宋" w:hAnsi="仿宋" w:eastAsia="仿宋" w:cs="宋体"/>
                <w:b/>
                <w:snapToGrid w:val="0"/>
                <w:kern w:val="0"/>
                <w:sz w:val="24"/>
                <w:szCs w:val="24"/>
                <w:lang w:val="zh-CN"/>
              </w:rPr>
            </w:pPr>
            <w:r>
              <w:rPr>
                <w:rFonts w:hint="eastAsia" w:ascii="仿宋" w:hAnsi="仿宋" w:eastAsia="仿宋" w:cs="宋体"/>
                <w:b/>
                <w:snapToGrid w:val="0"/>
                <w:kern w:val="0"/>
                <w:sz w:val="24"/>
                <w:szCs w:val="24"/>
                <w:lang w:val="zh-CN"/>
              </w:rPr>
              <w:t>指标要求</w:t>
            </w:r>
          </w:p>
        </w:tc>
      </w:tr>
      <w:tr w14:paraId="77EF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0D3F7B84">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1</w:t>
            </w:r>
          </w:p>
        </w:tc>
        <w:tc>
          <w:tcPr>
            <w:tcW w:w="1603" w:type="dxa"/>
            <w:vAlign w:val="center"/>
          </w:tcPr>
          <w:p w14:paraId="577220D6">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供货期/服务期/工期</w:t>
            </w:r>
          </w:p>
        </w:tc>
        <w:tc>
          <w:tcPr>
            <w:tcW w:w="940" w:type="dxa"/>
          </w:tcPr>
          <w:p w14:paraId="5062A030">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_GB2312" w:hAnsi="宋体" w:eastAsia="仿宋_GB2312"/>
                <w:sz w:val="24"/>
                <w:szCs w:val="24"/>
                <w:lang w:val="zh-CN"/>
              </w:rPr>
              <w:t>★</w:t>
            </w:r>
          </w:p>
        </w:tc>
        <w:tc>
          <w:tcPr>
            <w:tcW w:w="5237" w:type="dxa"/>
          </w:tcPr>
          <w:p w14:paraId="72A8213C">
            <w:pPr>
              <w:autoSpaceDE w:val="0"/>
              <w:autoSpaceDN w:val="0"/>
              <w:adjustRightInd w:val="0"/>
              <w:snapToGrid w:val="0"/>
              <w:spacing w:line="360" w:lineRule="auto"/>
              <w:jc w:val="left"/>
              <w:rPr>
                <w:rFonts w:hint="eastAsia" w:ascii="仿宋_GB2312" w:hAnsi="宋体" w:eastAsia="仿宋_GB2312"/>
                <w:iCs/>
                <w:sz w:val="24"/>
                <w:szCs w:val="24"/>
              </w:rPr>
            </w:pPr>
            <w:r>
              <w:rPr>
                <w:rFonts w:hint="eastAsia" w:ascii="仿宋_GB2312" w:hAnsi="宋体" w:eastAsia="仿宋_GB2312"/>
                <w:iCs/>
                <w:sz w:val="24"/>
                <w:szCs w:val="24"/>
              </w:rPr>
              <w:t>合同签订之日起3个月内完成供货。</w:t>
            </w:r>
          </w:p>
          <w:p w14:paraId="370FE5CC">
            <w:pPr>
              <w:autoSpaceDE w:val="0"/>
              <w:autoSpaceDN w:val="0"/>
              <w:adjustRightInd w:val="0"/>
              <w:snapToGrid w:val="0"/>
              <w:spacing w:line="360" w:lineRule="auto"/>
              <w:jc w:val="left"/>
              <w:rPr>
                <w:rFonts w:hint="eastAsia" w:ascii="仿宋" w:hAnsi="仿宋" w:eastAsia="仿宋" w:cs="宋体"/>
                <w:snapToGrid w:val="0"/>
                <w:kern w:val="0"/>
                <w:sz w:val="24"/>
                <w:szCs w:val="24"/>
              </w:rPr>
            </w:pPr>
          </w:p>
        </w:tc>
      </w:tr>
      <w:tr w14:paraId="65FA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3AD890D1">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2</w:t>
            </w:r>
          </w:p>
        </w:tc>
        <w:tc>
          <w:tcPr>
            <w:tcW w:w="1603" w:type="dxa"/>
            <w:vAlign w:val="center"/>
          </w:tcPr>
          <w:p w14:paraId="2138795F">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交货/服务/建设地点</w:t>
            </w:r>
          </w:p>
        </w:tc>
        <w:tc>
          <w:tcPr>
            <w:tcW w:w="940" w:type="dxa"/>
            <w:vAlign w:val="center"/>
          </w:tcPr>
          <w:p w14:paraId="0E94E404">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_GB2312" w:hAnsi="宋体" w:eastAsia="仿宋_GB2312"/>
                <w:sz w:val="24"/>
                <w:szCs w:val="24"/>
                <w:lang w:val="zh-CN"/>
              </w:rPr>
              <w:t>★</w:t>
            </w:r>
          </w:p>
        </w:tc>
        <w:tc>
          <w:tcPr>
            <w:tcW w:w="5237" w:type="dxa"/>
            <w:vAlign w:val="center"/>
          </w:tcPr>
          <w:p w14:paraId="00FC3144">
            <w:pPr>
              <w:autoSpaceDE w:val="0"/>
              <w:autoSpaceDN w:val="0"/>
              <w:adjustRightInd w:val="0"/>
              <w:snapToGrid w:val="0"/>
              <w:spacing w:line="360" w:lineRule="auto"/>
              <w:jc w:val="left"/>
              <w:rPr>
                <w:rFonts w:hint="eastAsia" w:ascii="仿宋" w:hAnsi="仿宋" w:eastAsia="仿宋" w:cs="宋体"/>
                <w:i/>
                <w:snapToGrid w:val="0"/>
                <w:kern w:val="0"/>
                <w:sz w:val="24"/>
                <w:szCs w:val="24"/>
                <w:lang w:val="zh-CN"/>
              </w:rPr>
            </w:pPr>
            <w:r>
              <w:rPr>
                <w:rFonts w:hint="eastAsia" w:ascii="仿宋_GB2312" w:hAnsi="宋体" w:eastAsia="仿宋_GB2312" w:cs="宋体"/>
                <w:iCs/>
                <w:snapToGrid w:val="0"/>
                <w:kern w:val="0"/>
                <w:sz w:val="24"/>
                <w:szCs w:val="24"/>
                <w:lang w:val="zh-CN"/>
              </w:rPr>
              <w:t>采购人指定地点。</w:t>
            </w:r>
          </w:p>
        </w:tc>
      </w:tr>
      <w:tr w14:paraId="2B26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5FA249E8">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3</w:t>
            </w:r>
          </w:p>
        </w:tc>
        <w:tc>
          <w:tcPr>
            <w:tcW w:w="1603" w:type="dxa"/>
            <w:vAlign w:val="center"/>
          </w:tcPr>
          <w:p w14:paraId="6FFA27EA">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质保期</w:t>
            </w:r>
          </w:p>
        </w:tc>
        <w:tc>
          <w:tcPr>
            <w:tcW w:w="940" w:type="dxa"/>
            <w:vAlign w:val="center"/>
          </w:tcPr>
          <w:p w14:paraId="6ADA25A8">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_GB2312" w:hAnsi="宋体" w:eastAsia="仿宋_GB2312"/>
                <w:sz w:val="24"/>
                <w:szCs w:val="24"/>
                <w:lang w:val="zh-CN"/>
              </w:rPr>
              <w:t>★</w:t>
            </w:r>
          </w:p>
        </w:tc>
        <w:tc>
          <w:tcPr>
            <w:tcW w:w="5237" w:type="dxa"/>
            <w:vAlign w:val="center"/>
          </w:tcPr>
          <w:p w14:paraId="4DE37C5E">
            <w:pPr>
              <w:autoSpaceDE w:val="0"/>
              <w:autoSpaceDN w:val="0"/>
              <w:adjustRightInd w:val="0"/>
              <w:snapToGrid w:val="0"/>
              <w:spacing w:line="360" w:lineRule="auto"/>
              <w:jc w:val="left"/>
              <w:rPr>
                <w:rFonts w:hint="eastAsia" w:ascii="仿宋" w:hAnsi="仿宋" w:eastAsia="仿宋" w:cs="宋体"/>
                <w:i/>
                <w:snapToGrid w:val="0"/>
                <w:kern w:val="0"/>
                <w:sz w:val="24"/>
                <w:szCs w:val="24"/>
                <w:lang w:val="zh-CN"/>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w:t>
            </w:r>
            <w:r>
              <w:rPr>
                <w:rFonts w:hint="eastAsia" w:ascii="仿宋_GB2312" w:hAnsi="宋体" w:eastAsia="仿宋_GB2312" w:cs="宋体"/>
                <w:iCs/>
                <w:snapToGrid w:val="0"/>
                <w:kern w:val="0"/>
                <w:sz w:val="24"/>
                <w:szCs w:val="24"/>
                <w:lang w:val="zh-CN"/>
              </w:rPr>
              <w:t>所有硬件</w:t>
            </w:r>
            <w:r>
              <w:rPr>
                <w:rFonts w:hint="eastAsia" w:ascii="仿宋_GB2312" w:hAnsi="宋体" w:eastAsia="仿宋_GB2312" w:cs="宋体"/>
                <w:iCs/>
                <w:snapToGrid w:val="0"/>
                <w:kern w:val="0"/>
                <w:sz w:val="24"/>
                <w:szCs w:val="24"/>
              </w:rPr>
              <w:t>2</w:t>
            </w:r>
            <w:r>
              <w:rPr>
                <w:rFonts w:hint="eastAsia" w:ascii="仿宋_GB2312" w:hAnsi="宋体" w:eastAsia="仿宋_GB2312" w:cs="宋体"/>
                <w:iCs/>
                <w:snapToGrid w:val="0"/>
                <w:kern w:val="0"/>
                <w:sz w:val="24"/>
                <w:szCs w:val="24"/>
                <w:lang w:val="zh-CN"/>
              </w:rPr>
              <w:t>年免费保修、所有软件</w:t>
            </w:r>
            <w:r>
              <w:rPr>
                <w:rFonts w:hint="eastAsia" w:ascii="仿宋_GB2312" w:hAnsi="宋体" w:eastAsia="仿宋_GB2312" w:cs="宋体"/>
                <w:iCs/>
                <w:snapToGrid w:val="0"/>
                <w:kern w:val="0"/>
                <w:sz w:val="24"/>
                <w:szCs w:val="24"/>
              </w:rPr>
              <w:t>终身</w:t>
            </w:r>
            <w:r>
              <w:rPr>
                <w:rFonts w:hint="eastAsia" w:ascii="仿宋_GB2312" w:hAnsi="宋体" w:eastAsia="仿宋_GB2312" w:cs="宋体"/>
                <w:iCs/>
                <w:snapToGrid w:val="0"/>
                <w:kern w:val="0"/>
                <w:sz w:val="24"/>
                <w:szCs w:val="24"/>
                <w:lang w:val="zh-CN"/>
              </w:rPr>
              <w:t>免费升级</w:t>
            </w:r>
            <w:r>
              <w:rPr>
                <w:rFonts w:hint="eastAsia" w:ascii="仿宋_GB2312" w:hAnsi="宋体" w:eastAsia="仿宋_GB2312" w:cs="宋体"/>
                <w:iCs/>
                <w:snapToGrid w:val="0"/>
                <w:kern w:val="0"/>
                <w:sz w:val="24"/>
                <w:szCs w:val="24"/>
              </w:rPr>
              <w:t>.</w:t>
            </w:r>
          </w:p>
        </w:tc>
      </w:tr>
      <w:tr w14:paraId="28D8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FD1FF47">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4</w:t>
            </w:r>
          </w:p>
        </w:tc>
        <w:tc>
          <w:tcPr>
            <w:tcW w:w="1603" w:type="dxa"/>
            <w:vAlign w:val="center"/>
          </w:tcPr>
          <w:p w14:paraId="063B0104">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包装和运输</w:t>
            </w:r>
          </w:p>
        </w:tc>
        <w:tc>
          <w:tcPr>
            <w:tcW w:w="940" w:type="dxa"/>
          </w:tcPr>
          <w:p w14:paraId="20A2AF1A">
            <w:pPr>
              <w:widowControl/>
              <w:autoSpaceDE w:val="0"/>
              <w:autoSpaceDN w:val="0"/>
              <w:adjustRightInd w:val="0"/>
              <w:snapToGrid w:val="0"/>
              <w:jc w:val="center"/>
              <w:rPr>
                <w:rFonts w:hint="eastAsia" w:ascii="仿宋" w:hAnsi="仿宋" w:eastAsia="仿宋" w:cs="宋体"/>
                <w:snapToGrid w:val="0"/>
                <w:kern w:val="0"/>
                <w:sz w:val="24"/>
                <w:szCs w:val="24"/>
                <w:lang w:val="zh-CN"/>
              </w:rPr>
            </w:pPr>
          </w:p>
          <w:p w14:paraId="1C243836">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_GB2312" w:hAnsi="宋体" w:eastAsia="仿宋_GB2312"/>
                <w:sz w:val="24"/>
                <w:szCs w:val="24"/>
                <w:lang w:val="zh-CN"/>
              </w:rPr>
              <w:t>★</w:t>
            </w:r>
          </w:p>
        </w:tc>
        <w:tc>
          <w:tcPr>
            <w:tcW w:w="5237" w:type="dxa"/>
          </w:tcPr>
          <w:p w14:paraId="348D3933">
            <w:pPr>
              <w:widowControl/>
              <w:autoSpaceDE w:val="0"/>
              <w:autoSpaceDN w:val="0"/>
              <w:adjustRightInd w:val="0"/>
              <w:snapToGrid w:val="0"/>
              <w:jc w:val="left"/>
              <w:rPr>
                <w:rFonts w:hint="eastAsia" w:ascii="仿宋" w:hAnsi="仿宋" w:eastAsia="仿宋" w:cs="宋体"/>
                <w:snapToGrid w:val="0"/>
                <w:kern w:val="0"/>
                <w:sz w:val="24"/>
                <w:szCs w:val="24"/>
                <w:lang w:val="zh-CN"/>
              </w:rPr>
            </w:pPr>
            <w:r>
              <w:rPr>
                <w:rFonts w:hint="eastAsia" w:ascii="仿宋_GB2312" w:hAnsi="宋体" w:eastAsia="仿宋_GB2312" w:cs="宋体"/>
                <w:iCs/>
                <w:snapToGrid w:val="0"/>
                <w:kern w:val="0"/>
                <w:sz w:val="24"/>
                <w:szCs w:val="24"/>
                <w:lang w:val="zh-CN"/>
              </w:rPr>
              <w:t>供应商应提供货物（货物需为原厂包装）运至项目现场所需要的包装，以防止设备在运输中损坏或丢失。</w:t>
            </w:r>
          </w:p>
        </w:tc>
      </w:tr>
      <w:tr w14:paraId="2F71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599D878">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5</w:t>
            </w:r>
          </w:p>
        </w:tc>
        <w:tc>
          <w:tcPr>
            <w:tcW w:w="1603" w:type="dxa"/>
            <w:vAlign w:val="center"/>
          </w:tcPr>
          <w:p w14:paraId="7A1216E2">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服务标准/</w:t>
            </w:r>
          </w:p>
          <w:p w14:paraId="2304CB26">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售后服务要求</w:t>
            </w:r>
          </w:p>
        </w:tc>
        <w:tc>
          <w:tcPr>
            <w:tcW w:w="940" w:type="dxa"/>
          </w:tcPr>
          <w:p w14:paraId="09F22BC7">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_GB2312" w:hAnsi="宋体" w:eastAsia="仿宋_GB2312"/>
                <w:sz w:val="24"/>
                <w:szCs w:val="24"/>
                <w:lang w:val="zh-CN"/>
              </w:rPr>
              <w:t>★</w:t>
            </w:r>
          </w:p>
        </w:tc>
        <w:tc>
          <w:tcPr>
            <w:tcW w:w="5237" w:type="dxa"/>
          </w:tcPr>
          <w:p w14:paraId="45678548">
            <w:pPr>
              <w:widowControl/>
              <w:autoSpaceDE w:val="0"/>
              <w:autoSpaceDN w:val="0"/>
              <w:adjustRightInd w:val="0"/>
              <w:snapToGrid w:val="0"/>
              <w:spacing w:line="360" w:lineRule="auto"/>
              <w:jc w:val="left"/>
              <w:rPr>
                <w:rFonts w:hint="eastAsia" w:ascii="仿宋" w:hAnsi="仿宋" w:eastAsia="仿宋" w:cs="宋体"/>
                <w:snapToGrid w:val="0"/>
                <w:kern w:val="0"/>
                <w:sz w:val="24"/>
                <w:szCs w:val="24"/>
                <w:lang w:val="zh-CN"/>
              </w:rPr>
            </w:pPr>
            <w:r>
              <w:rPr>
                <w:rFonts w:hint="eastAsia" w:ascii="宋体" w:hAnsi="宋体" w:cs="宋体"/>
                <w:szCs w:val="21"/>
              </w:rPr>
              <w:t>后续运营维护、升级更新、备品备件等要求均描述为详见</w:t>
            </w:r>
            <w:r>
              <w:rPr>
                <w:rFonts w:ascii="宋体" w:hAnsi="宋体" w:eastAsia="宋体" w:cs="宋体"/>
                <w:color w:val="000000"/>
                <w:szCs w:val="21"/>
              </w:rPr>
              <w:t>商务要求</w:t>
            </w:r>
          </w:p>
        </w:tc>
      </w:tr>
      <w:tr w14:paraId="1DD8A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E0E8E4F">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6</w:t>
            </w:r>
          </w:p>
        </w:tc>
        <w:tc>
          <w:tcPr>
            <w:tcW w:w="1603" w:type="dxa"/>
            <w:vAlign w:val="center"/>
          </w:tcPr>
          <w:p w14:paraId="2F7622B9">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安装调试</w:t>
            </w:r>
          </w:p>
        </w:tc>
        <w:tc>
          <w:tcPr>
            <w:tcW w:w="940" w:type="dxa"/>
          </w:tcPr>
          <w:p w14:paraId="621EEB9F">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_GB2312" w:hAnsi="宋体" w:eastAsia="仿宋_GB2312"/>
                <w:sz w:val="24"/>
                <w:szCs w:val="24"/>
                <w:lang w:val="zh-CN"/>
              </w:rPr>
              <w:t>★</w:t>
            </w:r>
          </w:p>
        </w:tc>
        <w:tc>
          <w:tcPr>
            <w:tcW w:w="5237" w:type="dxa"/>
            <w:vAlign w:val="center"/>
          </w:tcPr>
          <w:p w14:paraId="5742197D">
            <w:pPr>
              <w:widowControl/>
              <w:autoSpaceDE w:val="0"/>
              <w:autoSpaceDN w:val="0"/>
              <w:adjustRightInd w:val="0"/>
              <w:snapToGrid w:val="0"/>
              <w:rPr>
                <w:rFonts w:hint="eastAsia" w:ascii="仿宋" w:hAnsi="仿宋" w:eastAsia="仿宋" w:cs="宋体"/>
                <w:i/>
                <w:snapToGrid w:val="0"/>
                <w:kern w:val="0"/>
                <w:sz w:val="24"/>
                <w:szCs w:val="24"/>
                <w:lang w:val="zh-CN"/>
              </w:rPr>
            </w:pPr>
            <w:r>
              <w:rPr>
                <w:rFonts w:hint="eastAsia" w:ascii="仿宋_GB2312" w:hAnsi="宋体" w:eastAsia="仿宋_GB2312" w:cs="宋体"/>
                <w:iCs/>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5179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C3348FC">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7</w:t>
            </w:r>
          </w:p>
        </w:tc>
        <w:tc>
          <w:tcPr>
            <w:tcW w:w="1603" w:type="dxa"/>
            <w:vAlign w:val="center"/>
          </w:tcPr>
          <w:p w14:paraId="7683AD7B">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培训要求</w:t>
            </w:r>
          </w:p>
        </w:tc>
        <w:tc>
          <w:tcPr>
            <w:tcW w:w="940" w:type="dxa"/>
          </w:tcPr>
          <w:p w14:paraId="34A341E5">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_GB2312" w:hAnsi="宋体" w:eastAsia="仿宋_GB2312"/>
                <w:sz w:val="24"/>
                <w:szCs w:val="24"/>
                <w:lang w:val="zh-CN"/>
              </w:rPr>
              <w:t>★</w:t>
            </w:r>
          </w:p>
        </w:tc>
        <w:tc>
          <w:tcPr>
            <w:tcW w:w="5237" w:type="dxa"/>
            <w:vAlign w:val="center"/>
          </w:tcPr>
          <w:p w14:paraId="7623AB8E">
            <w:pPr>
              <w:widowControl/>
              <w:autoSpaceDE w:val="0"/>
              <w:autoSpaceDN w:val="0"/>
              <w:adjustRightInd w:val="0"/>
              <w:snapToGrid w:val="0"/>
              <w:rPr>
                <w:rFonts w:hint="eastAsia" w:ascii="仿宋" w:hAnsi="仿宋" w:eastAsia="仿宋" w:cs="宋体"/>
                <w:i/>
                <w:snapToGrid w:val="0"/>
                <w:kern w:val="0"/>
                <w:sz w:val="24"/>
                <w:szCs w:val="24"/>
                <w:lang w:val="zh-CN"/>
              </w:rPr>
            </w:pPr>
            <w:r>
              <w:rPr>
                <w:rFonts w:hint="eastAsia" w:ascii="仿宋_GB2312" w:hAnsi="宋体" w:eastAsia="仿宋_GB2312" w:cs="宋体"/>
                <w:iCs/>
                <w:snapToGrid w:val="0"/>
                <w:kern w:val="0"/>
                <w:sz w:val="24"/>
                <w:szCs w:val="24"/>
                <w:lang w:val="zh-CN"/>
              </w:rPr>
              <w:t>提供4天以上现场培训，</w:t>
            </w:r>
            <w:r>
              <w:rPr>
                <w:rFonts w:ascii="仿宋_GB2312" w:hAnsi="宋体" w:eastAsia="仿宋_GB2312" w:cs="宋体"/>
                <w:iCs/>
                <w:snapToGrid w:val="0"/>
                <w:kern w:val="0"/>
                <w:sz w:val="24"/>
                <w:szCs w:val="24"/>
                <w:lang w:val="zh-CN"/>
              </w:rPr>
              <w:t>内容包括设备原理、操作、观测、数据处理、安全规范及基础维护</w:t>
            </w:r>
            <w:r>
              <w:rPr>
                <w:rFonts w:hint="eastAsia" w:ascii="仿宋_GB2312" w:hAnsi="宋体" w:eastAsia="仿宋_GB2312" w:cs="宋体"/>
                <w:iCs/>
                <w:snapToGrid w:val="0"/>
                <w:kern w:val="0"/>
                <w:sz w:val="24"/>
                <w:szCs w:val="24"/>
                <w:lang w:val="zh-CN"/>
              </w:rPr>
              <w:t>等，交通等与培训相关的费用均由成交供应商承担。</w:t>
            </w:r>
          </w:p>
        </w:tc>
      </w:tr>
      <w:tr w14:paraId="6E776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80D54DB">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8</w:t>
            </w:r>
          </w:p>
        </w:tc>
        <w:tc>
          <w:tcPr>
            <w:tcW w:w="1603" w:type="dxa"/>
            <w:vAlign w:val="center"/>
          </w:tcPr>
          <w:p w14:paraId="727D1672">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验收标准</w:t>
            </w:r>
          </w:p>
        </w:tc>
        <w:tc>
          <w:tcPr>
            <w:tcW w:w="940" w:type="dxa"/>
          </w:tcPr>
          <w:p w14:paraId="43D2F8CB">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_GB2312" w:hAnsi="宋体" w:eastAsia="仿宋_GB2312"/>
                <w:sz w:val="24"/>
                <w:szCs w:val="24"/>
                <w:lang w:val="zh-CN"/>
              </w:rPr>
              <w:t>★</w:t>
            </w:r>
          </w:p>
        </w:tc>
        <w:tc>
          <w:tcPr>
            <w:tcW w:w="5237" w:type="dxa"/>
          </w:tcPr>
          <w:p w14:paraId="0F9F5472">
            <w:pPr>
              <w:widowControl/>
              <w:autoSpaceDE w:val="0"/>
              <w:autoSpaceDN w:val="0"/>
              <w:adjustRightInd w:val="0"/>
              <w:snapToGrid w:val="0"/>
              <w:jc w:val="left"/>
              <w:rPr>
                <w:rFonts w:hint="eastAsia" w:ascii="仿宋" w:hAnsi="仿宋" w:eastAsia="仿宋" w:cs="宋体"/>
                <w:snapToGrid w:val="0"/>
                <w:kern w:val="0"/>
                <w:sz w:val="24"/>
                <w:szCs w:val="24"/>
                <w:lang w:val="zh-CN"/>
              </w:rPr>
            </w:pPr>
            <w:r>
              <w:rPr>
                <w:rFonts w:hint="eastAsia" w:ascii="仿宋_GB2312" w:hAnsi="宋体" w:eastAsia="仿宋_GB2312" w:cs="宋体"/>
                <w:iCs/>
                <w:snapToGrid w:val="0"/>
                <w:kern w:val="0"/>
                <w:sz w:val="24"/>
                <w:szCs w:val="24"/>
                <w:lang w:val="zh-CN"/>
              </w:rPr>
              <w:t>按照供应商响应文件及采购文件确定的技术和服务指标、</w:t>
            </w:r>
            <w:r>
              <w:rPr>
                <w:rFonts w:ascii="仿宋_GB2312" w:hAnsi="宋体" w:eastAsia="仿宋_GB2312" w:cs="宋体"/>
                <w:iCs/>
                <w:snapToGrid w:val="0"/>
                <w:kern w:val="0"/>
                <w:sz w:val="24"/>
                <w:szCs w:val="24"/>
                <w:lang w:val="zh-CN"/>
              </w:rPr>
              <w:t>合同约定</w:t>
            </w:r>
            <w:r>
              <w:rPr>
                <w:rFonts w:hint="eastAsia" w:ascii="仿宋_GB2312" w:hAnsi="宋体" w:eastAsia="仿宋_GB2312" w:cs="宋体"/>
                <w:iCs/>
                <w:snapToGrid w:val="0"/>
                <w:kern w:val="0"/>
                <w:sz w:val="24"/>
                <w:szCs w:val="24"/>
                <w:lang w:val="zh-CN"/>
              </w:rPr>
              <w:t>进行验收。</w:t>
            </w:r>
          </w:p>
        </w:tc>
      </w:tr>
      <w:tr w14:paraId="6558E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5684EFC">
            <w:pPr>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rPr>
              <w:t>9</w:t>
            </w:r>
          </w:p>
        </w:tc>
        <w:tc>
          <w:tcPr>
            <w:tcW w:w="1603" w:type="dxa"/>
            <w:vAlign w:val="center"/>
          </w:tcPr>
          <w:p w14:paraId="3DAB06DE">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付款方式</w:t>
            </w:r>
          </w:p>
        </w:tc>
        <w:tc>
          <w:tcPr>
            <w:tcW w:w="940" w:type="dxa"/>
          </w:tcPr>
          <w:p w14:paraId="65334D16">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_GB2312" w:hAnsi="宋体" w:eastAsia="仿宋_GB2312"/>
                <w:sz w:val="24"/>
                <w:szCs w:val="24"/>
                <w:lang w:val="zh-CN"/>
              </w:rPr>
              <w:t>★</w:t>
            </w:r>
          </w:p>
        </w:tc>
        <w:tc>
          <w:tcPr>
            <w:tcW w:w="5237" w:type="dxa"/>
            <w:vAlign w:val="center"/>
          </w:tcPr>
          <w:p w14:paraId="7C21280B">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仪器设备安装调试到位并验收合格后，支付至合同总金额的95%，余款在运行一年无质量问题后一次性付清，或按学校相关规定进行付款。</w:t>
            </w:r>
          </w:p>
          <w:p w14:paraId="1F0A3325">
            <w:pPr>
              <w:widowControl/>
              <w:autoSpaceDE w:val="0"/>
              <w:autoSpaceDN w:val="0"/>
              <w:adjustRightInd w:val="0"/>
              <w:snapToGrid w:val="0"/>
              <w:rPr>
                <w:rFonts w:hint="eastAsia" w:ascii="仿宋" w:hAnsi="仿宋" w:eastAsia="仿宋" w:cs="宋体"/>
                <w:snapToGrid w:val="0"/>
                <w:kern w:val="0"/>
                <w:sz w:val="24"/>
                <w:szCs w:val="24"/>
                <w:lang w:val="zh-CN"/>
              </w:rPr>
            </w:pPr>
            <w:r>
              <w:rPr>
                <w:rFonts w:hint="eastAsia" w:ascii="仿宋_GB2312" w:hAnsi="宋体" w:eastAsia="仿宋_GB2312" w:cs="宋体"/>
                <w:iCs/>
                <w:snapToGrid w:val="0"/>
                <w:kern w:val="0"/>
                <w:sz w:val="24"/>
                <w:szCs w:val="24"/>
                <w:lang w:val="zh-CN"/>
              </w:rPr>
              <w:t>若中标人为中小企业，将落实《保障中小企业款项支付条例》。</w:t>
            </w:r>
          </w:p>
        </w:tc>
      </w:tr>
      <w:tr w14:paraId="2199C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E25A693">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10</w:t>
            </w:r>
          </w:p>
        </w:tc>
        <w:tc>
          <w:tcPr>
            <w:tcW w:w="1603" w:type="dxa"/>
            <w:vAlign w:val="center"/>
          </w:tcPr>
          <w:p w14:paraId="257411DF">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商务响应</w:t>
            </w:r>
          </w:p>
        </w:tc>
        <w:tc>
          <w:tcPr>
            <w:tcW w:w="940" w:type="dxa"/>
          </w:tcPr>
          <w:p w14:paraId="70DE61E3">
            <w:pPr>
              <w:widowControl/>
              <w:autoSpaceDE w:val="0"/>
              <w:autoSpaceDN w:val="0"/>
              <w:adjustRightInd w:val="0"/>
              <w:snapToGrid w:val="0"/>
              <w:jc w:val="center"/>
              <w:rPr>
                <w:rFonts w:hint="eastAsia" w:ascii="仿宋_GB2312" w:hAnsi="宋体" w:eastAsia="仿宋_GB2312"/>
                <w:sz w:val="24"/>
                <w:szCs w:val="24"/>
                <w:lang w:val="zh-CN"/>
              </w:rPr>
            </w:pPr>
            <w:r>
              <w:rPr>
                <w:rFonts w:hint="eastAsia" w:ascii="仿宋_GB2312" w:hAnsi="宋体" w:eastAsia="仿宋_GB2312"/>
                <w:sz w:val="24"/>
                <w:szCs w:val="24"/>
                <w:lang w:val="zh-CN"/>
              </w:rPr>
              <w:t>★</w:t>
            </w:r>
          </w:p>
        </w:tc>
        <w:tc>
          <w:tcPr>
            <w:tcW w:w="5237" w:type="dxa"/>
            <w:vAlign w:val="center"/>
          </w:tcPr>
          <w:p w14:paraId="1E5E456A">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宋体" w:hAnsi="宋体" w:cs="宋体"/>
                <w:szCs w:val="21"/>
              </w:rPr>
              <w:t>投标人提供响应承诺函</w:t>
            </w:r>
          </w:p>
        </w:tc>
      </w:tr>
      <w:tr w14:paraId="1C034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3A9E98B">
            <w:pPr>
              <w:autoSpaceDE w:val="0"/>
              <w:autoSpaceDN w:val="0"/>
              <w:adjustRightInd w:val="0"/>
              <w:snapToGrid w:val="0"/>
              <w:jc w:val="center"/>
              <w:rPr>
                <w:rFonts w:hint="eastAsia" w:ascii="仿宋" w:hAnsi="仿宋" w:eastAsia="仿宋" w:cs="宋体"/>
                <w:snapToGrid w:val="0"/>
                <w:kern w:val="0"/>
                <w:sz w:val="24"/>
                <w:szCs w:val="24"/>
              </w:rPr>
            </w:pPr>
            <w:r>
              <w:rPr>
                <w:rFonts w:hint="eastAsia" w:ascii="仿宋" w:hAnsi="仿宋" w:eastAsia="仿宋" w:cs="宋体"/>
                <w:snapToGrid w:val="0"/>
                <w:kern w:val="0"/>
                <w:sz w:val="24"/>
                <w:szCs w:val="24"/>
              </w:rPr>
              <w:t>11</w:t>
            </w:r>
          </w:p>
        </w:tc>
        <w:tc>
          <w:tcPr>
            <w:tcW w:w="1603" w:type="dxa"/>
            <w:vAlign w:val="center"/>
          </w:tcPr>
          <w:p w14:paraId="48712FF8">
            <w:pPr>
              <w:widowControl/>
              <w:autoSpaceDE w:val="0"/>
              <w:autoSpaceDN w:val="0"/>
              <w:adjustRightInd w:val="0"/>
              <w:snapToGrid w:val="0"/>
              <w:jc w:val="center"/>
              <w:rPr>
                <w:rFonts w:hint="eastAsia" w:ascii="仿宋" w:hAnsi="仿宋" w:eastAsia="仿宋" w:cs="宋体"/>
                <w:snapToGrid w:val="0"/>
                <w:kern w:val="0"/>
                <w:sz w:val="24"/>
                <w:szCs w:val="24"/>
                <w:lang w:val="zh-CN"/>
              </w:rPr>
            </w:pPr>
            <w:r>
              <w:rPr>
                <w:rFonts w:hint="eastAsia" w:ascii="仿宋" w:hAnsi="仿宋" w:eastAsia="仿宋" w:cs="宋体"/>
                <w:snapToGrid w:val="0"/>
                <w:kern w:val="0"/>
                <w:sz w:val="24"/>
                <w:szCs w:val="24"/>
                <w:lang w:val="zh-CN"/>
              </w:rPr>
              <w:t>报价、保险等其他要求</w:t>
            </w:r>
          </w:p>
        </w:tc>
        <w:tc>
          <w:tcPr>
            <w:tcW w:w="940" w:type="dxa"/>
          </w:tcPr>
          <w:p w14:paraId="394A18F5">
            <w:pPr>
              <w:widowControl/>
              <w:autoSpaceDE w:val="0"/>
              <w:autoSpaceDN w:val="0"/>
              <w:adjustRightInd w:val="0"/>
              <w:snapToGrid w:val="0"/>
              <w:jc w:val="center"/>
              <w:rPr>
                <w:rFonts w:hint="eastAsia" w:ascii="仿宋_GB2312" w:hAnsi="宋体" w:eastAsia="仿宋_GB2312"/>
                <w:sz w:val="24"/>
                <w:szCs w:val="24"/>
                <w:lang w:val="zh-CN"/>
              </w:rPr>
            </w:pPr>
            <w:r>
              <w:rPr>
                <w:rFonts w:hint="eastAsia" w:ascii="仿宋_GB2312" w:hAnsi="宋体" w:eastAsia="仿宋_GB2312"/>
                <w:sz w:val="24"/>
                <w:szCs w:val="24"/>
                <w:lang w:val="zh-CN"/>
              </w:rPr>
              <w:t>★</w:t>
            </w:r>
          </w:p>
        </w:tc>
        <w:tc>
          <w:tcPr>
            <w:tcW w:w="5237" w:type="dxa"/>
            <w:vAlign w:val="center"/>
          </w:tcPr>
          <w:p w14:paraId="6AAC3D01">
            <w:pPr>
              <w:pStyle w:val="4"/>
              <w:wordWrap w:val="0"/>
              <w:rPr>
                <w:rFonts w:hint="eastAsia" w:ascii="宋体" w:hAnsi="宋体" w:cs="宋体"/>
                <w:szCs w:val="21"/>
              </w:rPr>
            </w:pPr>
            <w:r>
              <w:rPr>
                <w:rFonts w:hint="eastAsia" w:ascii="宋体" w:hAnsi="宋体" w:cs="宋体"/>
                <w:szCs w:val="21"/>
              </w:rPr>
              <w:t>报价要求：（1）投标人的报价均应以人民币进行报价。</w:t>
            </w:r>
          </w:p>
          <w:p w14:paraId="6CAD2C92">
            <w:pPr>
              <w:pStyle w:val="4"/>
              <w:wordWrap w:val="0"/>
              <w:rPr>
                <w:rFonts w:hint="eastAsia" w:ascii="宋体" w:hAnsi="宋体" w:cs="宋体"/>
                <w:szCs w:val="21"/>
              </w:rPr>
            </w:pPr>
            <w:r>
              <w:rPr>
                <w:rFonts w:hint="eastAsia" w:ascii="宋体" w:hAnsi="宋体" w:cs="宋体"/>
                <w:szCs w:val="21"/>
              </w:rPr>
              <w:t>（2）投标报价应包含完成本项目的全部费用，包括但不限于货物的设计、制造、采购、运输、保险、装卸、仓储、保管、安装实施所需的线材、管材、辅材及实施人员费、检测、调试、培训、验收、售后服务、利润等费用。</w:t>
            </w:r>
          </w:p>
          <w:p w14:paraId="4A93DBBE">
            <w:pPr>
              <w:pStyle w:val="4"/>
              <w:wordWrap w:val="0"/>
              <w:rPr>
                <w:rFonts w:hint="eastAsia" w:ascii="宋体" w:hAnsi="宋体" w:cs="宋体"/>
                <w:szCs w:val="21"/>
              </w:rPr>
            </w:pPr>
            <w:r>
              <w:rPr>
                <w:rFonts w:hint="eastAsia" w:ascii="宋体" w:hAnsi="宋体" w:cs="宋体"/>
                <w:szCs w:val="21"/>
              </w:rPr>
              <w:t>（3）投标人应按照本招标文件规定的采购需求及合同条款进行报价，并按招标文件确定的格式报出。投标总价中不得包含招标文件要求以外的内容，否则，在评标时不予核减。投标总价中也不得缺漏招标文件所要求的内容，否则，其投标将被视为无效投标。</w:t>
            </w:r>
          </w:p>
          <w:p w14:paraId="2561E7DC">
            <w:pPr>
              <w:pStyle w:val="4"/>
              <w:wordWrap w:val="0"/>
              <w:rPr>
                <w:rFonts w:hint="eastAsia" w:ascii="宋体" w:hAnsi="宋体" w:cs="宋体"/>
                <w:szCs w:val="21"/>
              </w:rPr>
            </w:pPr>
            <w:r>
              <w:rPr>
                <w:rFonts w:hint="eastAsia" w:ascii="宋体" w:hAnsi="宋体" w:cs="宋体"/>
                <w:szCs w:val="21"/>
              </w:rPr>
              <w:t>（4）投标人应根据本招标文件的规定和要求、市场价格水平及其走势、投标人的管理水平、投标人的方案和由这些因素决定的投标人之于本项目的成本水平等提出自己的报价。报价应包含完成本招标文件采购需求全部内容的所有费用，所有根据本招标文件或其它原因应由投标人交纳的费用都应包括在投标人提交的投标报价中。但投标人不得以低于其成本的价格进行报价。</w:t>
            </w:r>
          </w:p>
          <w:p w14:paraId="3808A29D">
            <w:pPr>
              <w:pStyle w:val="4"/>
              <w:wordWrap w:val="0"/>
              <w:rPr>
                <w:rFonts w:hint="eastAsia" w:ascii="宋体" w:hAnsi="宋体" w:cs="宋体"/>
                <w:szCs w:val="21"/>
              </w:rPr>
            </w:pPr>
            <w:r>
              <w:rPr>
                <w:rFonts w:hint="eastAsia" w:ascii="宋体" w:hAnsi="宋体" w:cs="宋体"/>
                <w:szCs w:val="21"/>
              </w:rPr>
              <w:t>（5）所有货物和服务的总价和单价应不允许零报价或与实际价值不匹配的象征性报价，不能以“赠送、赠予”等名义提供任何货物和服务。</w:t>
            </w:r>
          </w:p>
          <w:p w14:paraId="3E5323A6">
            <w:pPr>
              <w:pStyle w:val="4"/>
              <w:wordWrap w:val="0"/>
              <w:rPr>
                <w:rFonts w:hint="eastAsia" w:ascii="宋体" w:hAnsi="宋体" w:cs="宋体"/>
                <w:szCs w:val="21"/>
              </w:rPr>
            </w:pPr>
            <w:r>
              <w:rPr>
                <w:rFonts w:hint="eastAsia" w:ascii="宋体" w:hAnsi="宋体" w:cs="宋体"/>
                <w:szCs w:val="21"/>
              </w:rPr>
              <w:t>（6）每一种采购内容只允许有一个报价，否则其投标将被视为无效投标。投标人所报的投标价在合同执行过程中是固定不变的，不得以任何理由予以变更</w:t>
            </w:r>
          </w:p>
          <w:p w14:paraId="168B5D24">
            <w:pPr>
              <w:pStyle w:val="4"/>
              <w:wordWrap w:val="0"/>
              <w:rPr>
                <w:rFonts w:hint="eastAsia" w:ascii="宋体" w:hAnsi="宋体" w:cs="宋体"/>
                <w:szCs w:val="21"/>
                <w:lang w:val="zh-CN"/>
              </w:rPr>
            </w:pPr>
            <w:r>
              <w:rPr>
                <w:rFonts w:hint="eastAsia" w:ascii="宋体" w:hAnsi="宋体" w:cs="宋体"/>
                <w:szCs w:val="21"/>
              </w:rPr>
              <w:t>保险：本项目</w:t>
            </w:r>
            <w:r>
              <w:rPr>
                <w:rFonts w:hint="eastAsia" w:ascii="宋体" w:hAnsi="宋体" w:cs="宋体"/>
                <w:szCs w:val="21"/>
                <w:lang w:val="zh-CN"/>
              </w:rPr>
              <w:t>报价需包含至最终交货地点的全部保险费用，</w:t>
            </w:r>
            <w:r>
              <w:rPr>
                <w:rFonts w:hint="eastAsia" w:ascii="宋体" w:hAnsi="宋体" w:cs="宋体"/>
                <w:szCs w:val="21"/>
              </w:rPr>
              <w:t>以最终签署的合同约定内容为准</w:t>
            </w:r>
            <w:r>
              <w:rPr>
                <w:rFonts w:hint="eastAsia" w:ascii="宋体" w:hAnsi="宋体" w:cs="宋体"/>
                <w:szCs w:val="21"/>
                <w:lang w:val="zh-CN"/>
              </w:rPr>
              <w:t>。</w:t>
            </w:r>
          </w:p>
          <w:p w14:paraId="7B80ECA4">
            <w:pPr>
              <w:widowControl/>
              <w:autoSpaceDE w:val="0"/>
              <w:autoSpaceDN w:val="0"/>
              <w:adjustRightInd w:val="0"/>
              <w:snapToGrid w:val="0"/>
              <w:rPr>
                <w:rFonts w:hint="eastAsia" w:ascii="宋体" w:hAnsi="宋体" w:cs="宋体"/>
                <w:szCs w:val="21"/>
              </w:rPr>
            </w:pPr>
            <w:r>
              <w:rPr>
                <w:rFonts w:hint="eastAsia" w:ascii="宋体" w:hAnsi="宋体" w:cs="宋体"/>
                <w:szCs w:val="21"/>
              </w:rPr>
              <w:t>其他：投标人应结合本项目的采购需求及实际实施内容等情况，提供与之相关的交货、安装调试方案、质量保证措施、售后服务等内容。</w:t>
            </w:r>
          </w:p>
        </w:tc>
      </w:tr>
    </w:tbl>
    <w:p w14:paraId="4432B356">
      <w:pPr>
        <w:widowControl/>
        <w:ind w:firstLine="482" w:firstLineChars="200"/>
        <w:jc w:val="left"/>
        <w:rPr>
          <w:rFonts w:hint="eastAsia" w:ascii="仿宋" w:hAnsi="仿宋" w:eastAsia="仿宋" w:cs="仿宋"/>
          <w:b/>
          <w:color w:val="000000"/>
          <w:kern w:val="0"/>
          <w:sz w:val="24"/>
          <w:szCs w:val="24"/>
          <w:shd w:val="clear" w:color="auto" w:fill="FFFFFF"/>
        </w:rPr>
      </w:pPr>
      <w:r>
        <w:rPr>
          <w:rFonts w:hint="eastAsia" w:ascii="仿宋" w:hAnsi="仿宋" w:eastAsia="仿宋" w:cs="仿宋"/>
          <w:b/>
          <w:color w:val="000000"/>
          <w:kern w:val="0"/>
          <w:sz w:val="24"/>
          <w:szCs w:val="24"/>
          <w:shd w:val="clear" w:color="auto" w:fill="FFFFFF"/>
        </w:rPr>
        <w:t>五、实现的政府采购政策目标</w:t>
      </w:r>
    </w:p>
    <w:p w14:paraId="4995EC05">
      <w:pPr>
        <w:spacing w:line="360" w:lineRule="auto"/>
        <w:ind w:firstLine="493"/>
        <w:jc w:val="left"/>
        <w:rPr>
          <w:rFonts w:hint="eastAsia" w:ascii="仿宋" w:hAnsi="仿宋" w:eastAsia="仿宋"/>
          <w:i/>
          <w:sz w:val="24"/>
          <w:szCs w:val="24"/>
        </w:rPr>
      </w:pPr>
      <w:r>
        <w:rPr>
          <w:rFonts w:hint="eastAsia" w:ascii="仿宋" w:hAnsi="仿宋" w:eastAsia="仿宋"/>
          <w:sz w:val="24"/>
          <w:szCs w:val="24"/>
        </w:rPr>
        <w:t>本项目须落实节约能源、保护环境、促进中小企业发展、支持创新等政府采购政策。</w:t>
      </w:r>
    </w:p>
    <w:p w14:paraId="178C5C07">
      <w:pPr>
        <w:spacing w:line="360" w:lineRule="auto"/>
        <w:ind w:firstLine="493"/>
        <w:jc w:val="left"/>
        <w:rPr>
          <w:rFonts w:hint="eastAsia" w:ascii="仿宋" w:hAnsi="仿宋" w:eastAsia="仿宋"/>
          <w:sz w:val="24"/>
          <w:szCs w:val="24"/>
        </w:rPr>
      </w:pPr>
      <w:r>
        <w:rPr>
          <w:rFonts w:hint="eastAsia" w:ascii="仿宋" w:hAnsi="仿宋" w:eastAsia="仿宋"/>
          <w:sz w:val="24"/>
          <w:szCs w:val="24"/>
        </w:rPr>
        <w:t>（二）本项目为：</w:t>
      </w:r>
    </w:p>
    <w:p w14:paraId="7EB334B5">
      <w:pPr>
        <w:spacing w:line="360" w:lineRule="auto"/>
        <w:ind w:firstLine="493"/>
        <w:jc w:val="left"/>
        <w:rPr>
          <w:rFonts w:hint="eastAsia" w:ascii="仿宋" w:hAnsi="仿宋" w:eastAsia="仿宋"/>
          <w:sz w:val="24"/>
          <w:szCs w:val="24"/>
        </w:rPr>
      </w:pPr>
      <w:r>
        <w:rPr>
          <w:rFonts w:hint="eastAsia" w:ascii="仿宋" w:hAnsi="仿宋" w:eastAsia="仿宋"/>
          <w:sz w:val="24"/>
          <w:szCs w:val="24"/>
        </w:rPr>
        <w:t>□专门面向中小企业采购项目</w:t>
      </w:r>
    </w:p>
    <w:p w14:paraId="3BF9FE7D">
      <w:pPr>
        <w:spacing w:line="360" w:lineRule="auto"/>
        <w:ind w:firstLine="493"/>
        <w:jc w:val="left"/>
        <w:rPr>
          <w:rFonts w:hint="eastAsia" w:ascii="仿宋" w:hAnsi="仿宋" w:eastAsia="仿宋"/>
          <w:i/>
          <w:sz w:val="24"/>
          <w:szCs w:val="24"/>
        </w:rPr>
      </w:pPr>
      <w:r>
        <w:rPr>
          <w:rFonts w:hint="eastAsia" w:ascii="仿宋" w:hAnsi="仿宋" w:eastAsia="仿宋"/>
          <w:sz w:val="24"/>
          <w:szCs w:val="24"/>
        </w:rPr>
        <w:t>□预留该部分采购项目预算总额的40%以上专门面向中小企业</w:t>
      </w:r>
      <w:r>
        <w:rPr>
          <w:rFonts w:hint="eastAsia" w:ascii="仿宋" w:hAnsi="仿宋" w:eastAsia="仿宋"/>
          <w:i/>
          <w:sz w:val="24"/>
          <w:szCs w:val="24"/>
        </w:rPr>
        <w:t>（建设项目）</w:t>
      </w:r>
    </w:p>
    <w:p w14:paraId="00A4C945">
      <w:pPr>
        <w:spacing w:line="360" w:lineRule="auto"/>
        <w:ind w:firstLine="493"/>
        <w:jc w:val="left"/>
        <w:rPr>
          <w:rFonts w:hint="eastAsia" w:ascii="仿宋" w:hAnsi="仿宋" w:eastAsia="仿宋"/>
          <w:sz w:val="24"/>
          <w:szCs w:val="24"/>
        </w:rPr>
      </w:pPr>
      <w:r>
        <w:rPr>
          <w:rFonts w:hint="eastAsia" w:ascii="仿宋" w:hAnsi="仿宋" w:eastAsia="仿宋"/>
          <w:sz w:val="24"/>
          <w:szCs w:val="24"/>
        </w:rPr>
        <w:t>☑非专门面向中小企业采购项目</w:t>
      </w:r>
    </w:p>
    <w:p w14:paraId="4CCA16F6">
      <w:pPr>
        <w:spacing w:line="360" w:lineRule="auto"/>
        <w:ind w:firstLine="493"/>
        <w:jc w:val="left"/>
        <w:rPr>
          <w:rFonts w:hint="eastAsia" w:ascii="仿宋" w:hAnsi="仿宋" w:eastAsia="仿宋"/>
          <w:sz w:val="24"/>
          <w:szCs w:val="24"/>
          <w:u w:val="single"/>
        </w:rPr>
      </w:pPr>
      <w:r>
        <w:rPr>
          <w:rFonts w:hint="eastAsia" w:ascii="仿宋" w:hAnsi="仿宋" w:eastAsia="仿宋"/>
          <w:sz w:val="24"/>
          <w:szCs w:val="24"/>
        </w:rPr>
        <w:t xml:space="preserve">（三）按中小企业划分标准所属行业： </w:t>
      </w:r>
      <w:r>
        <w:rPr>
          <w:rFonts w:hint="eastAsia" w:ascii="仿宋" w:hAnsi="仿宋" w:eastAsia="仿宋"/>
          <w:sz w:val="24"/>
          <w:szCs w:val="24"/>
          <w:u w:val="single"/>
        </w:rPr>
        <w:t xml:space="preserve"> </w:t>
      </w:r>
      <w:r>
        <w:rPr>
          <w:rFonts w:hint="eastAsia" w:ascii="仿宋" w:hAnsi="仿宋" w:eastAsia="仿宋"/>
          <w:sz w:val="24"/>
          <w:szCs w:val="24"/>
          <w:u w:val="single"/>
          <w:lang w:val="en-US" w:eastAsia="zh-CN"/>
        </w:rPr>
        <w:t>工业</w:t>
      </w:r>
      <w:r>
        <w:rPr>
          <w:rFonts w:hint="eastAsia" w:ascii="仿宋" w:hAnsi="仿宋" w:eastAsia="仿宋"/>
          <w:sz w:val="24"/>
          <w:szCs w:val="24"/>
          <w:u w:val="single"/>
        </w:rPr>
        <w:t xml:space="preserve"> </w:t>
      </w:r>
      <w:r>
        <w:rPr>
          <w:rFonts w:hint="eastAsia" w:ascii="仿宋" w:hAnsi="仿宋" w:eastAsia="仿宋"/>
          <w:sz w:val="24"/>
          <w:szCs w:val="24"/>
        </w:rPr>
        <w:t xml:space="preserve">   </w:t>
      </w:r>
      <w:bookmarkStart w:id="0" w:name="_GoBack"/>
      <w:bookmarkEnd w:id="0"/>
      <w:r>
        <w:rPr>
          <w:rFonts w:hint="eastAsia" w:ascii="仿宋" w:hAnsi="仿宋" w:eastAsia="仿宋"/>
          <w:sz w:val="24"/>
          <w:szCs w:val="24"/>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38C3D0B6-1BD4-4245-BFAD-07F60019DCD3}"/>
  </w:font>
  <w:font w:name="Calibri Light">
    <w:panose1 w:val="020F03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A71115E4-E9C2-40BF-AE0D-E978DFCF7CB9}"/>
  </w:font>
  <w:font w:name="方正小标宋简体">
    <w:panose1 w:val="02010600010101010101"/>
    <w:charset w:val="86"/>
    <w:family w:val="script"/>
    <w:pitch w:val="default"/>
    <w:sig w:usb0="00000001" w:usb1="080E0000" w:usb2="00000000" w:usb3="00000000" w:csb0="00040000" w:csb1="00000000"/>
    <w:embedRegular r:id="rId3" w:fontKey="{9FC81BC5-097C-4681-AC4B-FE763EDBAF65}"/>
  </w:font>
  <w:font w:name="Arial">
    <w:panose1 w:val="020B0604020202020204"/>
    <w:charset w:val="00"/>
    <w:family w:val="swiss"/>
    <w:pitch w:val="default"/>
    <w:sig w:usb0="E0002EFF" w:usb1="C000785B" w:usb2="00000009" w:usb3="00000000" w:csb0="400001FF" w:csb1="FFFF0000"/>
    <w:embedRegular r:id="rId4" w:fontKey="{3B837A18-126C-48A7-AF9C-175D9EB23BC5}"/>
  </w:font>
  <w:font w:name="Wingdings 2">
    <w:altName w:val="Wingdings"/>
    <w:panose1 w:val="05020102010507070707"/>
    <w:charset w:val="02"/>
    <w:family w:val="roman"/>
    <w:pitch w:val="default"/>
    <w:sig w:usb0="00000000" w:usb1="00000000" w:usb2="00000000" w:usb3="00000000" w:csb0="80000000" w:csb1="00000000"/>
    <w:embedRegular r:id="rId5" w:fontKey="{F06FE287-96D8-4D43-B902-5F4FBAB93C08}"/>
  </w:font>
  <w:font w:name="仿宋_GB2312">
    <w:altName w:val="仿宋"/>
    <w:panose1 w:val="02010609030101010101"/>
    <w:charset w:val="86"/>
    <w:family w:val="modern"/>
    <w:pitch w:val="default"/>
    <w:sig w:usb0="00000000" w:usb1="00000000" w:usb2="00000010" w:usb3="00000000" w:csb0="00040000" w:csb1="00000000"/>
    <w:embedRegular r:id="rId6" w:fontKey="{D16124CB-5873-4C78-81A1-2D350FC50A64}"/>
  </w:font>
  <w:font w:name="Wingdings">
    <w:panose1 w:val="05000000000000000000"/>
    <w:charset w:val="00"/>
    <w:family w:val="auto"/>
    <w:pitch w:val="default"/>
    <w:sig w:usb0="00000000" w:usb1="00000000" w:usb2="00000000" w:usb3="00000000" w:csb0="80000000"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0B626B"/>
    <w:rsid w:val="001162AA"/>
    <w:rsid w:val="00124574"/>
    <w:rsid w:val="001304BC"/>
    <w:rsid w:val="001614BB"/>
    <w:rsid w:val="00194B71"/>
    <w:rsid w:val="00294181"/>
    <w:rsid w:val="0035189D"/>
    <w:rsid w:val="00352737"/>
    <w:rsid w:val="00367CC0"/>
    <w:rsid w:val="004D0455"/>
    <w:rsid w:val="00517463"/>
    <w:rsid w:val="005877BF"/>
    <w:rsid w:val="005F7E7B"/>
    <w:rsid w:val="006B2B01"/>
    <w:rsid w:val="006D3441"/>
    <w:rsid w:val="00761D3E"/>
    <w:rsid w:val="0081140E"/>
    <w:rsid w:val="00855699"/>
    <w:rsid w:val="00861716"/>
    <w:rsid w:val="0087037A"/>
    <w:rsid w:val="008A48E3"/>
    <w:rsid w:val="00972B91"/>
    <w:rsid w:val="00B41AA4"/>
    <w:rsid w:val="00B50150"/>
    <w:rsid w:val="00BC5E17"/>
    <w:rsid w:val="00CA06E1"/>
    <w:rsid w:val="00D0271D"/>
    <w:rsid w:val="00D21998"/>
    <w:rsid w:val="00D21B25"/>
    <w:rsid w:val="00D25578"/>
    <w:rsid w:val="00D35488"/>
    <w:rsid w:val="00DA03B7"/>
    <w:rsid w:val="00DD0C8D"/>
    <w:rsid w:val="00E213A9"/>
    <w:rsid w:val="0E8A2A67"/>
    <w:rsid w:val="265C4BB5"/>
    <w:rsid w:val="3D383408"/>
    <w:rsid w:val="564B5CB7"/>
    <w:rsid w:val="58067F76"/>
    <w:rsid w:val="5DAD3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3"/>
    <w:unhideWhenUsed/>
    <w:qFormat/>
    <w:uiPriority w:val="99"/>
    <w:pPr>
      <w:jc w:val="left"/>
    </w:pPr>
    <w:rPr>
      <w:rFonts w:ascii="Calibri" w:hAnsi="Calibri" w:eastAsia="宋体" w:cs="Times New Roman"/>
      <w:szCs w:val="24"/>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tabs>
        <w:tab w:val="center" w:pos="4153"/>
        <w:tab w:val="right" w:pos="8306"/>
      </w:tabs>
      <w:snapToGrid w:val="0"/>
      <w:jc w:val="center"/>
    </w:pPr>
    <w:rPr>
      <w:sz w:val="18"/>
      <w:szCs w:val="18"/>
    </w:rPr>
  </w:style>
  <w:style w:type="character" w:styleId="9">
    <w:name w:val="Strong"/>
    <w:qFormat/>
    <w:uiPriority w:val="22"/>
    <w:rPr>
      <w:b/>
      <w:bCs/>
    </w:rPr>
  </w:style>
  <w:style w:type="character" w:customStyle="1" w:styleId="10">
    <w:name w:val="页眉 字符"/>
    <w:basedOn w:val="8"/>
    <w:link w:val="6"/>
    <w:uiPriority w:val="0"/>
    <w:rPr>
      <w:kern w:val="2"/>
      <w:sz w:val="18"/>
      <w:szCs w:val="18"/>
    </w:rPr>
  </w:style>
  <w:style w:type="character" w:customStyle="1" w:styleId="11">
    <w:name w:val="页脚 字符"/>
    <w:basedOn w:val="8"/>
    <w:link w:val="5"/>
    <w:uiPriority w:val="0"/>
    <w:rPr>
      <w:kern w:val="2"/>
      <w:sz w:val="18"/>
      <w:szCs w:val="18"/>
    </w:rPr>
  </w:style>
  <w:style w:type="paragraph" w:customStyle="1" w:styleId="12">
    <w:name w:val="修订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3">
    <w:name w:val="批注文字 字符"/>
    <w:basedOn w:val="8"/>
    <w:link w:val="4"/>
    <w:qFormat/>
    <w:uiPriority w:val="99"/>
    <w:rPr>
      <w:rFonts w:ascii="Calibri" w:hAnsi="Calibri" w:eastAsia="宋体" w:cs="Times New Roman"/>
      <w:kern w:val="2"/>
      <w:sz w:val="21"/>
      <w:szCs w:val="24"/>
    </w:rPr>
  </w:style>
  <w:style w:type="paragraph" w:customStyle="1" w:styleId="14">
    <w:name w:val="Revision"/>
    <w:hidden/>
    <w:unhideWhenUsed/>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825</Words>
  <Characters>835</Characters>
  <Lines>51</Lines>
  <Paragraphs>14</Paragraphs>
  <TotalTime>2</TotalTime>
  <ScaleCrop>false</ScaleCrop>
  <LinksUpToDate>false</LinksUpToDate>
  <CharactersWithSpaces>843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2026-08-12T09:02:00Z</dcterms:created>
  <dc:creator>姜忠保</dc:creator>
  <cp:lastModifiedBy>dd</cp:lastModifiedBy>
  <dcterms:modified xsi:type="dcterms:W3CDTF">2026-08-12T09:37:36Z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E72197EFE0B64FC49B8EE4EA45AB3ECA_13</vt:lpwstr>
  </property>
  <property fmtid="{D5CDD505-2E9C-101B-9397-08002B2CF9AE}" pid="4" name="KSOTemplateDocerSaveRecord">
    <vt:lpwstr>eyJoZGlkIjoiYzVlYmI3M2M4OWE3YWUyYTVmNWVhOGI1NmY0NTYxMTciLCJ1c2VySWQiOiIxNTM1ODk5ODk4In0=</vt:lpwstr>
  </property>
</Properties>
</file>