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057094">
      <w:pPr>
        <w:pStyle w:val="2"/>
        <w:spacing w:before="0" w:after="0" w:line="360" w:lineRule="auto"/>
        <w:rPr>
          <w:rFonts w:hint="eastAsia" w:ascii="仿宋" w:hAnsi="仿宋" w:eastAsia="仿宋" w:cs="仿宋"/>
          <w:szCs w:val="28"/>
        </w:rPr>
      </w:pPr>
      <w:r>
        <w:rPr>
          <w:rFonts w:hint="eastAsia" w:ascii="仿宋" w:hAnsi="仿宋" w:eastAsia="仿宋" w:cs="仿宋"/>
          <w:szCs w:val="28"/>
        </w:rPr>
        <w:drawing>
          <wp:inline distT="0" distB="0" distL="114300" distR="114300">
            <wp:extent cx="2712085" cy="636270"/>
            <wp:effectExtent l="0" t="0" r="2540" b="1905"/>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5ABCB654">
      <w:pPr>
        <w:pStyle w:val="2"/>
        <w:spacing w:before="0" w:after="0" w:line="360" w:lineRule="auto"/>
        <w:jc w:val="center"/>
        <w:rPr>
          <w:rFonts w:hint="eastAsia" w:ascii="仿宋" w:hAnsi="仿宋" w:eastAsia="仿宋" w:cs="仿宋"/>
          <w:szCs w:val="28"/>
        </w:rPr>
      </w:pPr>
    </w:p>
    <w:p w14:paraId="14ABA92F">
      <w:pPr>
        <w:pStyle w:val="2"/>
        <w:spacing w:before="0" w:after="0" w:line="360" w:lineRule="auto"/>
        <w:jc w:val="center"/>
        <w:rPr>
          <w:rFonts w:hint="eastAsia" w:ascii="仿宋" w:hAnsi="仿宋" w:eastAsia="仿宋" w:cs="仿宋"/>
          <w:szCs w:val="28"/>
        </w:rPr>
      </w:pPr>
    </w:p>
    <w:p w14:paraId="18861C6F">
      <w:pPr>
        <w:rPr>
          <w:rFonts w:hint="eastAsia" w:ascii="仿宋" w:hAnsi="仿宋" w:eastAsia="仿宋" w:cs="仿宋"/>
        </w:rPr>
      </w:pPr>
    </w:p>
    <w:p w14:paraId="6BFD962E">
      <w:pPr>
        <w:rPr>
          <w:rFonts w:hint="eastAsia" w:ascii="仿宋" w:hAnsi="仿宋" w:eastAsia="仿宋" w:cs="仿宋"/>
          <w:szCs w:val="28"/>
        </w:rPr>
      </w:pPr>
    </w:p>
    <w:p w14:paraId="7A7743F7">
      <w:pPr>
        <w:jc w:val="center"/>
        <w:rPr>
          <w:rFonts w:hint="eastAsia" w:ascii="仿宋" w:hAnsi="仿宋" w:eastAsia="仿宋" w:cs="仿宋"/>
          <w:sz w:val="48"/>
          <w:szCs w:val="48"/>
        </w:rPr>
      </w:pPr>
      <w:r>
        <w:rPr>
          <w:rFonts w:hint="eastAsia" w:ascii="仿宋" w:hAnsi="仿宋" w:eastAsia="仿宋" w:cs="仿宋"/>
          <w:sz w:val="48"/>
          <w:szCs w:val="48"/>
        </w:rPr>
        <w:t>采 购 需 求 书</w:t>
      </w:r>
    </w:p>
    <w:p w14:paraId="4C77523E">
      <w:pPr>
        <w:rPr>
          <w:rFonts w:hint="eastAsia" w:ascii="仿宋" w:hAnsi="仿宋" w:eastAsia="仿宋" w:cs="仿宋"/>
        </w:rPr>
      </w:pPr>
    </w:p>
    <w:p w14:paraId="189AE393">
      <w:pPr>
        <w:ind w:firstLine="1044" w:firstLineChars="400"/>
        <w:rPr>
          <w:rFonts w:hint="eastAsia" w:ascii="仿宋" w:hAnsi="仿宋" w:eastAsia="仿宋" w:cs="仿宋"/>
          <w:b/>
          <w:bCs/>
          <w:color w:val="000000"/>
          <w:kern w:val="0"/>
          <w:sz w:val="26"/>
          <w:szCs w:val="26"/>
          <w:shd w:val="clear" w:color="auto" w:fill="FFFFFF"/>
        </w:rPr>
      </w:pPr>
    </w:p>
    <w:p w14:paraId="09194A15">
      <w:pPr>
        <w:ind w:firstLine="1044" w:firstLineChars="400"/>
        <w:rPr>
          <w:rFonts w:hint="eastAsia" w:ascii="仿宋" w:hAnsi="仿宋" w:eastAsia="仿宋" w:cs="仿宋"/>
          <w:b/>
          <w:bCs/>
          <w:color w:val="000000"/>
          <w:kern w:val="0"/>
          <w:sz w:val="26"/>
          <w:szCs w:val="26"/>
          <w:shd w:val="clear" w:color="auto" w:fill="FFFFFF"/>
        </w:rPr>
      </w:pPr>
    </w:p>
    <w:p w14:paraId="2A3BCCA4">
      <w:pPr>
        <w:ind w:firstLine="1044" w:firstLineChars="400"/>
        <w:rPr>
          <w:rFonts w:hint="eastAsia" w:ascii="仿宋" w:hAnsi="仿宋" w:eastAsia="仿宋" w:cs="仿宋"/>
          <w:b/>
          <w:bCs/>
          <w:color w:val="000000"/>
          <w:kern w:val="0"/>
          <w:sz w:val="26"/>
          <w:szCs w:val="26"/>
          <w:shd w:val="clear" w:color="auto" w:fill="FFFFFF"/>
        </w:rPr>
      </w:pPr>
    </w:p>
    <w:p w14:paraId="67425A3B">
      <w:pPr>
        <w:spacing w:line="720" w:lineRule="auto"/>
        <w:ind w:firstLine="2108" w:firstLineChars="659"/>
        <w:rPr>
          <w:rFonts w:hint="eastAsia" w:ascii="仿宋" w:hAnsi="仿宋" w:eastAsia="仿宋" w:cs="仿宋"/>
          <w:bCs/>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项目名称：</w:t>
      </w:r>
      <w:r>
        <w:rPr>
          <w:rFonts w:hint="eastAsia" w:ascii="仿宋" w:hAnsi="仿宋" w:eastAsia="仿宋" w:cs="仿宋"/>
          <w:bCs/>
          <w:color w:val="000000"/>
          <w:kern w:val="0"/>
          <w:sz w:val="32"/>
          <w:szCs w:val="32"/>
          <w:u w:val="single"/>
          <w:shd w:val="clear" w:color="auto" w:fill="FFFFFF"/>
        </w:rPr>
        <w:t xml:space="preserve"> </w:t>
      </w:r>
      <w:r>
        <w:rPr>
          <w:rFonts w:hint="eastAsia" w:ascii="仿宋" w:hAnsi="仿宋" w:eastAsia="仿宋" w:cs="仿宋"/>
          <w:bCs/>
          <w:color w:val="000000"/>
          <w:kern w:val="0"/>
          <w:sz w:val="32"/>
          <w:szCs w:val="32"/>
          <w:u w:val="single"/>
          <w:shd w:val="clear" w:color="auto" w:fill="FFFFFF"/>
          <w:lang w:val="en-US" w:eastAsia="zh-CN"/>
        </w:rPr>
        <w:t>中国地质大学（武汉）</w:t>
      </w:r>
      <w:r>
        <w:rPr>
          <w:rFonts w:hint="eastAsia" w:ascii="仿宋" w:hAnsi="仿宋" w:eastAsia="仿宋" w:cs="仿宋"/>
          <w:bCs/>
          <w:color w:val="000000"/>
          <w:kern w:val="0"/>
          <w:sz w:val="32"/>
          <w:szCs w:val="32"/>
          <w:u w:val="single"/>
          <w:shd w:val="clear" w:color="auto" w:fill="FFFFFF"/>
        </w:rPr>
        <w:t>偏反</w:t>
      </w:r>
    </w:p>
    <w:p w14:paraId="53266E38">
      <w:pPr>
        <w:spacing w:line="720" w:lineRule="auto"/>
        <w:ind w:firstLine="2108" w:firstLineChars="659"/>
        <w:rPr>
          <w:rFonts w:hint="eastAsia" w:ascii="仿宋" w:hAnsi="仿宋" w:eastAsia="仿宋" w:cs="仿宋"/>
          <w:color w:val="000000"/>
          <w:kern w:val="0"/>
          <w:sz w:val="32"/>
          <w:szCs w:val="32"/>
          <w:u w:val="single"/>
          <w:shd w:val="clear" w:color="auto" w:fill="FFFFFF"/>
        </w:rPr>
      </w:pPr>
      <w:r>
        <w:rPr>
          <w:rFonts w:hint="eastAsia" w:ascii="仿宋" w:hAnsi="仿宋" w:eastAsia="仿宋" w:cs="仿宋"/>
          <w:bCs/>
          <w:color w:val="000000"/>
          <w:kern w:val="0"/>
          <w:sz w:val="32"/>
          <w:szCs w:val="32"/>
          <w:u w:val="single"/>
          <w:shd w:val="clear" w:color="auto" w:fill="FFFFFF"/>
        </w:rPr>
        <w:t>荧光显微镜</w:t>
      </w:r>
      <w:r>
        <w:rPr>
          <w:rFonts w:hint="eastAsia" w:ascii="仿宋" w:hAnsi="仿宋" w:eastAsia="仿宋" w:cs="仿宋"/>
          <w:color w:val="000000"/>
          <w:kern w:val="0"/>
          <w:sz w:val="32"/>
          <w:szCs w:val="32"/>
          <w:u w:val="single"/>
          <w:shd w:val="clear" w:color="auto" w:fill="FFFFFF"/>
        </w:rPr>
        <w:t xml:space="preserve">  </w:t>
      </w:r>
      <w:r>
        <w:rPr>
          <w:rFonts w:hint="eastAsia" w:ascii="仿宋" w:hAnsi="仿宋" w:eastAsia="仿宋" w:cs="仿宋"/>
          <w:color w:val="000000"/>
          <w:kern w:val="0"/>
          <w:sz w:val="32"/>
          <w:szCs w:val="32"/>
          <w:u w:val="single"/>
          <w:shd w:val="clear" w:color="auto" w:fill="FFFFFF"/>
          <w:lang w:val="en-US" w:eastAsia="zh-CN"/>
        </w:rPr>
        <w:t xml:space="preserve">                      </w:t>
      </w:r>
      <w:r>
        <w:rPr>
          <w:rFonts w:hint="eastAsia" w:ascii="仿宋" w:hAnsi="仿宋" w:eastAsia="仿宋" w:cs="仿宋"/>
          <w:color w:val="000000"/>
          <w:kern w:val="0"/>
          <w:sz w:val="32"/>
          <w:szCs w:val="32"/>
          <w:u w:val="single"/>
          <w:shd w:val="clear" w:color="auto" w:fill="FFFFFF"/>
        </w:rPr>
        <w:t xml:space="preserve"> </w:t>
      </w:r>
    </w:p>
    <w:p w14:paraId="045F2E7E">
      <w:pPr>
        <w:spacing w:line="720" w:lineRule="auto"/>
        <w:ind w:firstLine="2108" w:firstLineChars="659"/>
        <w:rPr>
          <w:rFonts w:hint="eastAsia" w:ascii="仿宋" w:hAnsi="仿宋" w:eastAsia="仿宋" w:cs="仿宋"/>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用户单位：</w:t>
      </w:r>
      <w:r>
        <w:rPr>
          <w:rFonts w:hint="eastAsia" w:ascii="仿宋" w:hAnsi="仿宋" w:eastAsia="仿宋" w:cs="仿宋"/>
          <w:bCs/>
          <w:color w:val="000000"/>
          <w:kern w:val="0"/>
          <w:sz w:val="32"/>
          <w:szCs w:val="32"/>
          <w:u w:val="single"/>
          <w:shd w:val="clear" w:color="auto" w:fill="FFFFFF"/>
        </w:rPr>
        <w:t xml:space="preserve">     海洋学院    </w:t>
      </w:r>
      <w:r>
        <w:rPr>
          <w:rFonts w:hint="eastAsia" w:ascii="仿宋" w:hAnsi="仿宋" w:eastAsia="仿宋" w:cs="仿宋"/>
          <w:bCs/>
          <w:color w:val="000000"/>
          <w:kern w:val="0"/>
          <w:sz w:val="32"/>
          <w:szCs w:val="32"/>
          <w:u w:val="single"/>
          <w:shd w:val="clear" w:color="auto" w:fill="FFFFFF"/>
          <w:lang w:val="en-US" w:eastAsia="zh-CN"/>
        </w:rPr>
        <w:t xml:space="preserve">     </w:t>
      </w:r>
      <w:r>
        <w:rPr>
          <w:rFonts w:hint="eastAsia" w:ascii="仿宋" w:hAnsi="仿宋" w:eastAsia="仿宋" w:cs="仿宋"/>
          <w:bCs/>
          <w:color w:val="000000"/>
          <w:kern w:val="0"/>
          <w:sz w:val="32"/>
          <w:szCs w:val="32"/>
          <w:u w:val="single"/>
          <w:shd w:val="clear" w:color="auto" w:fill="FFFFFF"/>
        </w:rPr>
        <w:t xml:space="preserve">   </w:t>
      </w:r>
    </w:p>
    <w:p w14:paraId="52874A93">
      <w:pPr>
        <w:spacing w:line="720" w:lineRule="auto"/>
        <w:ind w:firstLine="2108" w:firstLineChars="659"/>
        <w:rPr>
          <w:rFonts w:hint="eastAsia" w:ascii="仿宋" w:hAnsi="仿宋" w:eastAsia="仿宋" w:cs="仿宋"/>
          <w:color w:val="000000"/>
          <w:kern w:val="0"/>
          <w:sz w:val="32"/>
          <w:szCs w:val="32"/>
          <w:u w:val="single"/>
          <w:shd w:val="clear" w:color="auto" w:fill="FFFFFF"/>
        </w:rPr>
      </w:pPr>
      <w:r>
        <w:rPr>
          <w:rFonts w:hint="eastAsia" w:ascii="仿宋" w:hAnsi="仿宋" w:eastAsia="仿宋" w:cs="仿宋"/>
          <w:bCs/>
          <w:color w:val="000000"/>
          <w:kern w:val="0"/>
          <w:sz w:val="32"/>
          <w:szCs w:val="32"/>
          <w:shd w:val="clear" w:color="auto" w:fill="FFFFFF"/>
        </w:rPr>
        <w:t>编制时间：</w:t>
      </w:r>
      <w:r>
        <w:rPr>
          <w:rFonts w:hint="eastAsia" w:ascii="仿宋" w:hAnsi="仿宋" w:eastAsia="仿宋" w:cs="仿宋"/>
          <w:color w:val="000000"/>
          <w:kern w:val="0"/>
          <w:sz w:val="32"/>
          <w:szCs w:val="32"/>
          <w:u w:val="single"/>
          <w:shd w:val="clear" w:color="auto" w:fill="FFFFFF"/>
        </w:rPr>
        <w:t>    2026年8月8日   </w:t>
      </w:r>
      <w:r>
        <w:rPr>
          <w:rFonts w:hint="eastAsia" w:ascii="仿宋" w:hAnsi="仿宋" w:eastAsia="仿宋" w:cs="仿宋"/>
          <w:color w:val="000000"/>
          <w:kern w:val="0"/>
          <w:sz w:val="32"/>
          <w:szCs w:val="32"/>
          <w:u w:val="single"/>
          <w:shd w:val="clear" w:color="auto" w:fill="FFFFFF"/>
          <w:lang w:val="en-US" w:eastAsia="zh-CN"/>
        </w:rPr>
        <w:t xml:space="preserve">     </w:t>
      </w:r>
      <w:r>
        <w:rPr>
          <w:rFonts w:hint="eastAsia" w:ascii="仿宋" w:hAnsi="仿宋" w:eastAsia="仿宋" w:cs="仿宋"/>
          <w:color w:val="000000"/>
          <w:kern w:val="0"/>
          <w:sz w:val="32"/>
          <w:szCs w:val="32"/>
          <w:u w:val="single"/>
          <w:shd w:val="clear" w:color="auto" w:fill="FFFFFF"/>
        </w:rPr>
        <w:t xml:space="preserve"> </w:t>
      </w:r>
    </w:p>
    <w:p w14:paraId="2B44C916">
      <w:pPr>
        <w:rPr>
          <w:rFonts w:hint="eastAsia" w:ascii="仿宋" w:hAnsi="仿宋" w:eastAsia="仿宋" w:cs="仿宋"/>
          <w:color w:val="FF0000"/>
          <w:sz w:val="28"/>
          <w:szCs w:val="28"/>
        </w:rPr>
      </w:pPr>
    </w:p>
    <w:p w14:paraId="08E3291D">
      <w:pPr>
        <w:rPr>
          <w:rFonts w:hint="eastAsia" w:ascii="仿宋" w:hAnsi="仿宋" w:eastAsia="仿宋" w:cs="仿宋"/>
          <w:color w:val="FF0000"/>
          <w:sz w:val="28"/>
          <w:szCs w:val="28"/>
        </w:rPr>
      </w:pPr>
    </w:p>
    <w:p w14:paraId="0DACE207">
      <w:pPr>
        <w:rPr>
          <w:rFonts w:hint="eastAsia" w:ascii="仿宋" w:hAnsi="仿宋" w:eastAsia="仿宋" w:cs="仿宋"/>
          <w:color w:val="FF0000"/>
          <w:sz w:val="28"/>
          <w:szCs w:val="28"/>
        </w:rPr>
      </w:pPr>
    </w:p>
    <w:p w14:paraId="3C67EBA1">
      <w:pPr>
        <w:rPr>
          <w:rFonts w:hint="eastAsia" w:ascii="仿宋" w:hAnsi="仿宋" w:eastAsia="仿宋" w:cs="仿宋"/>
          <w:color w:val="FF0000"/>
          <w:sz w:val="28"/>
          <w:szCs w:val="28"/>
        </w:rPr>
      </w:pPr>
    </w:p>
    <w:p w14:paraId="79C74518">
      <w:pPr>
        <w:jc w:val="center"/>
        <w:rPr>
          <w:rFonts w:hint="eastAsia" w:ascii="仿宋" w:hAnsi="仿宋" w:eastAsia="仿宋" w:cs="仿宋"/>
          <w:color w:val="000000"/>
          <w:kern w:val="0"/>
          <w:sz w:val="32"/>
          <w:szCs w:val="32"/>
          <w:shd w:val="clear" w:color="auto" w:fill="FFFFFF"/>
        </w:rPr>
      </w:pPr>
    </w:p>
    <w:p w14:paraId="6CB2A01A">
      <w:pPr>
        <w:widowControl/>
        <w:jc w:val="left"/>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rPr>
        <w:br w:type="page"/>
      </w:r>
    </w:p>
    <w:p w14:paraId="1BB5055A">
      <w:pPr>
        <w:jc w:val="center"/>
        <w:rPr>
          <w:rFonts w:hint="eastAsia" w:ascii="仿宋" w:hAnsi="仿宋" w:eastAsia="仿宋" w:cs="仿宋"/>
          <w:color w:val="000000"/>
          <w:kern w:val="0"/>
          <w:sz w:val="32"/>
          <w:szCs w:val="32"/>
          <w:shd w:val="clear" w:color="auto" w:fill="FFFFFF"/>
        </w:rPr>
      </w:pPr>
      <w:r>
        <w:rPr>
          <w:rFonts w:hint="eastAsia" w:ascii="仿宋" w:hAnsi="仿宋" w:eastAsia="仿宋" w:cs="仿宋"/>
          <w:color w:val="000000"/>
          <w:kern w:val="0"/>
          <w:sz w:val="32"/>
          <w:szCs w:val="32"/>
          <w:shd w:val="clear" w:color="auto" w:fill="FFFFFF"/>
        </w:rPr>
        <w:t>编制说明</w:t>
      </w:r>
    </w:p>
    <w:p w14:paraId="0A9B0393">
      <w:pPr>
        <w:widowControl/>
        <w:spacing w:line="560" w:lineRule="atLeast"/>
        <w:ind w:firstLine="640"/>
        <w:jc w:val="left"/>
        <w:rPr>
          <w:rFonts w:hint="eastAsia" w:ascii="仿宋" w:hAnsi="仿宋" w:eastAsia="仿宋" w:cs="仿宋"/>
          <w:color w:val="000000"/>
          <w:kern w:val="0"/>
          <w:sz w:val="28"/>
          <w:szCs w:val="28"/>
          <w:shd w:val="clear" w:color="auto" w:fill="FFFFFF"/>
        </w:rPr>
      </w:pPr>
    </w:p>
    <w:p w14:paraId="77E4C284">
      <w:pPr>
        <w:widowControl/>
        <w:spacing w:line="560" w:lineRule="atLeast"/>
        <w:ind w:firstLine="640"/>
        <w:jc w:val="left"/>
        <w:rPr>
          <w:rFonts w:hint="eastAsia" w:ascii="仿宋" w:hAnsi="仿宋" w:eastAsia="仿宋" w:cs="仿宋"/>
          <w:color w:val="000000"/>
          <w:kern w:val="0"/>
          <w:sz w:val="28"/>
          <w:szCs w:val="28"/>
          <w:shd w:val="clear" w:color="auto" w:fill="FFFFFF"/>
        </w:rPr>
      </w:pPr>
      <w:r>
        <w:rPr>
          <w:rFonts w:hint="eastAsia" w:ascii="仿宋" w:hAnsi="仿宋" w:eastAsia="仿宋" w:cs="仿宋"/>
          <w:color w:val="000000"/>
          <w:kern w:val="0"/>
          <w:sz w:val="28"/>
          <w:szCs w:val="28"/>
          <w:shd w:val="clear" w:color="auto" w:fill="FFFFFF"/>
        </w:rPr>
        <w:t>一、用户单位依据咨询、论证、问卷等方式调查的具体情况自行编制采购需求书。</w:t>
      </w:r>
    </w:p>
    <w:p w14:paraId="1E0730ED">
      <w:pPr>
        <w:widowControl/>
        <w:spacing w:line="560" w:lineRule="atLeast"/>
        <w:ind w:firstLine="640"/>
        <w:jc w:val="left"/>
        <w:rPr>
          <w:rFonts w:hint="eastAsia" w:ascii="仿宋" w:hAnsi="仿宋" w:eastAsia="仿宋" w:cs="仿宋"/>
          <w:sz w:val="28"/>
          <w:szCs w:val="28"/>
        </w:rPr>
      </w:pPr>
      <w:r>
        <w:rPr>
          <w:rFonts w:hint="eastAsia" w:ascii="仿宋" w:hAnsi="仿宋" w:eastAsia="仿宋"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14ECA807">
      <w:pPr>
        <w:widowControl/>
        <w:spacing w:line="560" w:lineRule="atLeast"/>
        <w:ind w:firstLine="640"/>
        <w:jc w:val="left"/>
        <w:rPr>
          <w:rFonts w:hint="eastAsia" w:ascii="仿宋" w:hAnsi="仿宋" w:eastAsia="仿宋" w:cs="仿宋"/>
          <w:sz w:val="28"/>
          <w:szCs w:val="28"/>
        </w:rPr>
      </w:pPr>
      <w:r>
        <w:rPr>
          <w:rFonts w:hint="eastAsia" w:ascii="仿宋" w:hAnsi="仿宋" w:eastAsia="仿宋" w:cs="仿宋"/>
          <w:color w:val="000000"/>
          <w:kern w:val="0"/>
          <w:sz w:val="28"/>
          <w:szCs w:val="28"/>
          <w:shd w:val="clear" w:color="auto" w:fill="FFFFFF"/>
        </w:rPr>
        <w:t>三、斜体字部分属于提醒内容，编制时应删除。</w:t>
      </w:r>
    </w:p>
    <w:p w14:paraId="55F6C34C">
      <w:pPr>
        <w:widowControl/>
        <w:spacing w:line="560" w:lineRule="atLeast"/>
        <w:ind w:firstLine="640"/>
        <w:jc w:val="left"/>
        <w:rPr>
          <w:rFonts w:hint="eastAsia" w:ascii="仿宋" w:hAnsi="仿宋" w:eastAsia="仿宋" w:cs="仿宋"/>
          <w:sz w:val="28"/>
          <w:szCs w:val="28"/>
        </w:rPr>
      </w:pPr>
      <w:r>
        <w:rPr>
          <w:rFonts w:hint="eastAsia" w:ascii="仿宋" w:hAnsi="仿宋" w:eastAsia="仿宋" w:cs="仿宋"/>
          <w:color w:val="000000"/>
          <w:kern w:val="0"/>
          <w:sz w:val="28"/>
          <w:szCs w:val="28"/>
          <w:shd w:val="clear" w:color="auto" w:fill="FFFFFF"/>
        </w:rPr>
        <w:t>四、对不适用的内容应删除，并调整相应序号。</w:t>
      </w:r>
    </w:p>
    <w:p w14:paraId="76AF21A2">
      <w:pPr>
        <w:rPr>
          <w:rFonts w:hint="eastAsia" w:ascii="仿宋" w:hAnsi="仿宋" w:eastAsia="仿宋" w:cs="仿宋"/>
        </w:rPr>
      </w:pPr>
    </w:p>
    <w:p w14:paraId="37AA3AB0">
      <w:pPr>
        <w:widowControl/>
        <w:ind w:firstLine="482"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333333"/>
          <w:kern w:val="0"/>
          <w:sz w:val="24"/>
          <w:szCs w:val="24"/>
        </w:rPr>
        <w:br w:type="page"/>
      </w:r>
      <w:r>
        <w:rPr>
          <w:rFonts w:hint="eastAsia" w:ascii="仿宋" w:hAnsi="仿宋" w:eastAsia="仿宋" w:cs="仿宋"/>
          <w:b/>
          <w:color w:val="000000"/>
          <w:kern w:val="0"/>
          <w:sz w:val="32"/>
          <w:szCs w:val="28"/>
          <w:shd w:val="clear" w:color="auto" w:fill="FFFFFF"/>
        </w:rPr>
        <w:t>一、项目概况</w:t>
      </w:r>
    </w:p>
    <w:p w14:paraId="189A4F13">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本次采购为进口教学科研核心设备，服务于海洋学院海洋地质、海洋沉积物年代学、矿物岩石学等教学与科研工作。</w:t>
      </w:r>
    </w:p>
    <w:p w14:paraId="72D85D46">
      <w:pPr>
        <w:widowControl/>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偏反荧光显微镜主要用于观察和研究岩石中的透明和不透明矿物的光学性质，包括解理、突起、糙面、干涉色、反射色、多色性内反射等，以便确定岩石类型、矿石中主要矿物的类型及其接触关系，同时可以观测透明矿物和不透明矿物中包裹体，从而为矿床学、岩石学和地球化学等地球科学领域的研究提供基础性原始数据。偏反荧光显微镜作为地质矿物鉴定中重要的仪器设备，地质结构的性质和演化与地球的演化及矿产资源、能源的形成密切相关，是目前地矿鉴定行业最重要最常用的仪器。偏光显微镜下矿物的解理、突起、糙面、干涉色、反射色、多色性内反射等矿物特性，作为矿床学、岩石学、宝石学、油气地质、天体地质、构造地质、环境地质等诸多地质相关领域的原始数据。近几十年，国内地质学家通过偏光显微镜的研究方法，对油气成藏机理尤其是油气充注以及成分演化史研究、金属矿床的成矿流体的来源、运移沉淀及成矿机制等方面都取得了较大的进展。</w:t>
      </w:r>
    </w:p>
    <w:p w14:paraId="717F2A4E">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二、主要标的</w:t>
      </w:r>
    </w:p>
    <w:p w14:paraId="3686F77C">
      <w:pPr>
        <w:spacing w:after="156" w:afterLines="50" w:line="360" w:lineRule="auto"/>
        <w:ind w:firstLine="480" w:firstLineChars="200"/>
        <w:rPr>
          <w:rFonts w:hint="eastAsia" w:ascii="仿宋" w:hAnsi="仿宋" w:eastAsia="仿宋" w:cs="仿宋"/>
          <w:b/>
          <w:sz w:val="24"/>
          <w:szCs w:val="24"/>
        </w:rPr>
      </w:pPr>
      <w:r>
        <w:rPr>
          <w:rFonts w:hint="eastAsia" w:ascii="仿宋" w:hAnsi="仿宋" w:eastAsia="仿宋" w:cs="仿宋"/>
          <w:sz w:val="24"/>
          <w:szCs w:val="24"/>
        </w:rPr>
        <w:t>货物：</w:t>
      </w:r>
      <w:r>
        <w:rPr>
          <w:rFonts w:hint="eastAsia" w:ascii="仿宋" w:hAnsi="仿宋" w:eastAsia="仿宋" w:cs="仿宋"/>
          <w:b/>
          <w:sz w:val="24"/>
          <w:szCs w:val="24"/>
        </w:rPr>
        <w:t xml:space="preserve">是否属于科研活动相关采购 </w:t>
      </w:r>
      <w:r>
        <w:rPr>
          <w:rFonts w:hint="eastAsia" w:ascii="仿宋" w:hAnsi="仿宋" w:eastAsia="仿宋" w:cs="仿宋"/>
          <w:b/>
          <w:sz w:val="24"/>
          <w:szCs w:val="24"/>
        </w:rPr>
        <w:sym w:font="Wingdings 2" w:char="00A3"/>
      </w:r>
      <w:r>
        <w:rPr>
          <w:rFonts w:hint="eastAsia" w:ascii="仿宋" w:hAnsi="仿宋" w:eastAsia="仿宋" w:cs="仿宋"/>
          <w:b/>
          <w:sz w:val="24"/>
          <w:szCs w:val="24"/>
        </w:rPr>
        <w:t xml:space="preserve">是 </w:t>
      </w:r>
      <w:r>
        <w:rPr>
          <w:rFonts w:hint="eastAsia" w:ascii="仿宋" w:hAnsi="仿宋" w:eastAsia="仿宋" w:cs="仿宋"/>
          <w:b/>
          <w:sz w:val="24"/>
          <w:szCs w:val="24"/>
        </w:rPr>
        <w:sym w:font="Wingdings 2" w:char="0052"/>
      </w:r>
      <w:r>
        <w:rPr>
          <w:rFonts w:hint="eastAsia" w:ascii="仿宋" w:hAnsi="仿宋" w:eastAsia="仿宋" w:cs="仿宋"/>
          <w:b/>
          <w:sz w:val="24"/>
          <w:szCs w:val="24"/>
        </w:rPr>
        <w:t>否</w:t>
      </w:r>
    </w:p>
    <w:tbl>
      <w:tblPr>
        <w:tblStyle w:val="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4"/>
        <w:gridCol w:w="757"/>
        <w:gridCol w:w="648"/>
        <w:gridCol w:w="484"/>
        <w:gridCol w:w="411"/>
        <w:gridCol w:w="3722"/>
        <w:gridCol w:w="1193"/>
        <w:gridCol w:w="549"/>
      </w:tblGrid>
      <w:tr w14:paraId="2443C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42" w:type="pct"/>
            <w:vAlign w:val="center"/>
          </w:tcPr>
          <w:p w14:paraId="72D12157">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444" w:type="pct"/>
            <w:vAlign w:val="center"/>
          </w:tcPr>
          <w:p w14:paraId="5BF909E1">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货物</w:t>
            </w:r>
          </w:p>
          <w:p w14:paraId="7BFCDF91">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名称</w:t>
            </w:r>
          </w:p>
        </w:tc>
        <w:tc>
          <w:tcPr>
            <w:tcW w:w="380" w:type="pct"/>
            <w:vAlign w:val="center"/>
          </w:tcPr>
          <w:p w14:paraId="2F19ADEB">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是否接受进口产品</w:t>
            </w:r>
          </w:p>
        </w:tc>
        <w:tc>
          <w:tcPr>
            <w:tcW w:w="284" w:type="pct"/>
            <w:vAlign w:val="center"/>
          </w:tcPr>
          <w:p w14:paraId="0731EE1C">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单位</w:t>
            </w:r>
          </w:p>
        </w:tc>
        <w:tc>
          <w:tcPr>
            <w:tcW w:w="241" w:type="pct"/>
            <w:vAlign w:val="center"/>
          </w:tcPr>
          <w:p w14:paraId="21886491">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数量</w:t>
            </w:r>
          </w:p>
        </w:tc>
        <w:tc>
          <w:tcPr>
            <w:tcW w:w="2184" w:type="pct"/>
            <w:vAlign w:val="center"/>
          </w:tcPr>
          <w:p w14:paraId="0886D197">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主要规格/性能</w:t>
            </w:r>
          </w:p>
        </w:tc>
        <w:tc>
          <w:tcPr>
            <w:tcW w:w="700" w:type="pct"/>
            <w:vAlign w:val="center"/>
          </w:tcPr>
          <w:p w14:paraId="37234933">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交货期</w:t>
            </w:r>
          </w:p>
        </w:tc>
        <w:tc>
          <w:tcPr>
            <w:tcW w:w="322" w:type="pct"/>
            <w:vAlign w:val="center"/>
          </w:tcPr>
          <w:p w14:paraId="5FBBFDF8">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是否为</w:t>
            </w:r>
          </w:p>
          <w:p w14:paraId="4A0B0822">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核心产品</w:t>
            </w:r>
          </w:p>
        </w:tc>
      </w:tr>
      <w:tr w14:paraId="141B1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42" w:type="pct"/>
            <w:vAlign w:val="center"/>
          </w:tcPr>
          <w:p w14:paraId="587E2DD6">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444" w:type="pct"/>
            <w:vAlign w:val="center"/>
          </w:tcPr>
          <w:p w14:paraId="7BB14DDE">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偏反荧光显微镜</w:t>
            </w:r>
          </w:p>
        </w:tc>
        <w:tc>
          <w:tcPr>
            <w:tcW w:w="380" w:type="pct"/>
            <w:vAlign w:val="center"/>
          </w:tcPr>
          <w:p w14:paraId="5C0549C3">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c>
          <w:tcPr>
            <w:tcW w:w="284" w:type="pct"/>
            <w:vAlign w:val="center"/>
          </w:tcPr>
          <w:p w14:paraId="51EBB174">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台</w:t>
            </w:r>
          </w:p>
        </w:tc>
        <w:tc>
          <w:tcPr>
            <w:tcW w:w="241" w:type="pct"/>
            <w:vAlign w:val="center"/>
          </w:tcPr>
          <w:p w14:paraId="5A039365">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2184" w:type="pct"/>
          </w:tcPr>
          <w:p w14:paraId="0F9483F6">
            <w:pPr>
              <w:widowControl/>
              <w:adjustRightInd w:val="0"/>
              <w:snapToGrid w:val="0"/>
              <w:rPr>
                <w:rFonts w:hint="eastAsia" w:ascii="Times New Roman" w:hAnsi="Times New Roman" w:eastAsia="方正仿宋_GB2312" w:cs="Times New Roman"/>
                <w:color w:val="000000"/>
                <w:sz w:val="24"/>
              </w:rPr>
            </w:pPr>
            <w:r>
              <w:rPr>
                <w:rFonts w:hint="eastAsia" w:ascii="仿宋_GB2312" w:hAnsi="宋体" w:eastAsia="仿宋_GB2312" w:cs="宋体"/>
                <w:snapToGrid w:val="0"/>
                <w:kern w:val="0"/>
                <w:sz w:val="24"/>
                <w:szCs w:val="24"/>
                <w:lang w:val="zh-CN"/>
              </w:rPr>
              <w:t>#</w:t>
            </w:r>
            <w:r>
              <w:rPr>
                <w:rFonts w:hint="eastAsia" w:ascii="Times New Roman" w:hAnsi="Times New Roman" w:eastAsia="方正仿宋_GB2312" w:cs="Times New Roman"/>
                <w:color w:val="000000"/>
                <w:sz w:val="24"/>
              </w:rPr>
              <w:t>1.显微镜需为正置式偏光显微镜，具有透射反射双光路，可以进行透射光及反射光观察。</w:t>
            </w:r>
          </w:p>
          <w:p w14:paraId="4F972C7D">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2.需采用无限远轴向径向双重色差校正的光学系统；使用45mm国际标准齐焦距离。</w:t>
            </w:r>
          </w:p>
          <w:p w14:paraId="7592931F">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3.总放大倍率范围不小于50x-500x。</w:t>
            </w:r>
          </w:p>
          <w:p w14:paraId="1322F2B1">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4.光路系统：配置50％-50％分光，可同时在目镜观察和相机采集图像。</w:t>
            </w:r>
          </w:p>
          <w:p w14:paraId="3EC52F77">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5.聚光镜：配置消色差消球差万能聚光镜。</w:t>
            </w:r>
          </w:p>
          <w:p w14:paraId="2DBAC6CB">
            <w:pPr>
              <w:widowControl/>
              <w:adjustRightInd w:val="0"/>
              <w:snapToGrid w:val="0"/>
              <w:rPr>
                <w:rFonts w:hint="eastAsia" w:ascii="Times New Roman" w:hAnsi="Times New Roman" w:eastAsia="方正仿宋_GB2312" w:cs="Times New Roman"/>
                <w:color w:val="000000"/>
                <w:sz w:val="24"/>
              </w:rPr>
            </w:pPr>
            <w:r>
              <w:rPr>
                <w:rFonts w:hint="eastAsia" w:ascii="仿宋_GB2312" w:hAnsi="宋体" w:eastAsia="仿宋_GB2312" w:cs="宋体"/>
                <w:snapToGrid w:val="0"/>
                <w:kern w:val="0"/>
                <w:sz w:val="24"/>
                <w:szCs w:val="24"/>
                <w:lang w:val="zh-CN"/>
              </w:rPr>
              <w:t>#</w:t>
            </w:r>
            <w:r>
              <w:rPr>
                <w:rFonts w:hint="eastAsia" w:ascii="Times New Roman" w:hAnsi="Times New Roman" w:eastAsia="方正仿宋_GB2312" w:cs="Times New Roman"/>
                <w:color w:val="000000"/>
                <w:sz w:val="24"/>
              </w:rPr>
              <w:t>6.观察模式：反射光功能模块盒不少于4位，需带有位置编码，软件可以实时显示当前使用观察模式。具有反射明场、透射明场、透射偏光、反射偏光等观察功能。</w:t>
            </w:r>
          </w:p>
          <w:p w14:paraId="71691610">
            <w:pPr>
              <w:widowControl/>
              <w:adjustRightInd w:val="0"/>
              <w:snapToGrid w:val="0"/>
              <w:rPr>
                <w:rFonts w:hint="eastAsia" w:ascii="Times New Roman" w:hAnsi="Times New Roman" w:eastAsia="方正仿宋_GB2312" w:cs="Times New Roman"/>
                <w:color w:val="000000"/>
                <w:sz w:val="24"/>
              </w:rPr>
            </w:pPr>
            <w:r>
              <w:rPr>
                <w:rFonts w:hint="eastAsia" w:ascii="仿宋_GB2312" w:hAnsi="宋体" w:eastAsia="仿宋_GB2312" w:cs="宋体"/>
                <w:snapToGrid w:val="0"/>
                <w:kern w:val="0"/>
                <w:sz w:val="24"/>
                <w:szCs w:val="24"/>
                <w:lang w:val="zh-CN"/>
              </w:rPr>
              <w:t>#</w:t>
            </w:r>
            <w:r>
              <w:rPr>
                <w:rFonts w:hint="eastAsia" w:ascii="Times New Roman" w:hAnsi="Times New Roman" w:eastAsia="方正仿宋_GB2312" w:cs="Times New Roman"/>
                <w:color w:val="000000"/>
                <w:sz w:val="24"/>
              </w:rPr>
              <w:t>7.智能控制系统：具备光强记忆功能，光强实时自动调节；自动识别放大倍数并自动加载标尺，自动识别观察方式；机身集成ECO节能模式。</w:t>
            </w:r>
          </w:p>
          <w:p w14:paraId="6780461E">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8.宽视场双目观察目镜，视场数不小于10x/23，带视度补偿；双目镜筒为铰链式，眼点高低可调。</w:t>
            </w:r>
          </w:p>
          <w:p w14:paraId="3F0ED2BA">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★9.物镜：反差增强型偏光物镜，要求最少配置5x、10x、20x、50x。</w:t>
            </w:r>
          </w:p>
          <w:p w14:paraId="36B6FDA4">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5x反差增强型偏光物镜，数值孔径不小于0.15；</w:t>
            </w:r>
          </w:p>
          <w:p w14:paraId="252D4EC7">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10x反差增强型偏光物镜，数值孔径不小于0.25；</w:t>
            </w:r>
          </w:p>
          <w:p w14:paraId="5633E5BC">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20x反差增强型偏光物镜，数值孔径不小于0.45；</w:t>
            </w:r>
          </w:p>
          <w:p w14:paraId="2001350A">
            <w:pPr>
              <w:widowControl/>
              <w:adjustRightInd w:val="0"/>
              <w:snapToGrid w:val="0"/>
              <w:rPr>
                <w:rFonts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50x反差增强型偏光物镜，数值孔径不小于0.75；</w:t>
            </w:r>
          </w:p>
          <w:p w14:paraId="4115A38F">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其中，50x高倍物镜前端需要有弹簧保护装置，防止操作不当撞坏物镜。</w:t>
            </w:r>
          </w:p>
          <w:p w14:paraId="695C8F01">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10.需配备90°可调检偏器，透射反射各一个，调节精度不小于0.1°，以观察矿物各向异性颜色的变化。需配置补偿器λ（石膏）一个。</w:t>
            </w:r>
          </w:p>
          <w:p w14:paraId="1EE7196B">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 xml:space="preserve">★11.偏光旋转载物台：需具有无调整机构的自动锁定防止下滑的谐波齿轮装置，长时间使用防止下滑。可旋转360°，旋转调节精度不小于0.1°。需带有可定位的偏光移动尺。直径不小于190mm。 </w:t>
            </w:r>
          </w:p>
          <w:p w14:paraId="22C6E19C">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★12.多孔编码式偏光物镜转换器，至少涵盖5颗物镜同时安装，需要带有位置编码，实时读取物镜倍数，自动调节各倍数下的光源亮度。可单独对中，对中精度高。</w:t>
            </w:r>
          </w:p>
          <w:p w14:paraId="42C9D8F1">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13.透反射双光路均采用柯勒照明的全消色差反射光路。使用长寿命高亮度LED光源，使用寿命不小于50000小时。</w:t>
            </w:r>
          </w:p>
          <w:p w14:paraId="54946307">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★14.显微镜同品牌高分辨彩色相机，需要有4K高清拍照和录像功能，帧率不小于30fps；物理像素不低于800万；至少具有HDMI、USB 3.0 Type C、网络接口、Micro D接口；具备HDR功能；带有拍照按键；带有制冷功能。</w:t>
            </w:r>
          </w:p>
          <w:p w14:paraId="5BA7D656">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15.需配备目镜十字线测微尺、测微台尺，用于长度测量及定标。</w:t>
            </w:r>
          </w:p>
          <w:p w14:paraId="50D6966E">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16.图象输出：</w:t>
            </w:r>
          </w:p>
          <w:p w14:paraId="4C48AE49">
            <w:pPr>
              <w:widowControl/>
              <w:adjustRightInd w:val="0"/>
              <w:snapToGrid w:val="0"/>
              <w:rPr>
                <w:rFonts w:hint="eastAsia" w:ascii="Times New Roman" w:hAnsi="Times New Roman" w:eastAsia="方正仿宋_GB2312" w:cs="Times New Roman"/>
                <w:color w:val="000000"/>
                <w:sz w:val="24"/>
                <w:lang w:eastAsia="zh-CN"/>
              </w:rPr>
            </w:pPr>
            <w:r>
              <w:rPr>
                <w:rFonts w:hint="eastAsia" w:ascii="Times New Roman" w:hAnsi="Times New Roman" w:eastAsia="方正仿宋_GB2312" w:cs="Times New Roman"/>
                <w:color w:val="000000"/>
                <w:sz w:val="24"/>
              </w:rPr>
              <w:t>硬件：配套商用台式机，配置不低于（</w:t>
            </w:r>
            <w:r>
              <w:rPr>
                <w:rFonts w:hint="eastAsia" w:ascii="Times New Roman" w:hAnsi="Times New Roman" w:eastAsia="方正仿宋_GB2312" w:cs="Times New Roman"/>
                <w:color w:val="000000"/>
                <w:sz w:val="24"/>
                <w:lang w:val="en-US" w:eastAsia="zh-CN"/>
              </w:rPr>
              <w:t>i</w:t>
            </w:r>
            <w:r>
              <w:rPr>
                <w:rFonts w:hint="eastAsia" w:ascii="Times New Roman" w:hAnsi="Times New Roman" w:eastAsia="方正仿宋_GB2312" w:cs="Times New Roman"/>
                <w:color w:val="000000"/>
                <w:sz w:val="24"/>
              </w:rPr>
              <w:t>5/1T/16G/23”显示器），同品牌键鼠；图像处理软件：显微镜同品牌软件，可实现自动识别物镜、观察方式、自动调节光源亮度、景深扩展、视频录制等功能</w:t>
            </w:r>
            <w:r>
              <w:rPr>
                <w:rFonts w:hint="eastAsia" w:ascii="Times New Roman" w:hAnsi="Times New Roman" w:eastAsia="方正仿宋_GB2312" w:cs="Times New Roman"/>
                <w:color w:val="000000"/>
                <w:sz w:val="24"/>
                <w:lang w:eastAsia="zh-CN"/>
              </w:rPr>
              <w:t>。</w:t>
            </w:r>
          </w:p>
        </w:tc>
        <w:tc>
          <w:tcPr>
            <w:tcW w:w="700" w:type="pct"/>
          </w:tcPr>
          <w:p w14:paraId="1B5300F6">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合同签订后3个月内交货并完成安装调试</w:t>
            </w:r>
          </w:p>
        </w:tc>
        <w:tc>
          <w:tcPr>
            <w:tcW w:w="322" w:type="pct"/>
            <w:vAlign w:val="center"/>
          </w:tcPr>
          <w:p w14:paraId="5A589A0F">
            <w:pPr>
              <w:widowControl/>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是</w:t>
            </w:r>
          </w:p>
        </w:tc>
      </w:tr>
    </w:tbl>
    <w:p w14:paraId="6D4A9F04">
      <w:pPr>
        <w:spacing w:line="360" w:lineRule="auto"/>
        <w:ind w:firstLine="360" w:firstLineChars="150"/>
        <w:rPr>
          <w:rFonts w:hint="eastAsia" w:ascii="仿宋" w:hAnsi="仿宋" w:eastAsia="仿宋" w:cs="仿宋"/>
          <w:i/>
          <w:iCs/>
          <w:sz w:val="24"/>
          <w:szCs w:val="24"/>
        </w:rPr>
      </w:pPr>
    </w:p>
    <w:p w14:paraId="62C358C2">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三、技术要求</w:t>
      </w:r>
    </w:p>
    <w:p w14:paraId="7B30F180">
      <w:pPr>
        <w:widowControl/>
        <w:shd w:val="clear" w:color="auto" w:fill="FFFFFF"/>
        <w:spacing w:line="360" w:lineRule="auto"/>
        <w:ind w:firstLine="482" w:firstLineChars="200"/>
        <w:jc w:val="left"/>
        <w:rPr>
          <w:rFonts w:hint="eastAsia" w:ascii="仿宋_GB2312" w:hAnsi="宋体" w:eastAsia="仿宋_GB2312"/>
          <w:b/>
          <w:bCs/>
          <w:i/>
          <w:iCs/>
          <w:sz w:val="24"/>
          <w:szCs w:val="24"/>
        </w:rPr>
      </w:pPr>
      <w:r>
        <w:rPr>
          <w:rFonts w:hint="eastAsia" w:ascii="仿宋_GB2312" w:hAnsi="宋体" w:eastAsia="仿宋_GB2312"/>
          <w:b/>
          <w:bCs/>
          <w:sz w:val="24"/>
          <w:szCs w:val="24"/>
        </w:rPr>
        <w:t>1.功能要求：</w:t>
      </w:r>
    </w:p>
    <w:p w14:paraId="1FADB257">
      <w:pPr>
        <w:widowControl/>
        <w:spacing w:line="360" w:lineRule="auto"/>
        <w:ind w:firstLine="480" w:firstLineChars="200"/>
        <w:jc w:val="left"/>
        <w:rPr>
          <w:rFonts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偏反荧光显微镜主要用于观察和研究岩石中的透明和不透明矿物的光学性质，包括解理、突起、糙面、干涉色、反射色、多色性内反射等，以便确定岩石类型、矿石中主要矿物的类型及其接触关系，同时可以观测透明矿物和不透明矿物中包裹体，从而为海洋地质学、矿床学、岩石学和地球化学等地球科学领域的研究提供基础性原始数据。</w:t>
      </w:r>
    </w:p>
    <w:p w14:paraId="659F6A60">
      <w:pPr>
        <w:widowControl/>
        <w:spacing w:line="360" w:lineRule="auto"/>
        <w:ind w:firstLine="482" w:firstLineChars="200"/>
        <w:jc w:val="left"/>
        <w:rPr>
          <w:rFonts w:ascii="Times New Roman" w:hAnsi="Times New Roman" w:eastAsia="方正仿宋_GB2312" w:cs="Times New Roman"/>
          <w:b/>
          <w:bCs/>
          <w:color w:val="000000"/>
          <w:sz w:val="24"/>
        </w:rPr>
      </w:pPr>
      <w:r>
        <w:rPr>
          <w:rFonts w:hint="eastAsia" w:ascii="Times New Roman" w:hAnsi="Times New Roman" w:eastAsia="方正仿宋_GB2312" w:cs="Times New Roman"/>
          <w:b/>
          <w:bCs/>
          <w:color w:val="000000"/>
          <w:sz w:val="24"/>
        </w:rPr>
        <w:t>2.后续运营维护、升级更新、备品备件等要求：</w:t>
      </w:r>
    </w:p>
    <w:p w14:paraId="2FC0DC9D">
      <w:pPr>
        <w:widowControl/>
        <w:spacing w:line="360" w:lineRule="auto"/>
        <w:ind w:firstLine="480" w:firstLineChars="200"/>
        <w:jc w:val="left"/>
        <w:rPr>
          <w:rFonts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运维服务：供应商需提供≥1年免费整机质保，质保期内每半年开展1次现场巡检，故障响应时间≤24小时，修复时间≤72小时；提供原厂操作培训（不少于2人次·天，含理论+实操），确保操作人员独立掌握设备使用及基础维护技能。</w:t>
      </w:r>
    </w:p>
    <w:p w14:paraId="14DC308E">
      <w:pPr>
        <w:widowControl/>
        <w:spacing w:line="360" w:lineRule="auto"/>
        <w:ind w:firstLine="480" w:firstLineChars="200"/>
        <w:jc w:val="left"/>
        <w:rPr>
          <w:rFonts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升级更新：设备软件终身免费升级，硬件支持后续功能扩展，供应商需在新技术推出后30日内告知用户升级方案。</w:t>
      </w:r>
    </w:p>
    <w:p w14:paraId="5E3F6FEE">
      <w:pPr>
        <w:widowControl/>
        <w:spacing w:line="360" w:lineRule="auto"/>
        <w:ind w:firstLine="480" w:firstLineChars="200"/>
        <w:jc w:val="left"/>
        <w:rPr>
          <w:rFonts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备品备件：质保期外提供全生命周期备件供应保障（承诺供应周期≥10年），常用备件需在用户提出需求后7个工作日内到货；提供备件价格清单，确保价格不高于市场同期水平。</w:t>
      </w:r>
    </w:p>
    <w:p w14:paraId="42B5EE14">
      <w:pPr>
        <w:spacing w:line="360" w:lineRule="auto"/>
        <w:ind w:firstLine="482" w:firstLineChars="200"/>
        <w:outlineLvl w:val="0"/>
        <w:rPr>
          <w:rFonts w:hint="eastAsia" w:ascii="仿宋_GB2312" w:hAnsi="宋体" w:eastAsia="仿宋_GB2312"/>
          <w:sz w:val="24"/>
          <w:szCs w:val="24"/>
        </w:rPr>
      </w:pPr>
      <w:r>
        <w:rPr>
          <w:rFonts w:hint="eastAsia" w:ascii="仿宋_GB2312" w:hAnsi="宋体" w:eastAsia="仿宋_GB2312"/>
          <w:b/>
          <w:bCs/>
          <w:sz w:val="24"/>
          <w:szCs w:val="24"/>
        </w:rPr>
        <w:t>3.各项指标要求：</w:t>
      </w:r>
    </w:p>
    <w:tbl>
      <w:tblPr>
        <w:tblStyle w:val="3"/>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134"/>
        <w:gridCol w:w="1388"/>
        <w:gridCol w:w="2864"/>
        <w:gridCol w:w="2126"/>
      </w:tblGrid>
      <w:tr w14:paraId="4E28C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87B4F54">
            <w:pPr>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序号</w:t>
            </w:r>
          </w:p>
        </w:tc>
        <w:tc>
          <w:tcPr>
            <w:tcW w:w="1134" w:type="dxa"/>
            <w:vAlign w:val="center"/>
          </w:tcPr>
          <w:p w14:paraId="0D9F3019">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指标项</w:t>
            </w:r>
          </w:p>
        </w:tc>
        <w:tc>
          <w:tcPr>
            <w:tcW w:w="1388" w:type="dxa"/>
            <w:vAlign w:val="center"/>
          </w:tcPr>
          <w:p w14:paraId="2F04D5BF">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重要性</w:t>
            </w:r>
          </w:p>
        </w:tc>
        <w:tc>
          <w:tcPr>
            <w:tcW w:w="2864" w:type="dxa"/>
            <w:vAlign w:val="center"/>
          </w:tcPr>
          <w:p w14:paraId="6788CFBC">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指标要求</w:t>
            </w:r>
          </w:p>
        </w:tc>
        <w:tc>
          <w:tcPr>
            <w:tcW w:w="2126" w:type="dxa"/>
            <w:vAlign w:val="center"/>
          </w:tcPr>
          <w:p w14:paraId="069646DA">
            <w:pPr>
              <w:widowControl/>
              <w:spacing w:line="360" w:lineRule="auto"/>
              <w:jc w:val="center"/>
              <w:rPr>
                <w:rFonts w:hint="eastAsia" w:ascii="仿宋_GB2312" w:hAnsi="宋体" w:eastAsia="仿宋_GB2312"/>
                <w:b/>
                <w:sz w:val="24"/>
                <w:szCs w:val="24"/>
              </w:rPr>
            </w:pPr>
            <w:r>
              <w:rPr>
                <w:rFonts w:hint="eastAsia" w:ascii="仿宋_GB2312" w:hAnsi="宋体" w:eastAsia="仿宋_GB2312"/>
                <w:b/>
                <w:sz w:val="24"/>
                <w:szCs w:val="24"/>
              </w:rPr>
              <w:t>证明材料要求</w:t>
            </w:r>
          </w:p>
        </w:tc>
      </w:tr>
      <w:tr w14:paraId="71261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0E68F259">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1</w:t>
            </w:r>
          </w:p>
        </w:tc>
        <w:tc>
          <w:tcPr>
            <w:tcW w:w="1134" w:type="dxa"/>
            <w:vAlign w:val="center"/>
          </w:tcPr>
          <w:p w14:paraId="6B260663">
            <w:pPr>
              <w:jc w:val="left"/>
              <w:rPr>
                <w:rFonts w:hint="eastAsia" w:ascii="仿宋_GB2312" w:hAnsi="宋体" w:eastAsia="仿宋_GB2312"/>
                <w:sz w:val="24"/>
                <w:szCs w:val="24"/>
              </w:rPr>
            </w:pPr>
            <w:r>
              <w:rPr>
                <w:rFonts w:hint="eastAsia" w:ascii="仿宋_GB2312" w:hAnsi="宋体" w:eastAsia="仿宋_GB2312"/>
                <w:sz w:val="24"/>
                <w:szCs w:val="24"/>
              </w:rPr>
              <w:t>物镜</w:t>
            </w:r>
          </w:p>
        </w:tc>
        <w:tc>
          <w:tcPr>
            <w:tcW w:w="1388" w:type="dxa"/>
            <w:vAlign w:val="center"/>
          </w:tcPr>
          <w:p w14:paraId="2CCFFDCD">
            <w:pPr>
              <w:jc w:val="left"/>
              <w:rPr>
                <w:rFonts w:hint="eastAsia"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5DEA2F7C">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物镜：反差增强型偏光物镜，要求最少配置5x、10x、20x、50x。</w:t>
            </w:r>
          </w:p>
          <w:p w14:paraId="7C2CA061">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5x反差增强型偏光物镜，数值孔径不小于0.15；</w:t>
            </w:r>
          </w:p>
          <w:p w14:paraId="57119E80">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10x反差增强型偏光物镜，数值孔径不小于0.25；</w:t>
            </w:r>
          </w:p>
          <w:p w14:paraId="59FA78AE">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20x反差增强型偏光物镜，数值孔径不小于0.45；</w:t>
            </w:r>
          </w:p>
          <w:p w14:paraId="78F47F6D">
            <w:pPr>
              <w:widowControl/>
              <w:adjustRightInd w:val="0"/>
              <w:snapToGrid w:val="0"/>
              <w:rPr>
                <w:rFonts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50x反差增强型偏光物镜，数值孔径不小于0.75；</w:t>
            </w:r>
          </w:p>
          <w:p w14:paraId="42486270">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其中，50x高倍物镜前端需要有弹簧保护装置，防止操作不当撞坏物镜。</w:t>
            </w:r>
          </w:p>
        </w:tc>
        <w:tc>
          <w:tcPr>
            <w:tcW w:w="2126" w:type="dxa"/>
            <w:vAlign w:val="center"/>
          </w:tcPr>
          <w:p w14:paraId="6DF528AB">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0B08E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5DE620EB">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2</w:t>
            </w:r>
          </w:p>
        </w:tc>
        <w:tc>
          <w:tcPr>
            <w:tcW w:w="1134" w:type="dxa"/>
            <w:vAlign w:val="center"/>
          </w:tcPr>
          <w:p w14:paraId="6089BC73">
            <w:pPr>
              <w:jc w:val="left"/>
              <w:rPr>
                <w:rFonts w:hint="eastAsia" w:ascii="仿宋_GB2312" w:hAnsi="宋体" w:eastAsia="仿宋_GB2312"/>
                <w:sz w:val="24"/>
                <w:szCs w:val="24"/>
              </w:rPr>
            </w:pPr>
            <w:r>
              <w:rPr>
                <w:rFonts w:hint="eastAsia" w:ascii="仿宋_GB2312" w:hAnsi="宋体" w:eastAsia="仿宋_GB2312"/>
                <w:sz w:val="24"/>
                <w:szCs w:val="24"/>
              </w:rPr>
              <w:t>偏光旋转载物台</w:t>
            </w:r>
          </w:p>
        </w:tc>
        <w:tc>
          <w:tcPr>
            <w:tcW w:w="1388" w:type="dxa"/>
            <w:vAlign w:val="center"/>
          </w:tcPr>
          <w:p w14:paraId="1F0F62E4">
            <w:pPr>
              <w:jc w:val="left"/>
              <w:rPr>
                <w:rFonts w:hint="eastAsia"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2C5199E0">
            <w:pPr>
              <w:jc w:val="left"/>
              <w:rPr>
                <w:rFonts w:hint="eastAsia" w:ascii="仿宋" w:hAnsi="仿宋" w:eastAsia="仿宋"/>
                <w:sz w:val="24"/>
                <w:szCs w:val="24"/>
              </w:rPr>
            </w:pPr>
            <w:r>
              <w:rPr>
                <w:rFonts w:hint="eastAsia" w:ascii="Times New Roman" w:hAnsi="Times New Roman" w:eastAsia="方正仿宋_GB2312" w:cs="Times New Roman"/>
                <w:color w:val="000000"/>
                <w:sz w:val="24"/>
              </w:rPr>
              <w:t>偏光旋转载物台：需具有无调整机构的自动锁定防止下滑的谐波齿轮装置，长时间使用防止下滑。可旋转360°，旋转调节精度不小于0.1°。需带有可定位的偏光移动尺。直径不小于190mm。</w:t>
            </w:r>
          </w:p>
        </w:tc>
        <w:tc>
          <w:tcPr>
            <w:tcW w:w="2126" w:type="dxa"/>
            <w:vAlign w:val="center"/>
          </w:tcPr>
          <w:p w14:paraId="5188E012">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75CB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6F97DFF6">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3</w:t>
            </w:r>
          </w:p>
        </w:tc>
        <w:tc>
          <w:tcPr>
            <w:tcW w:w="1134" w:type="dxa"/>
            <w:vAlign w:val="center"/>
          </w:tcPr>
          <w:p w14:paraId="3077CDB0">
            <w:pPr>
              <w:jc w:val="left"/>
              <w:rPr>
                <w:rFonts w:hint="eastAsia" w:ascii="仿宋_GB2312" w:hAnsi="宋体" w:eastAsia="仿宋_GB2312"/>
                <w:sz w:val="24"/>
                <w:szCs w:val="24"/>
              </w:rPr>
            </w:pPr>
            <w:r>
              <w:rPr>
                <w:rFonts w:hint="eastAsia" w:ascii="仿宋_GB2312" w:hAnsi="宋体" w:eastAsia="仿宋_GB2312"/>
                <w:sz w:val="24"/>
                <w:szCs w:val="24"/>
              </w:rPr>
              <w:t>物镜转换器</w:t>
            </w:r>
          </w:p>
        </w:tc>
        <w:tc>
          <w:tcPr>
            <w:tcW w:w="1388" w:type="dxa"/>
            <w:vAlign w:val="center"/>
          </w:tcPr>
          <w:p w14:paraId="7F1AB35F">
            <w:pPr>
              <w:jc w:val="left"/>
              <w:rPr>
                <w:rFonts w:hint="eastAsia"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3E604CEE">
            <w:pPr>
              <w:jc w:val="left"/>
              <w:rPr>
                <w:rFonts w:hint="eastAsia" w:ascii="仿宋_GB2312" w:hAnsi="宋体" w:eastAsia="仿宋_GB2312"/>
                <w:sz w:val="24"/>
                <w:szCs w:val="24"/>
              </w:rPr>
            </w:pPr>
            <w:r>
              <w:rPr>
                <w:rFonts w:hint="eastAsia" w:ascii="Times New Roman" w:hAnsi="Times New Roman" w:eastAsia="方正仿宋_GB2312" w:cs="Times New Roman"/>
                <w:color w:val="000000"/>
                <w:sz w:val="24"/>
              </w:rPr>
              <w:t>多孔编码式偏光物镜转换器，至少涵盖5颗物镜同时安装，需要带有位置编码，实时读取物镜倍数，自动调节各倍数下的光源亮度。可单独对中，对中精度高。</w:t>
            </w:r>
          </w:p>
        </w:tc>
        <w:tc>
          <w:tcPr>
            <w:tcW w:w="2126" w:type="dxa"/>
            <w:vAlign w:val="center"/>
          </w:tcPr>
          <w:p w14:paraId="0F742566">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r w14:paraId="66B95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988" w:type="dxa"/>
            <w:vAlign w:val="center"/>
          </w:tcPr>
          <w:p w14:paraId="1901E2E6">
            <w:pPr>
              <w:spacing w:line="360" w:lineRule="auto"/>
              <w:jc w:val="center"/>
              <w:rPr>
                <w:rFonts w:hint="eastAsia" w:ascii="仿宋_GB2312" w:hAnsi="宋体" w:eastAsia="仿宋_GB2312"/>
                <w:sz w:val="24"/>
                <w:szCs w:val="24"/>
              </w:rPr>
            </w:pPr>
            <w:r>
              <w:rPr>
                <w:rFonts w:hint="eastAsia" w:ascii="仿宋_GB2312" w:hAnsi="宋体" w:eastAsia="仿宋_GB2312"/>
                <w:sz w:val="24"/>
                <w:szCs w:val="24"/>
              </w:rPr>
              <w:t>4</w:t>
            </w:r>
          </w:p>
        </w:tc>
        <w:tc>
          <w:tcPr>
            <w:tcW w:w="1134" w:type="dxa"/>
            <w:vAlign w:val="center"/>
          </w:tcPr>
          <w:p w14:paraId="786A52F7">
            <w:pPr>
              <w:jc w:val="left"/>
              <w:rPr>
                <w:rFonts w:hint="eastAsia" w:ascii="仿宋_GB2312" w:hAnsi="宋体" w:eastAsia="仿宋_GB2312"/>
                <w:sz w:val="24"/>
                <w:szCs w:val="24"/>
              </w:rPr>
            </w:pPr>
            <w:r>
              <w:rPr>
                <w:rFonts w:hint="eastAsia" w:ascii="仿宋_GB2312" w:hAnsi="宋体" w:eastAsia="仿宋_GB2312"/>
                <w:sz w:val="24"/>
                <w:szCs w:val="24"/>
              </w:rPr>
              <w:t>高分辨彩色相机</w:t>
            </w:r>
          </w:p>
        </w:tc>
        <w:tc>
          <w:tcPr>
            <w:tcW w:w="1388" w:type="dxa"/>
            <w:vAlign w:val="center"/>
          </w:tcPr>
          <w:p w14:paraId="21FDBD87">
            <w:pPr>
              <w:jc w:val="left"/>
              <w:rPr>
                <w:rFonts w:hint="eastAsia" w:ascii="仿宋_GB2312" w:hAnsi="宋体" w:eastAsia="仿宋_GB2312"/>
                <w:sz w:val="24"/>
                <w:szCs w:val="24"/>
              </w:rPr>
            </w:pPr>
            <w:r>
              <w:rPr>
                <w:rFonts w:hint="eastAsia" w:ascii="仿宋_GB2312" w:hAnsi="宋体" w:eastAsia="仿宋_GB2312"/>
                <w:sz w:val="24"/>
                <w:szCs w:val="24"/>
                <w:lang w:val="zh-CN"/>
              </w:rPr>
              <w:t>★</w:t>
            </w:r>
          </w:p>
        </w:tc>
        <w:tc>
          <w:tcPr>
            <w:tcW w:w="2864" w:type="dxa"/>
            <w:vAlign w:val="center"/>
          </w:tcPr>
          <w:p w14:paraId="1E5C97D2">
            <w:pPr>
              <w:widowControl/>
              <w:adjustRightInd w:val="0"/>
              <w:snapToGrid w:val="0"/>
              <w:rPr>
                <w:rFonts w:hint="eastAsia" w:ascii="Times New Roman" w:hAnsi="Times New Roman" w:eastAsia="方正仿宋_GB2312" w:cs="Times New Roman"/>
                <w:color w:val="000000"/>
                <w:sz w:val="24"/>
              </w:rPr>
            </w:pPr>
            <w:r>
              <w:rPr>
                <w:rFonts w:hint="eastAsia" w:ascii="Times New Roman" w:hAnsi="Times New Roman" w:eastAsia="方正仿宋_GB2312" w:cs="Times New Roman"/>
                <w:color w:val="000000"/>
                <w:sz w:val="24"/>
              </w:rPr>
              <w:t>显微镜同品牌高分辨彩色相机，需要有4K高清拍照和录像功能，帧率不小于30fps；物理像素不低于800万；至少具有HDMI、USB 3.0 Type C、网络接口、Micro D接口；具备HDR功能；带有拍照按键；带有制冷功能。</w:t>
            </w:r>
          </w:p>
        </w:tc>
        <w:tc>
          <w:tcPr>
            <w:tcW w:w="2126" w:type="dxa"/>
            <w:vAlign w:val="center"/>
          </w:tcPr>
          <w:p w14:paraId="61391A78">
            <w:pPr>
              <w:widowControl/>
              <w:spacing w:line="360" w:lineRule="auto"/>
              <w:jc w:val="center"/>
              <w:rPr>
                <w:rFonts w:hint="eastAsia" w:ascii="仿宋_GB2312" w:hAnsi="宋体" w:eastAsia="仿宋_GB2312"/>
                <w:sz w:val="24"/>
                <w:szCs w:val="24"/>
              </w:rPr>
            </w:pPr>
            <w:r>
              <w:rPr>
                <w:rFonts w:hint="eastAsia" w:ascii="仿宋_GB2312" w:hAnsi="宋体" w:eastAsia="仿宋_GB2312" w:cs="宋体"/>
                <w:snapToGrid w:val="0"/>
                <w:kern w:val="0"/>
                <w:sz w:val="24"/>
                <w:szCs w:val="24"/>
                <w:lang w:val="zh-CN"/>
              </w:rPr>
              <w:t>是</w:t>
            </w:r>
          </w:p>
        </w:tc>
      </w:tr>
    </w:tbl>
    <w:p w14:paraId="702C5A02">
      <w:pPr>
        <w:autoSpaceDE w:val="0"/>
        <w:autoSpaceDN w:val="0"/>
        <w:adjustRightInd w:val="0"/>
        <w:snapToGrid w:val="0"/>
        <w:spacing w:before="156" w:beforeLines="50" w:line="360" w:lineRule="auto"/>
        <w:jc w:val="left"/>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说明：</w:t>
      </w:r>
    </w:p>
    <w:p w14:paraId="7085E2C1">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1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①</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重要性可用“★”“#”表示，“★”代表关键指标，不满足该指标项将导致响应被拒绝；“#”代表重要指标；无标识则表示属一般指标项。</w:t>
      </w:r>
    </w:p>
    <w:p w14:paraId="5B58F2D5">
      <w:pPr>
        <w:autoSpaceDE w:val="0"/>
        <w:autoSpaceDN w:val="0"/>
        <w:adjustRightInd w:val="0"/>
        <w:snapToGrid w:val="0"/>
        <w:spacing w:line="360" w:lineRule="auto"/>
        <w:ind w:firstLine="480" w:firstLineChars="200"/>
        <w:jc w:val="left"/>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fldChar w:fldCharType="begin"/>
      </w:r>
      <w:r>
        <w:rPr>
          <w:rFonts w:hint="eastAsia" w:ascii="仿宋_GB2312" w:hAnsi="宋体" w:eastAsia="仿宋_GB2312" w:cs="宋体"/>
          <w:snapToGrid w:val="0"/>
          <w:kern w:val="0"/>
          <w:sz w:val="24"/>
          <w:szCs w:val="24"/>
          <w:lang w:val="zh-CN"/>
        </w:rPr>
        <w:instrText xml:space="preserve">= 2 \* GB3</w:instrText>
      </w:r>
      <w:r>
        <w:rPr>
          <w:rFonts w:hint="eastAsia" w:ascii="仿宋_GB2312" w:hAnsi="宋体" w:eastAsia="仿宋_GB2312" w:cs="宋体"/>
          <w:snapToGrid w:val="0"/>
          <w:kern w:val="0"/>
          <w:sz w:val="24"/>
          <w:szCs w:val="24"/>
          <w:lang w:val="zh-CN"/>
        </w:rPr>
        <w:fldChar w:fldCharType="separate"/>
      </w:r>
      <w:r>
        <w:rPr>
          <w:rFonts w:hint="eastAsia" w:ascii="仿宋_GB2312" w:hAnsi="宋体" w:eastAsia="仿宋_GB2312" w:cs="宋体"/>
          <w:snapToGrid w:val="0"/>
          <w:kern w:val="0"/>
          <w:sz w:val="24"/>
          <w:szCs w:val="24"/>
          <w:lang w:val="zh-CN"/>
        </w:rPr>
        <w:t>②</w:t>
      </w:r>
      <w:r>
        <w:rPr>
          <w:rFonts w:hint="eastAsia" w:ascii="仿宋_GB2312" w:hAnsi="宋体" w:eastAsia="仿宋_GB2312" w:cs="宋体"/>
          <w:snapToGrid w:val="0"/>
          <w:kern w:val="0"/>
          <w:sz w:val="24"/>
          <w:szCs w:val="24"/>
          <w:lang w:val="zh-CN"/>
        </w:rPr>
        <w:fldChar w:fldCharType="end"/>
      </w:r>
      <w:r>
        <w:rPr>
          <w:rFonts w:hint="eastAsia" w:ascii="仿宋_GB2312" w:hAnsi="宋体" w:eastAsia="仿宋_GB2312" w:cs="宋体"/>
          <w:snapToGrid w:val="0"/>
          <w:kern w:val="0"/>
          <w:sz w:val="24"/>
          <w:szCs w:val="24"/>
          <w:lang w:val="zh-CN"/>
        </w:rPr>
        <w:t>“证明材料要求”项可填“是”和“是”。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p>
    <w:p w14:paraId="7E68C4CB">
      <w:pPr>
        <w:widowControl/>
        <w:numPr>
          <w:ilvl w:val="0"/>
          <w:numId w:val="1"/>
        </w:numPr>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商务要求</w:t>
      </w:r>
    </w:p>
    <w:p w14:paraId="1452A3C6">
      <w:pPr>
        <w:widowControl/>
        <w:shd w:val="clear" w:color="auto" w:fill="FFFFFF"/>
        <w:spacing w:line="360" w:lineRule="auto"/>
        <w:rPr>
          <w:rFonts w:hint="eastAsia"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（二）</w:t>
      </w:r>
      <w:r>
        <w:rPr>
          <w:rFonts w:hint="eastAsia" w:ascii="宋体" w:hAnsi="宋体" w:eastAsia="宋体" w:cs="宋体"/>
          <w:sz w:val="28"/>
          <w:szCs w:val="28"/>
        </w:rPr>
        <w:t>偏反荧光显微镜</w:t>
      </w:r>
    </w:p>
    <w:tbl>
      <w:tblPr>
        <w:tblStyle w:val="3"/>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3F1B7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41619881">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582461D5">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06CA0179">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0EA73150">
            <w:pPr>
              <w:autoSpaceDE w:val="0"/>
              <w:autoSpaceDN w:val="0"/>
              <w:adjustRightInd w:val="0"/>
              <w:snapToGrid w:val="0"/>
              <w:jc w:val="center"/>
              <w:rPr>
                <w:rFonts w:hint="eastAsia"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3ECC6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1D07E4AB">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52DC3CBA">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tcPr>
          <w:p w14:paraId="661285C8">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lang w:val="zh-CN"/>
              </w:rPr>
              <w:t>★</w:t>
            </w:r>
          </w:p>
        </w:tc>
        <w:tc>
          <w:tcPr>
            <w:tcW w:w="5237" w:type="dxa"/>
          </w:tcPr>
          <w:p w14:paraId="6FA33E2B">
            <w:pPr>
              <w:autoSpaceDE w:val="0"/>
              <w:autoSpaceDN w:val="0"/>
              <w:adjustRightInd w:val="0"/>
              <w:snapToGrid w:val="0"/>
              <w:spacing w:line="360" w:lineRule="auto"/>
              <w:jc w:val="left"/>
              <w:rPr>
                <w:rFonts w:hint="eastAsia" w:ascii="仿宋_GB2312" w:hAnsi="宋体" w:eastAsia="仿宋_GB2312"/>
                <w:iCs/>
                <w:sz w:val="24"/>
                <w:szCs w:val="24"/>
              </w:rPr>
            </w:pPr>
            <w:r>
              <w:rPr>
                <w:rFonts w:hint="eastAsia" w:ascii="仿宋_GB2312" w:hAnsi="宋体" w:eastAsia="仿宋_GB2312"/>
                <w:iCs/>
                <w:sz w:val="24"/>
                <w:szCs w:val="24"/>
              </w:rPr>
              <w:t>合同签订之日起3个月内完成供货。</w:t>
            </w:r>
          </w:p>
          <w:p w14:paraId="6494E2C4">
            <w:pPr>
              <w:autoSpaceDE w:val="0"/>
              <w:autoSpaceDN w:val="0"/>
              <w:adjustRightInd w:val="0"/>
              <w:snapToGrid w:val="0"/>
              <w:spacing w:line="360" w:lineRule="auto"/>
              <w:jc w:val="left"/>
              <w:rPr>
                <w:rFonts w:hint="eastAsia" w:ascii="仿宋_GB2312" w:hAnsi="宋体" w:eastAsia="仿宋_GB2312" w:cs="宋体"/>
                <w:iCs/>
                <w:snapToGrid w:val="0"/>
                <w:kern w:val="0"/>
                <w:sz w:val="24"/>
                <w:szCs w:val="24"/>
                <w:lang w:val="zh-CN"/>
              </w:rPr>
            </w:pPr>
          </w:p>
        </w:tc>
      </w:tr>
      <w:tr w14:paraId="635F4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43EA6D02">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2</w:t>
            </w:r>
          </w:p>
        </w:tc>
        <w:tc>
          <w:tcPr>
            <w:tcW w:w="1603" w:type="dxa"/>
            <w:vAlign w:val="center"/>
          </w:tcPr>
          <w:p w14:paraId="1364B587">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交货/服务/建设地点</w:t>
            </w:r>
          </w:p>
        </w:tc>
        <w:tc>
          <w:tcPr>
            <w:tcW w:w="940" w:type="dxa"/>
            <w:vAlign w:val="center"/>
          </w:tcPr>
          <w:p w14:paraId="1994C0AE">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7AB0955F">
            <w:pPr>
              <w:autoSpaceDE w:val="0"/>
              <w:autoSpaceDN w:val="0"/>
              <w:adjustRightInd w:val="0"/>
              <w:snapToGrid w:val="0"/>
              <w:spacing w:line="360" w:lineRule="auto"/>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采购人指定地点。</w:t>
            </w:r>
          </w:p>
        </w:tc>
      </w:tr>
      <w:tr w14:paraId="1716D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892" w:type="dxa"/>
            <w:vAlign w:val="center"/>
          </w:tcPr>
          <w:p w14:paraId="59174FC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3</w:t>
            </w:r>
          </w:p>
        </w:tc>
        <w:tc>
          <w:tcPr>
            <w:tcW w:w="1603" w:type="dxa"/>
            <w:vAlign w:val="center"/>
          </w:tcPr>
          <w:p w14:paraId="6E5C848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质保期</w:t>
            </w:r>
          </w:p>
        </w:tc>
        <w:tc>
          <w:tcPr>
            <w:tcW w:w="940" w:type="dxa"/>
            <w:vAlign w:val="center"/>
          </w:tcPr>
          <w:p w14:paraId="6E54CC7D">
            <w:pPr>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4635C016">
            <w:pPr>
              <w:autoSpaceDE w:val="0"/>
              <w:autoSpaceDN w:val="0"/>
              <w:adjustRightInd w:val="0"/>
              <w:snapToGrid w:val="0"/>
              <w:spacing w:line="360" w:lineRule="auto"/>
              <w:jc w:val="left"/>
              <w:rPr>
                <w:rFonts w:hint="eastAsia" w:ascii="仿宋_GB2312" w:hAnsi="宋体" w:eastAsia="仿宋_GB2312" w:cs="宋体"/>
                <w:iCs/>
                <w:snapToGrid w:val="0"/>
                <w:kern w:val="0"/>
                <w:sz w:val="24"/>
                <w:szCs w:val="24"/>
              </w:rPr>
            </w:pPr>
            <w:r>
              <w:rPr>
                <w:rFonts w:hint="eastAsia" w:ascii="仿宋_GB2312" w:hAnsi="宋体" w:eastAsia="仿宋_GB2312" w:cs="宋体"/>
                <w:iCs/>
                <w:snapToGrid w:val="0"/>
                <w:kern w:val="0"/>
                <w:sz w:val="24"/>
                <w:szCs w:val="24"/>
                <w:lang w:val="zh-CN"/>
              </w:rPr>
              <w:t>自验收合格之日起计算</w:t>
            </w:r>
            <w:r>
              <w:rPr>
                <w:rFonts w:hint="eastAsia" w:ascii="仿宋_GB2312" w:hAnsi="宋体" w:eastAsia="仿宋_GB2312" w:cs="宋体"/>
                <w:iCs/>
                <w:snapToGrid w:val="0"/>
                <w:kern w:val="0"/>
                <w:sz w:val="24"/>
                <w:szCs w:val="24"/>
              </w:rPr>
              <w:t>，</w:t>
            </w:r>
            <w:r>
              <w:rPr>
                <w:rFonts w:hint="eastAsia" w:ascii="仿宋_GB2312" w:hAnsi="宋体" w:eastAsia="仿宋_GB2312" w:cs="宋体"/>
                <w:iCs/>
                <w:snapToGrid w:val="0"/>
                <w:kern w:val="0"/>
                <w:sz w:val="24"/>
                <w:szCs w:val="24"/>
                <w:lang w:val="zh-CN"/>
              </w:rPr>
              <w:t>所有硬件</w:t>
            </w:r>
            <w:r>
              <w:rPr>
                <w:rFonts w:hint="eastAsia" w:ascii="仿宋_GB2312" w:hAnsi="宋体" w:eastAsia="仿宋_GB2312" w:cs="宋体"/>
                <w:iCs/>
                <w:snapToGrid w:val="0"/>
                <w:kern w:val="0"/>
                <w:sz w:val="24"/>
                <w:szCs w:val="24"/>
              </w:rPr>
              <w:t>1</w:t>
            </w:r>
            <w:r>
              <w:rPr>
                <w:rFonts w:hint="eastAsia" w:ascii="仿宋_GB2312" w:hAnsi="宋体" w:eastAsia="仿宋_GB2312" w:cs="宋体"/>
                <w:iCs/>
                <w:snapToGrid w:val="0"/>
                <w:kern w:val="0"/>
                <w:sz w:val="24"/>
                <w:szCs w:val="24"/>
                <w:lang w:val="zh-CN"/>
              </w:rPr>
              <w:t>年免费保修、所有软件</w:t>
            </w:r>
            <w:r>
              <w:rPr>
                <w:rFonts w:hint="eastAsia" w:ascii="仿宋_GB2312" w:hAnsi="宋体" w:eastAsia="仿宋_GB2312" w:cs="宋体"/>
                <w:iCs/>
                <w:snapToGrid w:val="0"/>
                <w:kern w:val="0"/>
                <w:sz w:val="24"/>
                <w:szCs w:val="24"/>
              </w:rPr>
              <w:t>终身</w:t>
            </w:r>
            <w:r>
              <w:rPr>
                <w:rFonts w:hint="eastAsia" w:ascii="仿宋_GB2312" w:hAnsi="宋体" w:eastAsia="仿宋_GB2312" w:cs="宋体"/>
                <w:iCs/>
                <w:snapToGrid w:val="0"/>
                <w:kern w:val="0"/>
                <w:sz w:val="24"/>
                <w:szCs w:val="24"/>
                <w:lang w:val="zh-CN"/>
              </w:rPr>
              <w:t>免费升级</w:t>
            </w:r>
            <w:r>
              <w:rPr>
                <w:rFonts w:hint="eastAsia" w:ascii="仿宋_GB2312" w:hAnsi="宋体" w:eastAsia="仿宋_GB2312" w:cs="宋体"/>
                <w:iCs/>
                <w:snapToGrid w:val="0"/>
                <w:kern w:val="0"/>
                <w:sz w:val="24"/>
                <w:szCs w:val="24"/>
              </w:rPr>
              <w:t>.</w:t>
            </w:r>
          </w:p>
        </w:tc>
      </w:tr>
      <w:tr w14:paraId="37C83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6311BE58">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4</w:t>
            </w:r>
          </w:p>
        </w:tc>
        <w:tc>
          <w:tcPr>
            <w:tcW w:w="1603" w:type="dxa"/>
            <w:vAlign w:val="center"/>
          </w:tcPr>
          <w:p w14:paraId="3AC023E4">
            <w:pPr>
              <w:widowControl/>
              <w:autoSpaceDE w:val="0"/>
              <w:autoSpaceDN w:val="0"/>
              <w:adjustRightInd w:val="0"/>
              <w:snapToGrid w:val="0"/>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包装和运输</w:t>
            </w:r>
          </w:p>
        </w:tc>
        <w:tc>
          <w:tcPr>
            <w:tcW w:w="940" w:type="dxa"/>
          </w:tcPr>
          <w:p w14:paraId="782DA735">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0A74A41A">
            <w:pPr>
              <w:widowControl/>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供应商应提供货物（货物需为原厂包装）运至项目现场所需要的包装，以防止设备在运输中损坏或丢失。</w:t>
            </w:r>
          </w:p>
        </w:tc>
      </w:tr>
      <w:tr w14:paraId="636A8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741D675">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5</w:t>
            </w:r>
          </w:p>
        </w:tc>
        <w:tc>
          <w:tcPr>
            <w:tcW w:w="1603" w:type="dxa"/>
            <w:vAlign w:val="center"/>
          </w:tcPr>
          <w:p w14:paraId="53CD1075">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服务标准/</w:t>
            </w:r>
          </w:p>
          <w:p w14:paraId="7CFD3D0E">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售后服务要求</w:t>
            </w:r>
          </w:p>
        </w:tc>
        <w:tc>
          <w:tcPr>
            <w:tcW w:w="940" w:type="dxa"/>
          </w:tcPr>
          <w:p w14:paraId="1A1C392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tcPr>
          <w:p w14:paraId="47C93268">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电话报修后</w:t>
            </w:r>
            <w:r>
              <w:rPr>
                <w:rFonts w:hint="eastAsia" w:ascii="仿宋_GB2312" w:hAnsi="宋体" w:eastAsia="仿宋_GB2312" w:cs="宋体"/>
                <w:iCs/>
                <w:snapToGrid w:val="0"/>
                <w:kern w:val="0"/>
                <w:sz w:val="24"/>
                <w:szCs w:val="24"/>
              </w:rPr>
              <w:t>48</w:t>
            </w:r>
            <w:r>
              <w:rPr>
                <w:rFonts w:hint="eastAsia" w:ascii="仿宋_GB2312" w:hAnsi="宋体" w:eastAsia="仿宋_GB2312" w:cs="宋体"/>
                <w:iCs/>
                <w:snapToGrid w:val="0"/>
                <w:kern w:val="0"/>
                <w:sz w:val="24"/>
                <w:szCs w:val="24"/>
                <w:lang w:val="zh-CN"/>
              </w:rPr>
              <w:t>小时上门服务、</w:t>
            </w:r>
            <w:r>
              <w:rPr>
                <w:rFonts w:hint="eastAsia" w:ascii="仿宋_GB2312" w:hAnsi="宋体" w:eastAsia="仿宋_GB2312" w:cs="宋体"/>
                <w:iCs/>
                <w:snapToGrid w:val="0"/>
                <w:kern w:val="0"/>
                <w:sz w:val="24"/>
                <w:szCs w:val="24"/>
              </w:rPr>
              <w:t>72</w:t>
            </w:r>
            <w:r>
              <w:rPr>
                <w:rFonts w:hint="eastAsia" w:ascii="仿宋_GB2312" w:hAnsi="宋体" w:eastAsia="仿宋_GB2312" w:cs="宋体"/>
                <w:iCs/>
                <w:snapToGrid w:val="0"/>
                <w:kern w:val="0"/>
                <w:sz w:val="24"/>
                <w:szCs w:val="24"/>
                <w:lang w:val="zh-CN"/>
              </w:rPr>
              <w:t>小时内排除故障</w:t>
            </w:r>
            <w:r>
              <w:rPr>
                <w:rFonts w:hint="eastAsia" w:ascii="仿宋_GB2312" w:hAnsi="宋体" w:eastAsia="仿宋_GB2312" w:cs="宋体"/>
                <w:iCs/>
                <w:snapToGrid w:val="0"/>
                <w:kern w:val="0"/>
                <w:sz w:val="24"/>
                <w:szCs w:val="24"/>
              </w:rPr>
              <w:t>或找到解决方案</w:t>
            </w:r>
            <w:r>
              <w:rPr>
                <w:rFonts w:hint="eastAsia" w:ascii="仿宋_GB2312" w:hAnsi="宋体" w:eastAsia="仿宋_GB2312" w:cs="宋体"/>
                <w:iCs/>
                <w:snapToGrid w:val="0"/>
                <w:kern w:val="0"/>
                <w:sz w:val="24"/>
                <w:szCs w:val="24"/>
                <w:lang w:val="zh-CN"/>
              </w:rPr>
              <w:t>。</w:t>
            </w:r>
          </w:p>
          <w:p w14:paraId="0C9FA430">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所有硬件过免费保修期后、所有软件过免费保修升级期后继续提供技术支持，硬件优惠收取配件费用，软件优惠进行维修升级，响应速度同保修期响应速度。</w:t>
            </w:r>
          </w:p>
        </w:tc>
      </w:tr>
      <w:tr w14:paraId="62430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8F7E04D">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6</w:t>
            </w:r>
          </w:p>
        </w:tc>
        <w:tc>
          <w:tcPr>
            <w:tcW w:w="1603" w:type="dxa"/>
            <w:vAlign w:val="center"/>
          </w:tcPr>
          <w:p w14:paraId="2864A04C">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安装调试</w:t>
            </w:r>
          </w:p>
        </w:tc>
        <w:tc>
          <w:tcPr>
            <w:tcW w:w="940" w:type="dxa"/>
          </w:tcPr>
          <w:p w14:paraId="37665189">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6B52CB02">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安装和调试过程中需要的专用器具和其他物资由供应商负责，采购人负责相应的现场协调等方面的协调配合工作。安装与调试所产生费用由供应商承担。</w:t>
            </w:r>
          </w:p>
        </w:tc>
      </w:tr>
      <w:tr w14:paraId="0F319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419216C2">
            <w:pPr>
              <w:autoSpaceDE w:val="0"/>
              <w:autoSpaceDN w:val="0"/>
              <w:adjustRightInd w:val="0"/>
              <w:snapToGrid w:val="0"/>
              <w:jc w:val="center"/>
              <w:rPr>
                <w:rFonts w:hint="eastAsia" w:ascii="仿宋_GB2312" w:hAnsi="宋体" w:eastAsia="仿宋_GB2312" w:cs="宋体"/>
                <w:snapToGrid w:val="0"/>
                <w:kern w:val="0"/>
                <w:sz w:val="24"/>
                <w:szCs w:val="24"/>
              </w:rPr>
            </w:pPr>
            <w:r>
              <w:rPr>
                <w:rFonts w:hint="eastAsia" w:ascii="仿宋_GB2312" w:hAnsi="宋体" w:eastAsia="仿宋_GB2312" w:cs="宋体"/>
                <w:snapToGrid w:val="0"/>
                <w:kern w:val="0"/>
                <w:sz w:val="24"/>
                <w:szCs w:val="24"/>
              </w:rPr>
              <w:t>7</w:t>
            </w:r>
          </w:p>
        </w:tc>
        <w:tc>
          <w:tcPr>
            <w:tcW w:w="1603" w:type="dxa"/>
            <w:vAlign w:val="center"/>
          </w:tcPr>
          <w:p w14:paraId="1C7FDAA8">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培训要求</w:t>
            </w:r>
          </w:p>
        </w:tc>
        <w:tc>
          <w:tcPr>
            <w:tcW w:w="940" w:type="dxa"/>
          </w:tcPr>
          <w:p w14:paraId="6FF43220">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p>
        </w:tc>
        <w:tc>
          <w:tcPr>
            <w:tcW w:w="5237" w:type="dxa"/>
            <w:vAlign w:val="center"/>
          </w:tcPr>
          <w:p w14:paraId="0633E054">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提供</w:t>
            </w:r>
            <w:r>
              <w:rPr>
                <w:rFonts w:hint="eastAsia" w:ascii="仿宋_GB2312" w:hAnsi="宋体" w:eastAsia="仿宋_GB2312" w:cs="宋体"/>
                <w:iCs/>
                <w:snapToGrid w:val="0"/>
                <w:kern w:val="0"/>
                <w:sz w:val="24"/>
                <w:szCs w:val="24"/>
              </w:rPr>
              <w:t>2</w:t>
            </w:r>
            <w:r>
              <w:rPr>
                <w:rFonts w:hint="eastAsia" w:ascii="仿宋_GB2312" w:hAnsi="宋体" w:eastAsia="仿宋_GB2312" w:cs="宋体"/>
                <w:iCs/>
                <w:snapToGrid w:val="0"/>
                <w:kern w:val="0"/>
                <w:sz w:val="24"/>
                <w:szCs w:val="24"/>
                <w:lang w:val="zh-CN"/>
              </w:rPr>
              <w:t>天以上现场培训，交通等与培训相关的费用均由成交供应商承担。</w:t>
            </w:r>
          </w:p>
        </w:tc>
      </w:tr>
      <w:tr w14:paraId="17C9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7D595DB4">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8</w:t>
            </w:r>
          </w:p>
        </w:tc>
        <w:tc>
          <w:tcPr>
            <w:tcW w:w="1603" w:type="dxa"/>
            <w:vAlign w:val="center"/>
          </w:tcPr>
          <w:p w14:paraId="686CBE8B">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验收标准</w:t>
            </w:r>
          </w:p>
        </w:tc>
        <w:tc>
          <w:tcPr>
            <w:tcW w:w="940" w:type="dxa"/>
          </w:tcPr>
          <w:p w14:paraId="2ED6D9F3">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tcPr>
          <w:p w14:paraId="037417FF">
            <w:pPr>
              <w:widowControl/>
              <w:autoSpaceDE w:val="0"/>
              <w:autoSpaceDN w:val="0"/>
              <w:adjustRightInd w:val="0"/>
              <w:snapToGrid w:val="0"/>
              <w:jc w:val="left"/>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按照供应商响应文件及采购文件确定的技术和服务指标进行验收。</w:t>
            </w:r>
          </w:p>
        </w:tc>
      </w:tr>
      <w:tr w14:paraId="6D4B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1FC93712">
            <w:pPr>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rPr>
              <w:t>9</w:t>
            </w:r>
          </w:p>
        </w:tc>
        <w:tc>
          <w:tcPr>
            <w:tcW w:w="1603" w:type="dxa"/>
            <w:vAlign w:val="center"/>
          </w:tcPr>
          <w:p w14:paraId="05527626">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478B43A8">
            <w:pPr>
              <w:widowControl/>
              <w:autoSpaceDE w:val="0"/>
              <w:autoSpaceDN w:val="0"/>
              <w:adjustRightInd w:val="0"/>
              <w:snapToGrid w:val="0"/>
              <w:jc w:val="center"/>
              <w:rPr>
                <w:rFonts w:hint="eastAsia"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w:t>
            </w:r>
          </w:p>
        </w:tc>
        <w:tc>
          <w:tcPr>
            <w:tcW w:w="5237" w:type="dxa"/>
            <w:vAlign w:val="center"/>
          </w:tcPr>
          <w:p w14:paraId="14F099DD">
            <w:pPr>
              <w:widowControl/>
              <w:autoSpaceDE w:val="0"/>
              <w:autoSpaceDN w:val="0"/>
              <w:adjustRightInd w:val="0"/>
              <w:snapToGrid w:val="0"/>
              <w:rPr>
                <w:rFonts w:hint="eastAsia" w:ascii="仿宋_GB2312" w:hAnsi="宋体" w:eastAsia="仿宋_GB2312" w:cs="宋体"/>
                <w:iCs/>
                <w:snapToGrid w:val="0"/>
                <w:kern w:val="0"/>
                <w:sz w:val="24"/>
                <w:szCs w:val="24"/>
                <w:lang w:val="zh-CN"/>
              </w:rPr>
            </w:pPr>
            <w:r>
              <w:rPr>
                <w:rFonts w:hint="eastAsia" w:ascii="仿宋_GB2312" w:hAnsi="宋体" w:eastAsia="仿宋_GB2312" w:cs="宋体"/>
                <w:iCs/>
                <w:snapToGrid w:val="0"/>
                <w:kern w:val="0"/>
                <w:sz w:val="24"/>
                <w:szCs w:val="24"/>
                <w:lang w:val="zh-CN"/>
              </w:rPr>
              <w:t>成交供应商应于合同签订后向采购人支付合同标的额的 5%作为履约保证金。仪器设备到货并经使用单位验收合格且验收资料归档后，采购人在 30个工作日内向成交供应商支付合同总金额的100% 。采购人应于设备验收合格满一年后，且成交供应商无任何违约行为（包括但不限于质量问题、售后服务瑕疵等），向成交供应商无息返还全部履约保证金。若中标人为中小企业，将落实《保障中小企业款项支付条例》。</w:t>
            </w:r>
          </w:p>
        </w:tc>
      </w:tr>
    </w:tbl>
    <w:p w14:paraId="7F3C6952">
      <w:pPr>
        <w:widowControl/>
        <w:ind w:firstLine="643" w:firstLineChars="200"/>
        <w:jc w:val="left"/>
        <w:rPr>
          <w:rFonts w:hint="eastAsia" w:ascii="仿宋" w:hAnsi="仿宋" w:eastAsia="仿宋" w:cs="仿宋"/>
          <w:b/>
          <w:color w:val="000000"/>
          <w:kern w:val="0"/>
          <w:sz w:val="32"/>
          <w:szCs w:val="28"/>
          <w:shd w:val="clear" w:color="auto" w:fill="FFFFFF"/>
        </w:rPr>
      </w:pPr>
    </w:p>
    <w:p w14:paraId="4BA16D31">
      <w:pPr>
        <w:widowControl/>
        <w:ind w:firstLine="643" w:firstLineChars="200"/>
        <w:jc w:val="left"/>
        <w:rPr>
          <w:rFonts w:hint="eastAsia" w:ascii="仿宋" w:hAnsi="仿宋" w:eastAsia="仿宋" w:cs="仿宋"/>
          <w:b/>
          <w:color w:val="000000"/>
          <w:kern w:val="0"/>
          <w:sz w:val="32"/>
          <w:szCs w:val="28"/>
          <w:shd w:val="clear" w:color="auto" w:fill="FFFFFF"/>
        </w:rPr>
      </w:pPr>
      <w:r>
        <w:rPr>
          <w:rFonts w:hint="eastAsia" w:ascii="仿宋" w:hAnsi="仿宋" w:eastAsia="仿宋" w:cs="仿宋"/>
          <w:b/>
          <w:color w:val="000000"/>
          <w:kern w:val="0"/>
          <w:sz w:val="32"/>
          <w:szCs w:val="28"/>
          <w:shd w:val="clear" w:color="auto" w:fill="FFFFFF"/>
        </w:rPr>
        <w:t>五、实现的政府采购政策目标</w:t>
      </w:r>
    </w:p>
    <w:p w14:paraId="0AE6DB21">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（一）本项目采购活动严格遵循《中华人民共和国政府采购法》及其实施条例，积极落实节约能源、保护环境、促进中小企业发展、支持创新等政府采购政策。具体措施包括：</w:t>
      </w:r>
    </w:p>
    <w:p w14:paraId="55712ACC">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（1）对节能环保产品，依据国家认可的节能产品认证机构出具的认证证书，在评审时给予相应加分或价格扣除。</w:t>
      </w:r>
    </w:p>
    <w:p w14:paraId="7183BB95">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（2）优先采购符合国家环保标准的产品，减少环境污染。</w:t>
      </w:r>
    </w:p>
    <w:p w14:paraId="65C03D69">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支持创新产品，对拥有自主知识产权或采用先进技术的产品在同等条件下优先考虑。</w:t>
      </w:r>
    </w:p>
    <w:p w14:paraId="1B00CFC5">
      <w:pPr>
        <w:spacing w:line="360" w:lineRule="auto"/>
        <w:ind w:firstLine="493"/>
        <w:jc w:val="left"/>
        <w:rPr>
          <w:rFonts w:hint="eastAsia" w:ascii="仿宋" w:hAnsi="仿宋" w:eastAsia="仿宋" w:cs="仿宋"/>
          <w:i/>
          <w:sz w:val="24"/>
          <w:szCs w:val="24"/>
        </w:rPr>
      </w:pPr>
    </w:p>
    <w:p w14:paraId="092F7E41">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（二）本项目为：</w:t>
      </w:r>
    </w:p>
    <w:p w14:paraId="7E0B343D">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□专门面向中小企业采购项目</w:t>
      </w:r>
    </w:p>
    <w:p w14:paraId="0EE003F2">
      <w:pPr>
        <w:spacing w:line="360" w:lineRule="auto"/>
        <w:ind w:firstLine="493"/>
        <w:jc w:val="left"/>
        <w:rPr>
          <w:rFonts w:hint="eastAsia" w:ascii="仿宋" w:hAnsi="仿宋" w:eastAsia="仿宋" w:cs="仿宋"/>
          <w:i/>
          <w:sz w:val="24"/>
          <w:szCs w:val="24"/>
        </w:rPr>
      </w:pPr>
      <w:r>
        <w:rPr>
          <w:rFonts w:hint="eastAsia" w:ascii="仿宋" w:hAnsi="仿宋" w:eastAsia="仿宋" w:cs="仿宋"/>
          <w:sz w:val="24"/>
          <w:szCs w:val="24"/>
        </w:rPr>
        <w:t>□预留该部分采购项目预算总额的40%以上专门面向中小企业</w:t>
      </w:r>
      <w:r>
        <w:rPr>
          <w:rFonts w:hint="eastAsia" w:ascii="仿宋" w:hAnsi="仿宋" w:eastAsia="仿宋" w:cs="仿宋"/>
          <w:i/>
          <w:sz w:val="24"/>
          <w:szCs w:val="24"/>
        </w:rPr>
        <w:t>（建设项目）</w:t>
      </w:r>
    </w:p>
    <w:p w14:paraId="43041116">
      <w:pPr>
        <w:spacing w:line="360" w:lineRule="auto"/>
        <w:ind w:firstLine="493"/>
        <w:jc w:val="left"/>
        <w:rPr>
          <w:rFonts w:hint="eastAsia" w:ascii="仿宋" w:hAnsi="仿宋" w:eastAsia="仿宋" w:cs="仿宋"/>
          <w:sz w:val="24"/>
          <w:szCs w:val="24"/>
        </w:rPr>
      </w:pPr>
      <w:r>
        <w:rPr>
          <w:rFonts w:hint="eastAsia" w:ascii="仿宋" w:hAnsi="仿宋" w:eastAsia="仿宋" w:cs="仿宋"/>
          <w:sz w:val="24"/>
          <w:szCs w:val="24"/>
        </w:rPr>
        <w:t>☑非专门面向中小企业采购项目</w:t>
      </w:r>
    </w:p>
    <w:p w14:paraId="0E105F59">
      <w:pPr>
        <w:spacing w:line="360" w:lineRule="auto"/>
        <w:ind w:firstLine="493"/>
        <w:jc w:val="left"/>
        <w:rPr>
          <w:rFonts w:hint="eastAsia" w:ascii="仿宋" w:hAnsi="仿宋" w:eastAsia="仿宋" w:cs="仿宋"/>
        </w:rPr>
      </w:pPr>
      <w:r>
        <w:rPr>
          <w:rFonts w:hint="eastAsia" w:ascii="仿宋" w:hAnsi="仿宋" w:eastAsia="仿宋" w:cs="仿宋"/>
          <w:sz w:val="24"/>
          <w:szCs w:val="24"/>
        </w:rPr>
        <w:t xml:space="preserve">（三）按中小企业划分标准所属行业： </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工业</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
    <w:altName w:val="宋体"/>
    <w:panose1 w:val="00000000000000000000"/>
    <w:charset w:val="86"/>
    <w:family w:val="roman"/>
    <w:pitch w:val="default"/>
    <w:sig w:usb0="00000000" w:usb1="00000000" w:usb2="00000010" w:usb3="00000000" w:csb0="000401FF" w:csb1="00000000"/>
  </w:font>
  <w:font w:name="鸿蒙黑体">
    <w:altName w:val="黑体"/>
    <w:panose1 w:val="00000500000000000000"/>
    <w:charset w:val="86"/>
    <w:family w:val="auto"/>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embedRegular r:id="rId1" w:fontKey="{AD69EF49-E680-4683-8214-79848203AD01}"/>
  </w:font>
  <w:font w:name="Wingdings 2">
    <w:altName w:val="Wingdings"/>
    <w:panose1 w:val="05020102010507070707"/>
    <w:charset w:val="02"/>
    <w:family w:val="roman"/>
    <w:pitch w:val="default"/>
    <w:sig w:usb0="00000000" w:usb1="00000000" w:usb2="00000000" w:usb3="00000000" w:csb0="80000000" w:csb1="00000000"/>
    <w:embedRegular r:id="rId2" w:fontKey="{5980554F-EC37-44E1-9030-D787327A1A5B}"/>
  </w:font>
  <w:font w:name="FTToken2">
    <w:altName w:val="FFont-Family"/>
    <w:panose1 w:val="05020102010507070707"/>
    <w:charset w:val="00"/>
    <w:family w:val="auto"/>
    <w:pitch w:val="default"/>
    <w:sig w:usb0="00000000" w:usb1="00000000" w:usb2="00000000" w:usb3="00000000" w:csb0="80000000" w:csb1="00000000"/>
  </w:font>
  <w:font w:name="仿宋_GB2312">
    <w:altName w:val="仿宋"/>
    <w:panose1 w:val="00000000000000000000"/>
    <w:charset w:val="86"/>
    <w:family w:val="modern"/>
    <w:pitch w:val="default"/>
    <w:sig w:usb0="00000000" w:usb1="00000000" w:usb2="00000000" w:usb3="00000000" w:csb0="00040000" w:csb1="00000000"/>
    <w:embedRegular r:id="rId3" w:fontKey="{DB318020-8D9E-409C-A1A3-5560C48514FA}"/>
  </w:font>
  <w:font w:name="仿宋-简">
    <w:altName w:val="仿宋"/>
    <w:panose1 w:val="02010609060101010101"/>
    <w:charset w:val="86"/>
    <w:family w:val="auto"/>
    <w:pitch w:val="default"/>
    <w:sig w:usb0="00000000" w:usb1="00000000" w:usb2="00000016" w:usb3="00000000" w:csb0="00040001" w:csb1="00000000"/>
  </w:font>
  <w:font w:name="方正仿宋_GB2312">
    <w:panose1 w:val="02000000000000000000"/>
    <w:charset w:val="86"/>
    <w:family w:val="auto"/>
    <w:pitch w:val="default"/>
    <w:sig w:usb0="A00002BF" w:usb1="184F6CFA" w:usb2="00000012" w:usb3="00000000" w:csb0="00040001" w:csb1="00000000"/>
    <w:embedRegular r:id="rId4" w:fontKey="{BBDC612D-ADDB-4734-AF5F-C7EE37F7E58F}"/>
  </w:font>
  <w:font w:name="Wingdings">
    <w:panose1 w:val="05000000000000000000"/>
    <w:charset w:val="00"/>
    <w:family w:val="auto"/>
    <w:pitch w:val="default"/>
    <w:sig w:usb0="00000000" w:usb1="00000000" w:usb2="00000000" w:usb3="00000000" w:csb0="80000000"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AF45E15"/>
    <w:multiLevelType w:val="singleLevel"/>
    <w:tmpl w:val="6AF45E15"/>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TrueTypeFonts/>
  <w:saveSubset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TU3OTc1MzYzY2YxNzhiNTNhZTAzMTY5OWYzNzNhODMifQ=="/>
  </w:docVars>
  <w:rsids>
    <w:rsidRoot w:val="470A7DED"/>
    <w:rsid w:val="00477D95"/>
    <w:rsid w:val="006143C5"/>
    <w:rsid w:val="006316DC"/>
    <w:rsid w:val="008238E3"/>
    <w:rsid w:val="008E3F01"/>
    <w:rsid w:val="00BE1915"/>
    <w:rsid w:val="00C6144A"/>
    <w:rsid w:val="00CB084E"/>
    <w:rsid w:val="00DD0201"/>
    <w:rsid w:val="00FC3A72"/>
    <w:rsid w:val="1A707FC3"/>
    <w:rsid w:val="2F572CFD"/>
    <w:rsid w:val="470A7DED"/>
    <w:rsid w:val="5A19592A"/>
    <w:rsid w:val="7E6923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customStyle="1" w:styleId="5">
    <w:name w:val="Default"/>
    <w:qFormat/>
    <w:uiPriority w:val="0"/>
    <w:pPr>
      <w:autoSpaceDE w:val="0"/>
      <w:autoSpaceDN w:val="0"/>
      <w:adjustRightInd w:val="0"/>
    </w:pPr>
    <w:rPr>
      <w:rFonts w:ascii="......" w:eastAsia="......" w:cs="......" w:hAnsiTheme="minorHAnsi"/>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Version="6" SelectedStyle="\APASixthEditionOfficeOnline.xsl" StyleName="APA"/>
</file>

<file path=customXml/itemProps1.xml><?xml version="1.0" encoding="utf-8"?>
<ds:datastoreItem xmlns:ds="http://schemas.openxmlformats.org/officeDocument/2006/customXml" ds:itemID="{2F2C1A57-E8DC-460D-A748-839C75714CD8}">
  <ds:schemaRefs/>
</ds:datastoreItem>
</file>

<file path=docProps/app.xml><?xml version="1.0" encoding="utf-8"?>
<Properties xmlns="http://schemas.openxmlformats.org/officeDocument/2006/extended-properties" xmlns:vt="http://schemas.openxmlformats.org/officeDocument/2006/docPropsVTypes">
  <Template>Normal.dotm</Template>
  <Pages>9</Pages>
  <Words>678</Words>
  <Characters>685</Characters>
  <Lines>28</Lines>
  <Paragraphs>7</Paragraphs>
  <TotalTime>2</TotalTime>
  <ScaleCrop>false</ScaleCrop>
  <LinksUpToDate>false</LinksUpToDate>
  <CharactersWithSpaces>717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2026-08-08T10:44:00Z</dcterms:created>
  <dc:creator>Shangguan Yunfei</dc:creator>
  <cp:lastModifiedBy>dd</cp:lastModifiedBy>
  <dcterms:modified xsi:type="dcterms:W3CDTF">2026-08-12T07:43:58Z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3F81FA210BE348F4905BF2C2428E9078</vt:lpwstr>
  </property>
  <property fmtid="{D5CDD505-2E9C-101B-9397-08002B2CF9AE}" pid="4" name="KSOTemplateDocerSaveRecord">
    <vt:lpwstr>eyJoZGlkIjoiYzVlYmI3M2M4OWE3YWUyYTVmNWVhOGI1NmY0NTYxMTciLCJ1c2VySWQiOiIxNTM1ODk5ODk4In0=</vt:lpwstr>
  </property>
</Properties>
</file>