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1FB42D39">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rPr>
      </w:pPr>
    </w:p>
    <w:p w14:paraId="1F3B8807">
      <w:pPr>
        <w:pStyle w:val="3"/>
        <w:spacing w:before="0" w:after="0" w:line="360" w:lineRule="auto"/>
        <w:jc w:val="center"/>
        <w:rPr>
          <w:rFonts w:ascii="宋体" w:hAnsi="宋体"/>
          <w:szCs w:val="28"/>
        </w:rPr>
      </w:pPr>
    </w:p>
    <w:p w14:paraId="7C50288D"/>
    <w:p w14:paraId="7013AF59">
      <w:pPr>
        <w:rPr>
          <w:rFonts w:ascii="宋体" w:hAnsi="宋体"/>
          <w:szCs w:val="28"/>
        </w:rPr>
      </w:pPr>
    </w:p>
    <w:p w14:paraId="6F40FCF4">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13BDAF2"/>
    <w:p w14:paraId="1AAB3B7D">
      <w:pPr>
        <w:ind w:firstLine="1044" w:firstLineChars="400"/>
        <w:rPr>
          <w:rFonts w:ascii="仿宋" w:hAnsi="仿宋" w:eastAsia="仿宋" w:cs="仿宋"/>
          <w:b/>
          <w:bCs/>
          <w:color w:val="000000"/>
          <w:kern w:val="0"/>
          <w:sz w:val="26"/>
          <w:szCs w:val="26"/>
          <w:shd w:val="clear" w:color="auto" w:fill="FFFFFF"/>
        </w:rPr>
      </w:pPr>
    </w:p>
    <w:p w14:paraId="53C19B5A">
      <w:pPr>
        <w:ind w:firstLine="1044" w:firstLineChars="400"/>
        <w:rPr>
          <w:rFonts w:ascii="仿宋" w:hAnsi="仿宋" w:eastAsia="仿宋" w:cs="仿宋"/>
          <w:b/>
          <w:bCs/>
          <w:color w:val="000000"/>
          <w:kern w:val="0"/>
          <w:sz w:val="26"/>
          <w:szCs w:val="26"/>
          <w:shd w:val="clear" w:color="auto" w:fill="FFFFFF"/>
        </w:rPr>
      </w:pPr>
    </w:p>
    <w:p w14:paraId="7B8A5A98">
      <w:pPr>
        <w:ind w:firstLine="1044" w:firstLineChars="400"/>
        <w:rPr>
          <w:rFonts w:ascii="仿宋" w:hAnsi="仿宋" w:eastAsia="仿宋" w:cs="仿宋"/>
          <w:b/>
          <w:bCs/>
          <w:color w:val="000000"/>
          <w:kern w:val="0"/>
          <w:sz w:val="26"/>
          <w:szCs w:val="26"/>
          <w:shd w:val="clear" w:color="auto" w:fill="FFFFFF"/>
        </w:rPr>
      </w:pPr>
    </w:p>
    <w:p w14:paraId="5EF2C2A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rPr>
        <w:t>人事系统专项运维增值服务</w:t>
      </w:r>
      <w:r>
        <w:rPr>
          <w:rFonts w:ascii="Cambria" w:hAnsi="Cambria" w:eastAsia="方正小标宋简体" w:cs="Cambria"/>
          <w:color w:val="000000"/>
          <w:kern w:val="0"/>
          <w:sz w:val="32"/>
          <w:szCs w:val="32"/>
          <w:u w:val="single"/>
          <w:shd w:val="clear" w:color="auto" w:fill="FFFFFF"/>
        </w:rPr>
        <w:t>  </w:t>
      </w:r>
    </w:p>
    <w:p w14:paraId="13A8692B">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人力资源部</w:t>
      </w:r>
      <w:r>
        <w:rPr>
          <w:rFonts w:ascii="Cambria" w:hAnsi="Cambria" w:eastAsia="方正小标宋简体" w:cs="Cambria"/>
          <w:color w:val="000000"/>
          <w:kern w:val="0"/>
          <w:sz w:val="32"/>
          <w:szCs w:val="32"/>
          <w:u w:val="single"/>
          <w:shd w:val="clear" w:color="auto" w:fill="FFFFFF"/>
        </w:rPr>
        <w:t> </w:t>
      </w:r>
    </w:p>
    <w:p w14:paraId="2B201681">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2026年6月29日</w:t>
      </w:r>
      <w:r>
        <w:rPr>
          <w:rFonts w:ascii="Cambria" w:hAnsi="Cambria" w:eastAsia="方正小标宋简体" w:cs="Cambria"/>
          <w:color w:val="000000"/>
          <w:kern w:val="0"/>
          <w:sz w:val="32"/>
          <w:szCs w:val="32"/>
          <w:u w:val="single"/>
          <w:shd w:val="clear" w:color="auto" w:fill="FFFFFF"/>
        </w:rPr>
        <w:t> </w:t>
      </w:r>
    </w:p>
    <w:p w14:paraId="5CB57F5D">
      <w:pPr>
        <w:rPr>
          <w:rFonts w:ascii="宋体" w:hAnsi="宋体"/>
          <w:color w:val="FF0000"/>
          <w:sz w:val="28"/>
          <w:szCs w:val="28"/>
        </w:rPr>
      </w:pPr>
    </w:p>
    <w:p w14:paraId="79CAE573">
      <w:pPr>
        <w:rPr>
          <w:rFonts w:ascii="宋体" w:hAnsi="宋体"/>
          <w:color w:val="FF0000"/>
          <w:sz w:val="28"/>
          <w:szCs w:val="28"/>
        </w:rPr>
      </w:pPr>
    </w:p>
    <w:p w14:paraId="7FC92AF3">
      <w:pPr>
        <w:rPr>
          <w:rFonts w:ascii="宋体" w:hAnsi="宋体"/>
          <w:color w:val="FF0000"/>
          <w:sz w:val="28"/>
          <w:szCs w:val="28"/>
        </w:rPr>
      </w:pPr>
    </w:p>
    <w:p w14:paraId="4718CAF9">
      <w:pPr>
        <w:rPr>
          <w:rFonts w:ascii="宋体" w:hAnsi="宋体"/>
          <w:color w:val="FF0000"/>
          <w:sz w:val="28"/>
          <w:szCs w:val="28"/>
        </w:rPr>
      </w:pPr>
    </w:p>
    <w:p w14:paraId="64A77294">
      <w:pPr>
        <w:jc w:val="center"/>
        <w:rPr>
          <w:rFonts w:hint="eastAsia" w:ascii="方正小标宋简体" w:hAnsi="方正小标宋简体" w:eastAsia="方正小标宋简体" w:cs="仿宋"/>
          <w:color w:val="000000"/>
          <w:kern w:val="0"/>
          <w:sz w:val="32"/>
          <w:szCs w:val="32"/>
          <w:shd w:val="clear" w:color="auto" w:fill="FFFFFF"/>
        </w:rPr>
      </w:pPr>
    </w:p>
    <w:p w14:paraId="0D8C4650">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BF2DB3F">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40676B">
      <w:pPr>
        <w:widowControl/>
        <w:spacing w:line="560" w:lineRule="atLeast"/>
        <w:ind w:firstLine="640"/>
        <w:jc w:val="left"/>
        <w:rPr>
          <w:rFonts w:ascii="宋体" w:hAnsi="宋体" w:cs="仿宋"/>
          <w:color w:val="000000"/>
          <w:kern w:val="0"/>
          <w:sz w:val="28"/>
          <w:szCs w:val="28"/>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0538303"/>
    <w:p w14:paraId="1B9C990D">
      <w:pPr>
        <w:spacing w:line="360" w:lineRule="auto"/>
      </w:pPr>
    </w:p>
    <w:p w14:paraId="5327C200">
      <w:pPr>
        <w:widowControl/>
        <w:shd w:val="clear" w:color="auto" w:fill="FFFFFF"/>
        <w:spacing w:line="360" w:lineRule="auto"/>
        <w:ind w:firstLine="562" w:firstLineChars="200"/>
        <w:jc w:val="left"/>
        <w:rPr>
          <w:rFonts w:ascii="宋体" w:hAnsi="宋体" w:cs="Arial"/>
          <w:b/>
          <w:color w:val="333333"/>
          <w:kern w:val="0"/>
          <w:sz w:val="28"/>
          <w:szCs w:val="28"/>
        </w:rPr>
      </w:pPr>
    </w:p>
    <w:p w14:paraId="3C1FD4C8">
      <w:pPr>
        <w:widowControl/>
        <w:shd w:val="clear" w:color="auto" w:fill="FFFFFF"/>
        <w:spacing w:line="360" w:lineRule="auto"/>
        <w:ind w:firstLine="562" w:firstLineChars="200"/>
        <w:jc w:val="left"/>
        <w:rPr>
          <w:rFonts w:ascii="宋体" w:hAnsi="宋体" w:cs="Arial"/>
          <w:b/>
          <w:color w:val="333333"/>
          <w:kern w:val="0"/>
          <w:sz w:val="28"/>
          <w:szCs w:val="28"/>
        </w:rPr>
      </w:pPr>
    </w:p>
    <w:p w14:paraId="381AECA3">
      <w:pPr>
        <w:widowControl/>
        <w:shd w:val="clear" w:color="auto" w:fill="FFFFFF"/>
        <w:spacing w:line="360" w:lineRule="auto"/>
        <w:ind w:firstLine="562" w:firstLineChars="200"/>
        <w:jc w:val="left"/>
        <w:rPr>
          <w:rFonts w:ascii="宋体" w:hAnsi="宋体" w:cs="Arial"/>
          <w:b/>
          <w:color w:val="333333"/>
          <w:kern w:val="0"/>
          <w:sz w:val="28"/>
          <w:szCs w:val="28"/>
        </w:rPr>
      </w:pPr>
    </w:p>
    <w:p w14:paraId="2668121C">
      <w:pPr>
        <w:widowControl/>
        <w:shd w:val="clear" w:color="auto" w:fill="FFFFFF"/>
        <w:spacing w:line="360" w:lineRule="auto"/>
        <w:ind w:firstLine="562" w:firstLineChars="200"/>
        <w:jc w:val="left"/>
        <w:rPr>
          <w:rFonts w:ascii="宋体" w:hAnsi="宋体" w:cs="Arial"/>
          <w:b/>
          <w:color w:val="333333"/>
          <w:kern w:val="0"/>
          <w:sz w:val="28"/>
          <w:szCs w:val="28"/>
        </w:rPr>
      </w:pPr>
    </w:p>
    <w:p w14:paraId="3062D840">
      <w:pPr>
        <w:widowControl/>
        <w:shd w:val="clear" w:color="auto" w:fill="FFFFFF"/>
        <w:spacing w:line="360" w:lineRule="auto"/>
        <w:ind w:firstLine="562" w:firstLineChars="200"/>
        <w:jc w:val="left"/>
        <w:rPr>
          <w:rFonts w:ascii="宋体" w:hAnsi="宋体" w:cs="Arial"/>
          <w:b/>
          <w:color w:val="333333"/>
          <w:kern w:val="0"/>
          <w:sz w:val="28"/>
          <w:szCs w:val="28"/>
        </w:rPr>
      </w:pPr>
    </w:p>
    <w:p w14:paraId="32BB860E">
      <w:pPr>
        <w:widowControl/>
        <w:shd w:val="clear" w:color="auto" w:fill="FFFFFF"/>
        <w:spacing w:line="360" w:lineRule="auto"/>
        <w:ind w:firstLine="562" w:firstLineChars="200"/>
        <w:jc w:val="left"/>
        <w:rPr>
          <w:rFonts w:ascii="宋体" w:hAnsi="宋体" w:cs="Arial"/>
          <w:b/>
          <w:color w:val="333333"/>
          <w:kern w:val="0"/>
          <w:sz w:val="28"/>
          <w:szCs w:val="28"/>
        </w:rPr>
      </w:pPr>
    </w:p>
    <w:p w14:paraId="3D1763E9">
      <w:pPr>
        <w:widowControl/>
        <w:shd w:val="clear" w:color="auto" w:fill="FFFFFF"/>
        <w:spacing w:line="360" w:lineRule="auto"/>
        <w:ind w:firstLine="562" w:firstLineChars="200"/>
        <w:jc w:val="left"/>
        <w:rPr>
          <w:rFonts w:ascii="宋体" w:hAnsi="宋体" w:cs="Arial"/>
          <w:b/>
          <w:color w:val="333333"/>
          <w:kern w:val="0"/>
          <w:sz w:val="28"/>
          <w:szCs w:val="28"/>
        </w:rPr>
      </w:pPr>
    </w:p>
    <w:p w14:paraId="795E0304">
      <w:pPr>
        <w:widowControl/>
        <w:shd w:val="clear" w:color="auto" w:fill="FFFFFF"/>
        <w:spacing w:line="360" w:lineRule="auto"/>
        <w:ind w:firstLine="562" w:firstLineChars="200"/>
        <w:jc w:val="left"/>
        <w:rPr>
          <w:rFonts w:ascii="宋体" w:hAnsi="宋体" w:cs="Arial"/>
          <w:b/>
          <w:color w:val="333333"/>
          <w:kern w:val="0"/>
          <w:sz w:val="28"/>
          <w:szCs w:val="28"/>
        </w:rPr>
      </w:pPr>
    </w:p>
    <w:p w14:paraId="33BDB70B">
      <w:pPr>
        <w:widowControl/>
        <w:shd w:val="clear" w:color="auto" w:fill="FFFFFF"/>
        <w:spacing w:line="360" w:lineRule="auto"/>
        <w:ind w:firstLine="562" w:firstLineChars="200"/>
        <w:jc w:val="left"/>
        <w:rPr>
          <w:rFonts w:ascii="宋体" w:hAnsi="宋体" w:cs="Arial"/>
          <w:b/>
          <w:color w:val="333333"/>
          <w:kern w:val="0"/>
          <w:sz w:val="28"/>
          <w:szCs w:val="28"/>
        </w:rPr>
      </w:pPr>
    </w:p>
    <w:p w14:paraId="36D83D4B">
      <w:pPr>
        <w:widowControl/>
        <w:shd w:val="clear" w:color="auto" w:fill="FFFFFF"/>
        <w:spacing w:line="360" w:lineRule="auto"/>
        <w:ind w:firstLine="562" w:firstLineChars="200"/>
        <w:jc w:val="left"/>
        <w:rPr>
          <w:rFonts w:ascii="宋体" w:hAnsi="宋体" w:cs="Arial"/>
          <w:b/>
          <w:color w:val="333333"/>
          <w:kern w:val="0"/>
          <w:sz w:val="28"/>
          <w:szCs w:val="28"/>
        </w:rPr>
      </w:pPr>
    </w:p>
    <w:p w14:paraId="54A90356">
      <w:pPr>
        <w:widowControl/>
        <w:shd w:val="clear" w:color="auto" w:fill="FFFFFF"/>
        <w:spacing w:line="360" w:lineRule="auto"/>
        <w:jc w:val="left"/>
        <w:rPr>
          <w:rFonts w:ascii="宋体" w:hAnsi="宋体" w:cs="Arial"/>
          <w:b/>
          <w:color w:val="333333"/>
          <w:kern w:val="0"/>
          <w:sz w:val="28"/>
          <w:szCs w:val="28"/>
        </w:rPr>
      </w:pPr>
    </w:p>
    <w:p w14:paraId="5A11DB37">
      <w:pPr>
        <w:widowControl/>
        <w:ind w:firstLine="482"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2B3F10EC">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学校人力资源管理系统是人事管理的重要支撑平台，当前承担招聘、考核、进校等重要业务，目前系统运行总体稳定。随着应用深度增加与业务优化，系统在保障稳定运行和业务连续性的同时，需快速响应功能定制与需求变更，同时人员培训、数据清洗、系统集成对接等持续性保障需求日益突出，尤其在业务高峰期，需安排驻场技术支持，以确保系统高效服务各项人事工作。</w:t>
      </w:r>
    </w:p>
    <w:p w14:paraId="09CDC1A8">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7211EC5E">
      <w:pPr>
        <w:spacing w:before="156" w:before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服务：</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4"/>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1290"/>
        <w:gridCol w:w="1675"/>
        <w:gridCol w:w="4613"/>
      </w:tblGrid>
      <w:tr w14:paraId="2A05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2A3EF0C6">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757" w:type="pct"/>
            <w:vAlign w:val="center"/>
          </w:tcPr>
          <w:p w14:paraId="18D1C4B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服务名称</w:t>
            </w:r>
          </w:p>
        </w:tc>
        <w:tc>
          <w:tcPr>
            <w:tcW w:w="983" w:type="pct"/>
            <w:vAlign w:val="center"/>
          </w:tcPr>
          <w:p w14:paraId="4CAA9B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服务期限</w:t>
            </w:r>
          </w:p>
        </w:tc>
        <w:tc>
          <w:tcPr>
            <w:tcW w:w="2707" w:type="pct"/>
            <w:vAlign w:val="center"/>
          </w:tcPr>
          <w:p w14:paraId="6D3DC13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服务说明</w:t>
            </w:r>
          </w:p>
        </w:tc>
      </w:tr>
      <w:tr w14:paraId="6AB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097E669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1</w:t>
            </w:r>
          </w:p>
        </w:tc>
        <w:tc>
          <w:tcPr>
            <w:tcW w:w="757" w:type="pct"/>
            <w:vAlign w:val="center"/>
          </w:tcPr>
          <w:p w14:paraId="21EE2FF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通用专项服务</w:t>
            </w:r>
          </w:p>
        </w:tc>
        <w:tc>
          <w:tcPr>
            <w:tcW w:w="983" w:type="pct"/>
            <w:vMerge w:val="restart"/>
          </w:tcPr>
          <w:p w14:paraId="4F982DA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合同签订之日起至2026年12月31日</w:t>
            </w:r>
          </w:p>
        </w:tc>
        <w:tc>
          <w:tcPr>
            <w:tcW w:w="2707" w:type="pct"/>
            <w:vAlign w:val="center"/>
          </w:tcPr>
          <w:p w14:paraId="19BDED2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保障用户掌握系统，满足新业务场景及管理需要的系统功能调整，提供业务系统与其他系统的数据对接</w:t>
            </w:r>
          </w:p>
        </w:tc>
      </w:tr>
      <w:tr w14:paraId="79B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2D53F84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2</w:t>
            </w:r>
          </w:p>
        </w:tc>
        <w:tc>
          <w:tcPr>
            <w:tcW w:w="757" w:type="pct"/>
            <w:vAlign w:val="center"/>
          </w:tcPr>
          <w:p w14:paraId="4D9D65E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业务专项服务</w:t>
            </w:r>
          </w:p>
        </w:tc>
        <w:tc>
          <w:tcPr>
            <w:tcW w:w="983" w:type="pct"/>
            <w:vMerge w:val="continue"/>
          </w:tcPr>
          <w:p w14:paraId="6B26F721">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仿宋_GB2312" w:hAnsi="宋体" w:eastAsia="仿宋_GB2312"/>
                <w:sz w:val="24"/>
                <w:szCs w:val="24"/>
                <w:lang w:val="en-US" w:eastAsia="zh-CN"/>
              </w:rPr>
            </w:pPr>
          </w:p>
        </w:tc>
        <w:tc>
          <w:tcPr>
            <w:tcW w:w="2707" w:type="pct"/>
            <w:vAlign w:val="center"/>
          </w:tcPr>
          <w:p w14:paraId="58BB8E17">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保障招聘系统正常运行；保障年度考核、在线投票等业务正常运行；教职工进校保障服务。保障教工管理业务正常运行。</w:t>
            </w:r>
          </w:p>
        </w:tc>
      </w:tr>
      <w:tr w14:paraId="7055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2" w:type="pct"/>
            <w:vAlign w:val="center"/>
          </w:tcPr>
          <w:p w14:paraId="57400289">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757" w:type="pct"/>
            <w:vAlign w:val="center"/>
          </w:tcPr>
          <w:p w14:paraId="034B7B80">
            <w:pPr>
              <w:widowControl/>
              <w:spacing w:line="360" w:lineRule="auto"/>
              <w:jc w:val="center"/>
              <w:rPr>
                <w:rFonts w:ascii="仿宋_GB2312" w:hAnsi="宋体" w:eastAsia="仿宋_GB2312"/>
                <w:sz w:val="24"/>
                <w:szCs w:val="24"/>
              </w:rPr>
            </w:pPr>
          </w:p>
        </w:tc>
        <w:tc>
          <w:tcPr>
            <w:tcW w:w="983" w:type="pct"/>
            <w:vMerge w:val="continue"/>
          </w:tcPr>
          <w:p w14:paraId="4564B8B0">
            <w:pPr>
              <w:widowControl/>
              <w:spacing w:line="360" w:lineRule="auto"/>
              <w:jc w:val="center"/>
              <w:rPr>
                <w:rFonts w:ascii="仿宋_GB2312" w:hAnsi="宋体" w:eastAsia="仿宋_GB2312"/>
                <w:sz w:val="24"/>
                <w:szCs w:val="24"/>
              </w:rPr>
            </w:pPr>
          </w:p>
        </w:tc>
        <w:tc>
          <w:tcPr>
            <w:tcW w:w="2707" w:type="pct"/>
            <w:vAlign w:val="center"/>
          </w:tcPr>
          <w:p w14:paraId="6E7786E7">
            <w:pPr>
              <w:widowControl/>
              <w:spacing w:line="360" w:lineRule="auto"/>
              <w:jc w:val="center"/>
              <w:rPr>
                <w:rFonts w:ascii="仿宋_GB2312" w:hAnsi="宋体" w:eastAsia="仿宋_GB2312"/>
                <w:sz w:val="24"/>
                <w:szCs w:val="24"/>
              </w:rPr>
            </w:pPr>
            <w:bookmarkStart w:id="0" w:name="_GoBack"/>
            <w:bookmarkEnd w:id="0"/>
          </w:p>
        </w:tc>
      </w:tr>
    </w:tbl>
    <w:p w14:paraId="2B22636E">
      <w:pPr>
        <w:widowControl/>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tbl>
      <w:tblPr>
        <w:tblStyle w:val="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138"/>
        <w:gridCol w:w="975"/>
        <w:gridCol w:w="4562"/>
        <w:gridCol w:w="1081"/>
      </w:tblGrid>
      <w:tr w14:paraId="6FE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44" w:type="dxa"/>
            <w:vAlign w:val="center"/>
          </w:tcPr>
          <w:p w14:paraId="5528491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8" w:type="dxa"/>
            <w:vAlign w:val="center"/>
          </w:tcPr>
          <w:p w14:paraId="2707C54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975" w:type="dxa"/>
            <w:vAlign w:val="center"/>
          </w:tcPr>
          <w:p w14:paraId="3E0D474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4562" w:type="dxa"/>
            <w:vAlign w:val="center"/>
          </w:tcPr>
          <w:p w14:paraId="27930E5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1081" w:type="dxa"/>
            <w:vAlign w:val="center"/>
          </w:tcPr>
          <w:p w14:paraId="6D38CB0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35D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6" w:hRule="atLeast"/>
          <w:jc w:val="center"/>
        </w:trPr>
        <w:tc>
          <w:tcPr>
            <w:tcW w:w="744" w:type="dxa"/>
            <w:vAlign w:val="center"/>
          </w:tcPr>
          <w:p w14:paraId="59907C66">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138" w:type="dxa"/>
            <w:vAlign w:val="center"/>
          </w:tcPr>
          <w:p w14:paraId="79209509">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人员培训服务</w:t>
            </w:r>
          </w:p>
        </w:tc>
        <w:tc>
          <w:tcPr>
            <w:tcW w:w="975" w:type="dxa"/>
            <w:vAlign w:val="center"/>
          </w:tcPr>
          <w:p w14:paraId="0C544944">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562" w:type="dxa"/>
            <w:vAlign w:val="center"/>
          </w:tcPr>
          <w:p w14:paraId="4A52F63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用户熟练掌握系统操作。针对人员变更、岗位调整等情形，提供系统的集中或一对一再培训，涵盖功能操作、系统配置及常见问题排查方法；同时，根据业务流程变化，及时撰写并更新功能操作手册，确保用户能够独立处理常规疑难问题。</w:t>
            </w:r>
          </w:p>
        </w:tc>
        <w:tc>
          <w:tcPr>
            <w:tcW w:w="1081" w:type="dxa"/>
            <w:vAlign w:val="center"/>
          </w:tcPr>
          <w:p w14:paraId="30EA5C45">
            <w:pPr>
              <w:widowControl/>
              <w:spacing w:line="360" w:lineRule="auto"/>
              <w:jc w:val="center"/>
              <w:rPr>
                <w:rFonts w:ascii="仿宋_GB2312" w:hAnsi="宋体" w:eastAsia="仿宋_GB2312"/>
                <w:sz w:val="24"/>
                <w:szCs w:val="24"/>
              </w:rPr>
            </w:pPr>
          </w:p>
        </w:tc>
      </w:tr>
      <w:tr w14:paraId="4E50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7D320BF6">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138" w:type="dxa"/>
            <w:vAlign w:val="center"/>
          </w:tcPr>
          <w:p w14:paraId="45B1C8F9">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需求变更服务</w:t>
            </w:r>
          </w:p>
        </w:tc>
        <w:tc>
          <w:tcPr>
            <w:tcW w:w="975" w:type="dxa"/>
            <w:vAlign w:val="center"/>
          </w:tcPr>
          <w:p w14:paraId="064F7CAD">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562" w:type="dxa"/>
            <w:vAlign w:val="center"/>
          </w:tcPr>
          <w:p w14:paraId="1E89318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满足新业务场景及管理需要，提供系统功能调整服务，包括平台卡片定制开发、轻服务（轻应用）定制开发及业务系统功能需求变更等。服务方应开展需求初步分析与工作量核定，并完成详细分析、设计、开发、测试、部署及与责任部门的结果确认工作。</w:t>
            </w:r>
          </w:p>
        </w:tc>
        <w:tc>
          <w:tcPr>
            <w:tcW w:w="1081" w:type="dxa"/>
            <w:vAlign w:val="center"/>
          </w:tcPr>
          <w:p w14:paraId="7455FC44">
            <w:pPr>
              <w:widowControl/>
              <w:spacing w:line="360" w:lineRule="auto"/>
              <w:jc w:val="center"/>
              <w:rPr>
                <w:rFonts w:ascii="仿宋_GB2312" w:hAnsi="宋体" w:eastAsia="仿宋_GB2312"/>
                <w:sz w:val="24"/>
                <w:szCs w:val="24"/>
              </w:rPr>
            </w:pPr>
          </w:p>
        </w:tc>
      </w:tr>
      <w:tr w14:paraId="7D95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3AFFAFEB">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8" w:type="dxa"/>
            <w:vAlign w:val="center"/>
          </w:tcPr>
          <w:p w14:paraId="1E94ED44">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数据对接与系统集成服务。</w:t>
            </w:r>
          </w:p>
        </w:tc>
        <w:tc>
          <w:tcPr>
            <w:tcW w:w="975" w:type="dxa"/>
            <w:vAlign w:val="center"/>
          </w:tcPr>
          <w:p w14:paraId="5B9551FC">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562" w:type="dxa"/>
            <w:vAlign w:val="center"/>
          </w:tcPr>
          <w:p w14:paraId="4DB4BF1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提供人事系统与其他系统的数据对接服务，配合第三方厂商进行接口调试；将业务系统待办信息、消息推送等集成至学校应用管理平台；完成与学校统一身份认证系统的对接集成，实现数据资源共享。</w:t>
            </w:r>
          </w:p>
          <w:p w14:paraId="301A257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p>
        </w:tc>
        <w:tc>
          <w:tcPr>
            <w:tcW w:w="1081" w:type="dxa"/>
            <w:vAlign w:val="center"/>
          </w:tcPr>
          <w:p w14:paraId="776E3802">
            <w:pPr>
              <w:widowControl/>
              <w:spacing w:line="360" w:lineRule="auto"/>
              <w:jc w:val="center"/>
              <w:rPr>
                <w:rFonts w:ascii="仿宋_GB2312" w:hAnsi="宋体" w:eastAsia="仿宋_GB2312"/>
                <w:sz w:val="24"/>
                <w:szCs w:val="24"/>
              </w:rPr>
            </w:pPr>
          </w:p>
        </w:tc>
      </w:tr>
      <w:tr w14:paraId="4B15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517D440E">
            <w:pPr>
              <w:spacing w:line="360" w:lineRule="auto"/>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4</w:t>
            </w:r>
          </w:p>
        </w:tc>
        <w:tc>
          <w:tcPr>
            <w:tcW w:w="1138" w:type="dxa"/>
            <w:vAlign w:val="center"/>
          </w:tcPr>
          <w:p w14:paraId="4B9D71C8">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招聘保障服务</w:t>
            </w:r>
          </w:p>
        </w:tc>
        <w:tc>
          <w:tcPr>
            <w:tcW w:w="975" w:type="dxa"/>
            <w:vAlign w:val="center"/>
          </w:tcPr>
          <w:p w14:paraId="1AC8A7FC">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4562" w:type="dxa"/>
            <w:vAlign w:val="center"/>
          </w:tcPr>
          <w:p w14:paraId="79449B1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招聘系统正常运行；负责招聘种类（含简历填写项）、岗位要求、审核人员、通知及招聘计划/岗位设置的配置与维护；发布招聘网站通知；导入笔试、面试、体检及心理测试的成绩与结果；发送全过程通知，并受理应聘者技术问题咨询。</w:t>
            </w:r>
          </w:p>
        </w:tc>
        <w:tc>
          <w:tcPr>
            <w:tcW w:w="1081" w:type="dxa"/>
            <w:vAlign w:val="center"/>
          </w:tcPr>
          <w:p w14:paraId="15EF6B0A">
            <w:pPr>
              <w:widowControl/>
              <w:spacing w:line="360" w:lineRule="auto"/>
              <w:jc w:val="center"/>
              <w:rPr>
                <w:rFonts w:ascii="仿宋_GB2312" w:hAnsi="宋体" w:eastAsia="仿宋_GB2312"/>
                <w:sz w:val="24"/>
                <w:szCs w:val="24"/>
              </w:rPr>
            </w:pPr>
          </w:p>
        </w:tc>
      </w:tr>
      <w:tr w14:paraId="474D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4FC87F0C">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5</w:t>
            </w:r>
          </w:p>
        </w:tc>
        <w:tc>
          <w:tcPr>
            <w:tcW w:w="1138" w:type="dxa"/>
            <w:vAlign w:val="center"/>
          </w:tcPr>
          <w:p w14:paraId="2F83DB7E">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考核评价保障服务</w:t>
            </w:r>
          </w:p>
        </w:tc>
        <w:tc>
          <w:tcPr>
            <w:tcW w:w="975" w:type="dxa"/>
            <w:vAlign w:val="center"/>
          </w:tcPr>
          <w:p w14:paraId="082E9B15">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4562" w:type="dxa"/>
            <w:vAlign w:val="center"/>
          </w:tcPr>
          <w:p w14:paraId="1374E5B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年度考核等业务正常运行；负责考核填报类别（填报人员、内容限制）及权限调整、考核批次（含考核部门、特殊人员）设置、报表调整、数据导入导出及考核统计生成；负责系统培训、咨询解答及数据集成与系统问题排查任务。</w:t>
            </w:r>
          </w:p>
        </w:tc>
        <w:tc>
          <w:tcPr>
            <w:tcW w:w="1081" w:type="dxa"/>
            <w:vAlign w:val="center"/>
          </w:tcPr>
          <w:p w14:paraId="25B60E5A">
            <w:pPr>
              <w:widowControl/>
              <w:spacing w:line="360" w:lineRule="auto"/>
              <w:jc w:val="center"/>
              <w:rPr>
                <w:rFonts w:ascii="仿宋_GB2312" w:hAnsi="宋体" w:eastAsia="仿宋_GB2312"/>
                <w:sz w:val="24"/>
                <w:szCs w:val="24"/>
              </w:rPr>
            </w:pPr>
          </w:p>
        </w:tc>
      </w:tr>
      <w:tr w14:paraId="54D7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5B676CA0">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6</w:t>
            </w:r>
          </w:p>
        </w:tc>
        <w:tc>
          <w:tcPr>
            <w:tcW w:w="1138" w:type="dxa"/>
            <w:vAlign w:val="center"/>
          </w:tcPr>
          <w:p w14:paraId="56F7FCA3">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教职工进校保障服务</w:t>
            </w:r>
          </w:p>
        </w:tc>
        <w:tc>
          <w:tcPr>
            <w:tcW w:w="975" w:type="dxa"/>
            <w:vAlign w:val="center"/>
          </w:tcPr>
          <w:p w14:paraId="31151B73">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4562" w:type="dxa"/>
            <w:vAlign w:val="center"/>
          </w:tcPr>
          <w:p w14:paraId="3ADE5F9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教职工进校业务正常运行；负责新进教职工的流程配置、信息采集设置，新进教职工资格审查、工号分配等的业务办理的保障工作，对系统管理员及各类审核人员开展系统使用培训、提供咨询解答与问题排查。</w:t>
            </w:r>
          </w:p>
        </w:tc>
        <w:tc>
          <w:tcPr>
            <w:tcW w:w="1081" w:type="dxa"/>
            <w:vAlign w:val="center"/>
          </w:tcPr>
          <w:p w14:paraId="4F989D1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p>
        </w:tc>
      </w:tr>
      <w:tr w14:paraId="605D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07B59E8A">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7</w:t>
            </w:r>
          </w:p>
        </w:tc>
        <w:tc>
          <w:tcPr>
            <w:tcW w:w="1138" w:type="dxa"/>
            <w:vAlign w:val="center"/>
          </w:tcPr>
          <w:p w14:paraId="164A8172">
            <w:pPr>
              <w:widowControl/>
              <w:spacing w:line="360" w:lineRule="auto"/>
              <w:jc w:val="center"/>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教工管理保障服务</w:t>
            </w:r>
          </w:p>
        </w:tc>
        <w:tc>
          <w:tcPr>
            <w:tcW w:w="975" w:type="dxa"/>
            <w:vAlign w:val="center"/>
          </w:tcPr>
          <w:p w14:paraId="45484734">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4562" w:type="dxa"/>
            <w:vAlign w:val="center"/>
          </w:tcPr>
          <w:p w14:paraId="673CBA8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保障教工管理业务正常运行；负责系统流程、权限的设置与调整；调整相关业务报表模板；协助管理员对教职工数据进行清洗；对系统管理员及各类审核人员开展系统使用培训、咨询解答与问题排查。</w:t>
            </w:r>
          </w:p>
        </w:tc>
        <w:tc>
          <w:tcPr>
            <w:tcW w:w="1081" w:type="dxa"/>
            <w:vAlign w:val="center"/>
          </w:tcPr>
          <w:p w14:paraId="70A9E1B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p>
        </w:tc>
      </w:tr>
      <w:tr w14:paraId="2B7D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4" w:type="dxa"/>
            <w:vAlign w:val="center"/>
          </w:tcPr>
          <w:p w14:paraId="50125625">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8</w:t>
            </w:r>
          </w:p>
        </w:tc>
        <w:tc>
          <w:tcPr>
            <w:tcW w:w="1138" w:type="dxa"/>
            <w:vAlign w:val="center"/>
          </w:tcPr>
          <w:p w14:paraId="15042438">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仿宋_GB2312" w:hAnsi="宋体" w:eastAsia="仿宋_GB2312"/>
                <w:sz w:val="24"/>
                <w:szCs w:val="24"/>
              </w:rPr>
            </w:pPr>
            <w:r>
              <w:rPr>
                <w:rFonts w:hint="eastAsia" w:ascii="仿宋_GB2312" w:hAnsi="仿宋_GB2312" w:eastAsia="仿宋_GB2312" w:cs="仿宋_GB2312"/>
                <w:b/>
                <w:bCs/>
                <w:sz w:val="30"/>
                <w:szCs w:val="30"/>
                <w:lang w:val="en-US" w:eastAsia="zh-CN"/>
              </w:rPr>
              <w:t>驻场服务要求</w:t>
            </w:r>
          </w:p>
        </w:tc>
        <w:tc>
          <w:tcPr>
            <w:tcW w:w="975" w:type="dxa"/>
            <w:vAlign w:val="center"/>
          </w:tcPr>
          <w:p w14:paraId="01160A3C">
            <w:pPr>
              <w:widowControl/>
              <w:spacing w:line="360" w:lineRule="auto"/>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4562" w:type="dxa"/>
            <w:vAlign w:val="center"/>
          </w:tcPr>
          <w:p w14:paraId="723A880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在招聘、考核评价、进校等专项业务期间，服务方须派遣1至2名技术人员驻场，保障业务有序开展。驻场技术人员应具备相关业务系统的开发或运维经验，持有计算机或信息技术相关专业学历证书，并具有同类项目服务经验，能够独立完成系统配置、数据维护及常见故障排查等工作</w:t>
            </w:r>
          </w:p>
        </w:tc>
        <w:tc>
          <w:tcPr>
            <w:tcW w:w="1081" w:type="dxa"/>
            <w:vAlign w:val="center"/>
          </w:tcPr>
          <w:p w14:paraId="285A377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响应或承诺</w:t>
            </w: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A7718E2">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D272944">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4"/>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8C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12E993B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726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163126A2">
            <w:pPr>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6A2CFB5B">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合同签订之日起</w:t>
            </w:r>
            <w:r>
              <w:rPr>
                <w:rFonts w:hint="eastAsia" w:ascii="仿宋_GB2312" w:hAnsi="宋体" w:eastAsia="仿宋_GB2312" w:cs="宋体"/>
                <w:i w:val="0"/>
                <w:iCs/>
                <w:snapToGrid w:val="0"/>
                <w:kern w:val="0"/>
                <w:sz w:val="24"/>
                <w:szCs w:val="24"/>
                <w:lang w:val="en-US" w:eastAsia="zh-CN"/>
              </w:rPr>
              <w:t>至</w:t>
            </w:r>
            <w:r>
              <w:rPr>
                <w:rFonts w:hint="eastAsia" w:ascii="仿宋_GB2312" w:hAnsi="宋体" w:eastAsia="仿宋_GB2312" w:cs="宋体"/>
                <w:i w:val="0"/>
                <w:iCs/>
                <w:snapToGrid w:val="0"/>
                <w:kern w:val="0"/>
                <w:sz w:val="24"/>
                <w:szCs w:val="24"/>
                <w:lang w:val="zh-CN"/>
              </w:rPr>
              <w:t>。</w:t>
            </w:r>
          </w:p>
        </w:tc>
      </w:tr>
      <w:tr w14:paraId="499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11AC0DAE">
            <w:pPr>
              <w:autoSpaceDE w:val="0"/>
              <w:autoSpaceDN w:val="0"/>
              <w:adjustRightInd w:val="0"/>
              <w:snapToGrid w:val="0"/>
              <w:rPr>
                <w:rFonts w:hint="default" w:ascii="仿宋_GB2312" w:hAnsi="宋体" w:eastAsia="仿宋_GB2312" w:cs="宋体"/>
                <w:snapToGrid w:val="0"/>
                <w:kern w:val="0"/>
                <w:sz w:val="24"/>
                <w:szCs w:val="24"/>
                <w:lang w:val="en-US" w:eastAsia="zh-CN"/>
              </w:rPr>
            </w:pPr>
          </w:p>
        </w:tc>
        <w:tc>
          <w:tcPr>
            <w:tcW w:w="5237" w:type="dxa"/>
            <w:vAlign w:val="center"/>
          </w:tcPr>
          <w:p w14:paraId="0F9BCCF1">
            <w:pPr>
              <w:widowControl/>
              <w:autoSpaceDE w:val="0"/>
              <w:autoSpaceDN w:val="0"/>
              <w:adjustRightInd w:val="0"/>
              <w:snapToGrid w:val="0"/>
              <w:jc w:val="left"/>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en-US" w:eastAsia="zh-CN"/>
              </w:rPr>
              <w:t>学校东区教学综合楼</w:t>
            </w:r>
          </w:p>
        </w:tc>
      </w:tr>
      <w:tr w14:paraId="277D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283C62F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185B54B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579C5D11">
            <w:pPr>
              <w:autoSpaceDE w:val="0"/>
              <w:autoSpaceDN w:val="0"/>
              <w:adjustRightInd w:val="0"/>
              <w:snapToGrid w:val="0"/>
              <w:rPr>
                <w:rFonts w:ascii="仿宋_GB2312" w:hAnsi="宋体" w:eastAsia="仿宋_GB2312" w:cs="宋体"/>
                <w:snapToGrid w:val="0"/>
                <w:kern w:val="0"/>
                <w:sz w:val="24"/>
                <w:szCs w:val="24"/>
                <w:lang w:val="zh-CN"/>
              </w:rPr>
            </w:pPr>
          </w:p>
        </w:tc>
        <w:tc>
          <w:tcPr>
            <w:tcW w:w="5237" w:type="dxa"/>
            <w:vAlign w:val="center"/>
          </w:tcPr>
          <w:p w14:paraId="08BC1822">
            <w:pPr>
              <w:widowControl/>
              <w:autoSpaceDE w:val="0"/>
              <w:autoSpaceDN w:val="0"/>
              <w:adjustRightInd w:val="0"/>
              <w:snapToGrid w:val="0"/>
              <w:jc w:val="left"/>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en-US" w:eastAsia="zh-CN"/>
              </w:rPr>
              <w:t>至服务期结束</w:t>
            </w:r>
          </w:p>
        </w:tc>
      </w:tr>
      <w:tr w14:paraId="586C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1D46DE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48626800">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06F20EB9">
            <w:pPr>
              <w:widowControl/>
              <w:autoSpaceDE w:val="0"/>
              <w:autoSpaceDN w:val="0"/>
              <w:adjustRightInd w:val="0"/>
              <w:snapToGrid w:val="0"/>
              <w:jc w:val="center"/>
              <w:rPr>
                <w:rFonts w:ascii="仿宋_GB2312" w:hAnsi="宋体" w:eastAsia="仿宋_GB2312" w:cs="宋体"/>
                <w:snapToGrid w:val="0"/>
                <w:kern w:val="0"/>
                <w:sz w:val="24"/>
                <w:szCs w:val="24"/>
                <w:lang w:val="zh-CN"/>
              </w:rPr>
            </w:pPr>
          </w:p>
          <w:p w14:paraId="1D5928DF">
            <w:pPr>
              <w:widowControl/>
              <w:autoSpaceDE w:val="0"/>
              <w:autoSpaceDN w:val="0"/>
              <w:adjustRightInd w:val="0"/>
              <w:snapToGrid w:val="0"/>
              <w:rPr>
                <w:rFonts w:ascii="仿宋_GB2312" w:hAnsi="宋体" w:eastAsia="仿宋_GB2312" w:cs="宋体"/>
                <w:snapToGrid w:val="0"/>
                <w:kern w:val="0"/>
                <w:sz w:val="24"/>
                <w:szCs w:val="24"/>
                <w:lang w:val="zh-CN"/>
              </w:rPr>
            </w:pPr>
          </w:p>
        </w:tc>
        <w:tc>
          <w:tcPr>
            <w:tcW w:w="5237" w:type="dxa"/>
          </w:tcPr>
          <w:p w14:paraId="2E6EBD56">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供应商应提供货物（货物需为原厂包装）运至项目现场所需要的包装，以防止设备在运输中损坏或丢失。</w:t>
            </w:r>
          </w:p>
        </w:tc>
      </w:tr>
      <w:tr w14:paraId="3255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2" w:type="dxa"/>
            <w:vAlign w:val="center"/>
          </w:tcPr>
          <w:p w14:paraId="2D19764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2B28C7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559B94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30335579">
            <w:pPr>
              <w:widowControl/>
              <w:autoSpaceDE w:val="0"/>
              <w:autoSpaceDN w:val="0"/>
              <w:adjustRightInd w:val="0"/>
              <w:snapToGrid w:val="0"/>
              <w:rPr>
                <w:rFonts w:hint="eastAsia" w:ascii="仿宋_GB2312" w:hAnsi="宋体" w:eastAsia="仿宋_GB2312" w:cs="宋体"/>
                <w:i w:val="0"/>
                <w:iCs/>
                <w:snapToGrid w:val="0"/>
                <w:kern w:val="0"/>
                <w:sz w:val="24"/>
                <w:szCs w:val="24"/>
                <w:lang w:val="zh-CN"/>
              </w:rPr>
            </w:pPr>
          </w:p>
        </w:tc>
        <w:tc>
          <w:tcPr>
            <w:tcW w:w="5237" w:type="dxa"/>
          </w:tcPr>
          <w:p w14:paraId="7CD9B061">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电话报修后</w:t>
            </w:r>
            <w:r>
              <w:rPr>
                <w:rFonts w:hint="eastAsia" w:ascii="仿宋_GB2312" w:hAnsi="宋体" w:eastAsia="仿宋_GB2312" w:cs="宋体"/>
                <w:i w:val="0"/>
                <w:iCs/>
                <w:snapToGrid w:val="0"/>
                <w:kern w:val="0"/>
                <w:sz w:val="24"/>
                <w:szCs w:val="24"/>
                <w:lang w:val="en-US" w:eastAsia="zh-CN"/>
              </w:rPr>
              <w:t>2</w:t>
            </w:r>
            <w:r>
              <w:rPr>
                <w:rFonts w:hint="eastAsia" w:ascii="仿宋_GB2312" w:hAnsi="宋体" w:eastAsia="仿宋_GB2312" w:cs="宋体"/>
                <w:i w:val="0"/>
                <w:iCs/>
                <w:snapToGrid w:val="0"/>
                <w:kern w:val="0"/>
                <w:sz w:val="24"/>
                <w:szCs w:val="24"/>
                <w:lang w:val="zh-CN"/>
              </w:rPr>
              <w:t>小时上门服务、</w:t>
            </w:r>
            <w:r>
              <w:rPr>
                <w:rFonts w:hint="eastAsia" w:ascii="仿宋_GB2312" w:hAnsi="宋体" w:eastAsia="仿宋_GB2312" w:cs="宋体"/>
                <w:i w:val="0"/>
                <w:iCs/>
                <w:snapToGrid w:val="0"/>
                <w:kern w:val="0"/>
                <w:sz w:val="24"/>
                <w:szCs w:val="24"/>
                <w:lang w:val="en-US" w:eastAsia="zh-CN"/>
              </w:rPr>
              <w:t>8</w:t>
            </w:r>
            <w:r>
              <w:rPr>
                <w:rFonts w:hint="eastAsia" w:ascii="仿宋_GB2312" w:hAnsi="宋体" w:eastAsia="仿宋_GB2312" w:cs="宋体"/>
                <w:i w:val="0"/>
                <w:iCs/>
                <w:snapToGrid w:val="0"/>
                <w:kern w:val="0"/>
                <w:sz w:val="24"/>
                <w:szCs w:val="24"/>
                <w:lang w:val="zh-CN"/>
              </w:rPr>
              <w:t>小时内排除故障。</w:t>
            </w:r>
          </w:p>
          <w:p w14:paraId="33469B28">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所有软件过免费保修升级期后继续提供技术支持，软件优惠进行维修升级，响应速度同保修期响应速度。</w:t>
            </w:r>
          </w:p>
        </w:tc>
      </w:tr>
      <w:tr w14:paraId="671B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3467EA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04CC54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19891A91">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6747ADE">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590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DC208B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2361C37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5CAEB25C">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D687763">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提供2</w:t>
            </w:r>
            <w:r>
              <w:rPr>
                <w:rFonts w:hint="eastAsia" w:ascii="仿宋_GB2312" w:hAnsi="宋体" w:eastAsia="仿宋_GB2312" w:cs="宋体"/>
                <w:i w:val="0"/>
                <w:iCs/>
                <w:snapToGrid w:val="0"/>
                <w:kern w:val="0"/>
                <w:sz w:val="24"/>
                <w:szCs w:val="24"/>
                <w:lang w:val="en-US" w:eastAsia="zh-CN"/>
              </w:rPr>
              <w:t>次</w:t>
            </w:r>
            <w:r>
              <w:rPr>
                <w:rFonts w:hint="eastAsia" w:ascii="仿宋_GB2312" w:hAnsi="宋体" w:eastAsia="仿宋_GB2312" w:cs="宋体"/>
                <w:i w:val="0"/>
                <w:iCs/>
                <w:snapToGrid w:val="0"/>
                <w:kern w:val="0"/>
                <w:sz w:val="24"/>
                <w:szCs w:val="24"/>
                <w:lang w:val="zh-CN"/>
              </w:rPr>
              <w:t>现场培训，交通等与培训相关的费用均由成交供应商承担。</w:t>
            </w:r>
          </w:p>
        </w:tc>
      </w:tr>
      <w:tr w14:paraId="683F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A1B79E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4E9EB0D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6BEA1A95">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C1C7111">
            <w:pPr>
              <w:widowControl/>
              <w:autoSpaceDE w:val="0"/>
              <w:autoSpaceDN w:val="0"/>
              <w:adjustRightInd w:val="0"/>
              <w:snapToGrid w:val="0"/>
              <w:jc w:val="left"/>
              <w:rPr>
                <w:rFonts w:hint="eastAsia"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zh-CN"/>
              </w:rPr>
              <w:t>按照供应商响应文件及采购文件确定的技术和服务指标进行验收。</w:t>
            </w:r>
          </w:p>
        </w:tc>
      </w:tr>
      <w:tr w14:paraId="641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6DA1E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3316AAE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5B8F9A7F">
            <w:pPr>
              <w:widowControl/>
              <w:autoSpaceDE w:val="0"/>
              <w:autoSpaceDN w:val="0"/>
              <w:adjustRightInd w:val="0"/>
              <w:snapToGrid w:val="0"/>
              <w:jc w:val="left"/>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zh-CN"/>
              </w:rPr>
              <w:t>合同签订后付100%。</w:t>
            </w:r>
          </w:p>
        </w:tc>
      </w:tr>
      <w:tr w14:paraId="1C8E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ABD2AD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6DB55F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0684337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606F19A2">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r w14:paraId="5D24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8B56EF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1603" w:type="dxa"/>
            <w:vAlign w:val="center"/>
          </w:tcPr>
          <w:p w14:paraId="31C94EF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62641433">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4BCB686A">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p>
        </w:tc>
      </w:tr>
    </w:tbl>
    <w:p w14:paraId="1CE73B4C">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0A07D23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74F51947">
      <w:pPr>
        <w:spacing w:line="360" w:lineRule="auto"/>
        <w:ind w:firstLine="493"/>
        <w:jc w:val="left"/>
        <w:rPr>
          <w:rFonts w:ascii="仿宋_GB2312" w:hAnsi="宋体" w:eastAsia="仿宋_GB2312"/>
          <w:i/>
          <w:sz w:val="24"/>
          <w:szCs w:val="24"/>
        </w:rPr>
      </w:pPr>
      <w:r>
        <w:rPr>
          <w:rFonts w:hint="eastAsia" w:ascii="仿宋_GB2312" w:hAnsi="宋体" w:eastAsia="仿宋_GB2312"/>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3C1946A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631E849B">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64CB64F9">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301B329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lang w:eastAsia="zh-CN"/>
        </w:rPr>
        <w:t>☑</w:t>
      </w:r>
      <w:r>
        <w:rPr>
          <w:rFonts w:hint="eastAsia" w:ascii="仿宋_GB2312" w:hAnsi="宋体" w:eastAsia="仿宋_GB2312"/>
          <w:sz w:val="24"/>
          <w:szCs w:val="24"/>
        </w:rPr>
        <w:t>非专门面向中小企业采购项目</w:t>
      </w:r>
    </w:p>
    <w:p w14:paraId="3358DD85">
      <w:pPr>
        <w:spacing w:line="360" w:lineRule="auto"/>
        <w:ind w:firstLine="493"/>
        <w:jc w:val="left"/>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（填写行业） </w:t>
      </w:r>
      <w:r>
        <w:rPr>
          <w:rFonts w:hint="eastAsia" w:ascii="仿宋_GB2312" w:hAnsi="宋体" w:eastAsia="仿宋_GB2312"/>
          <w:sz w:val="24"/>
          <w:szCs w:val="24"/>
        </w:rPr>
        <w:t xml:space="preserve">    </w:t>
      </w:r>
    </w:p>
    <w:p w14:paraId="26AC65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ABA2D7D"/>
    <w:rsid w:val="210E54DE"/>
    <w:rsid w:val="2D71156A"/>
    <w:rsid w:val="318527C5"/>
    <w:rsid w:val="42124ACC"/>
    <w:rsid w:val="46A751C2"/>
    <w:rsid w:val="50623D7C"/>
    <w:rsid w:val="5DAD333C"/>
    <w:rsid w:val="61B50480"/>
    <w:rsid w:val="61F24E59"/>
    <w:rsid w:val="74503971"/>
    <w:rsid w:val="7C796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2247</Words>
  <Characters>2270</Characters>
  <Lines>0</Lines>
  <Paragraphs>0</Paragraphs>
  <TotalTime>5</TotalTime>
  <ScaleCrop>false</ScaleCrop>
  <LinksUpToDate>false</LinksUpToDate>
  <CharactersWithSpaces>2294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高浪</cp:lastModifiedBy>
  <dcterms:modified xsi:type="dcterms:W3CDTF">2026-07-02T03:17:34Z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1EF47A24BB2D46F98FBF4E701347492D_13</vt:lpwstr>
  </property>
  <property fmtid="{D5CDD505-2E9C-101B-9397-08002B2CF9AE}" pid="4" name="KSOTemplateDocerSaveRecord">
    <vt:lpwstr>eyJoZGlkIjoiYTFjNDU2MjA3NTk4ZWY5N2YzM2ZmNGY0NDVhM2RmYTIiLCJ1c2VySWQiOiIxNDgzMDgyNDkyIn0=</vt:lpwstr>
  </property>
</Properties>
</file>