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3D7CA">
      <w:pPr>
        <w:spacing w:line="400" w:lineRule="exact"/>
        <w:jc w:val="center"/>
        <w:rPr>
          <w:rFonts w:hint="eastAsia" w:ascii="黑体" w:hAnsi="黑体" w:eastAsia="黑体"/>
          <w:b/>
          <w:bCs/>
          <w:sz w:val="28"/>
          <w:szCs w:val="28"/>
          <w:lang w:val="en-US" w:eastAsia="zh-CN"/>
        </w:rPr>
      </w:pPr>
      <w:bookmarkStart w:id="0" w:name="_Hlk95902540"/>
      <w:bookmarkEnd w:id="0"/>
      <w:r>
        <w:rPr>
          <w:rFonts w:hint="eastAsia" w:ascii="黑体" w:hAnsi="黑体" w:eastAsia="黑体"/>
          <w:b/>
          <w:bCs/>
          <w:sz w:val="28"/>
          <w:szCs w:val="28"/>
          <w:lang w:val="en-US" w:eastAsia="zh-CN"/>
        </w:rPr>
        <w:t>技术指标及服务要求</w:t>
      </w:r>
    </w:p>
    <w:p w14:paraId="496D6E7B">
      <w:pPr>
        <w:spacing w:line="400" w:lineRule="exact"/>
        <w:jc w:val="center"/>
        <w:rPr>
          <w:rFonts w:hint="default" w:ascii="黑体" w:hAnsi="黑体" w:eastAsia="黑体"/>
          <w:b/>
          <w:bCs/>
          <w:sz w:val="28"/>
          <w:szCs w:val="28"/>
          <w:lang w:val="en-US" w:eastAsia="zh-CN"/>
        </w:rPr>
      </w:pPr>
    </w:p>
    <w:p w14:paraId="3A10387A">
      <w:pPr>
        <w:spacing w:line="400" w:lineRule="exact"/>
        <w:ind w:firstLine="400" w:firstLineChars="200"/>
        <w:rPr>
          <w:rFonts w:hint="eastAsia" w:ascii="微软雅黑" w:hAnsi="微软雅黑" w:eastAsia="微软雅黑"/>
          <w:b/>
          <w:sz w:val="20"/>
          <w:szCs w:val="20"/>
          <w:lang w:val="en-US" w:eastAsia="zh-CN"/>
        </w:rPr>
      </w:pPr>
      <w:r>
        <w:rPr>
          <w:rFonts w:ascii="微软雅黑" w:hAnsi="微软雅黑" w:eastAsia="微软雅黑"/>
          <w:b/>
          <w:sz w:val="20"/>
          <w:szCs w:val="20"/>
        </w:rPr>
        <w:t>一、</w:t>
      </w:r>
      <w:r>
        <w:rPr>
          <w:rFonts w:hint="eastAsia" w:ascii="微软雅黑" w:hAnsi="微软雅黑" w:eastAsia="微软雅黑"/>
          <w:b/>
          <w:sz w:val="20"/>
          <w:szCs w:val="20"/>
          <w:lang w:val="en-US" w:eastAsia="zh-CN"/>
        </w:rPr>
        <w:t>背景</w:t>
      </w:r>
    </w:p>
    <w:p w14:paraId="1DAA7F22">
      <w:pPr>
        <w:spacing w:line="400" w:lineRule="exact"/>
        <w:ind w:firstLine="400" w:firstLineChars="200"/>
        <w:rPr>
          <w:rFonts w:hint="default" w:ascii="微软雅黑" w:hAnsi="微软雅黑" w:eastAsia="微软雅黑"/>
          <w:color w:val="000000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本次拟对</w:t>
      </w:r>
      <w:r>
        <w:rPr>
          <w:rFonts w:hint="eastAsia" w:ascii="微软雅黑" w:hAnsi="微软雅黑" w:eastAsia="微软雅黑"/>
          <w:b/>
          <w:bCs/>
          <w:color w:val="000000"/>
          <w:sz w:val="20"/>
          <w:szCs w:val="20"/>
          <w:lang w:val="en-US" w:eastAsia="zh-CN"/>
        </w:rPr>
        <w:t>南望山校区西区物探楼及地调院1-2号</w:t>
      </w: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楼网络改造项目进行综合布线工程设计。设计标准需严格按照国家标准及学校《校园网设施建设与管理办法》、《校园网络建设管理实施细则》等标准文件执行。</w:t>
      </w:r>
    </w:p>
    <w:p w14:paraId="10369CD3">
      <w:pPr>
        <w:spacing w:line="400" w:lineRule="exact"/>
        <w:ind w:firstLine="400" w:firstLineChars="200"/>
        <w:rPr>
          <w:rFonts w:ascii="微软雅黑" w:hAnsi="微软雅黑" w:eastAsia="微软雅黑"/>
          <w:b/>
          <w:sz w:val="20"/>
          <w:szCs w:val="20"/>
        </w:rPr>
      </w:pPr>
      <w:r>
        <w:rPr>
          <w:rFonts w:ascii="微软雅黑" w:hAnsi="微软雅黑" w:eastAsia="微软雅黑"/>
          <w:b/>
          <w:sz w:val="20"/>
          <w:szCs w:val="20"/>
        </w:rPr>
        <w:t>二、</w:t>
      </w:r>
      <w:r>
        <w:rPr>
          <w:rFonts w:hint="eastAsia" w:ascii="微软雅黑" w:hAnsi="微软雅黑" w:eastAsia="微软雅黑"/>
          <w:b/>
          <w:sz w:val="20"/>
          <w:szCs w:val="20"/>
          <w:lang w:val="en-US" w:eastAsia="zh-CN"/>
        </w:rPr>
        <w:t>基本拓扑</w:t>
      </w:r>
    </w:p>
    <w:p w14:paraId="0185A986">
      <w:pPr>
        <w:ind w:left="0" w:leftChars="0" w:firstLine="420" w:firstLineChars="200"/>
        <w:jc w:val="center"/>
      </w:pPr>
    </w:p>
    <w:p w14:paraId="078B9B4D">
      <w:pPr>
        <w:ind w:left="0" w:leftChars="0" w:firstLine="420" w:firstLineChars="200"/>
        <w:jc w:val="center"/>
        <w:rPr>
          <w:rFonts w:ascii="微软雅黑" w:hAnsi="微软雅黑" w:eastAsia="微软雅黑"/>
          <w:color w:val="000000"/>
          <w:sz w:val="20"/>
          <w:szCs w:val="20"/>
        </w:rPr>
      </w:pPr>
      <w:r>
        <w:drawing>
          <wp:inline distT="0" distB="0" distL="114300" distR="114300">
            <wp:extent cx="2745740" cy="2962910"/>
            <wp:effectExtent l="0" t="0" r="1651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rcRect r="47866"/>
                    <a:stretch>
                      <a:fillRect/>
                    </a:stretch>
                  </pic:blipFill>
                  <pic:spPr>
                    <a:xfrm>
                      <a:off x="0" y="0"/>
                      <a:ext cx="274574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4B078">
      <w:pPr>
        <w:numPr>
          <w:ilvl w:val="0"/>
          <w:numId w:val="1"/>
        </w:numPr>
        <w:spacing w:line="400" w:lineRule="exact"/>
        <w:ind w:left="425" w:hanging="425" w:firstLineChars="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ascii="微软雅黑" w:hAnsi="微软雅黑" w:eastAsia="微软雅黑"/>
          <w:color w:val="000000"/>
          <w:sz w:val="20"/>
          <w:szCs w:val="20"/>
        </w:rPr>
        <w:t>要求敷设2条12芯单模光缆走不同路由到室外光交箱，设立汇聚机柜一个。楼内实施符合智能楼宇规范的综合布线，每层或2-3层设立一个弱电间，将每层的光缆汇聚在汇聚机柜中。每</w:t>
      </w: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个</w:t>
      </w:r>
      <w:r>
        <w:rPr>
          <w:rFonts w:ascii="微软雅黑" w:hAnsi="微软雅黑" w:eastAsia="微软雅黑"/>
          <w:color w:val="000000"/>
          <w:sz w:val="20"/>
          <w:szCs w:val="20"/>
        </w:rPr>
        <w:t>机柜独立供电，汇聚到楼内总供电配电箱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；</w:t>
      </w:r>
    </w:p>
    <w:p w14:paraId="52D77D18">
      <w:pPr>
        <w:numPr>
          <w:ilvl w:val="0"/>
          <w:numId w:val="1"/>
        </w:numPr>
        <w:spacing w:line="400" w:lineRule="exact"/>
        <w:ind w:left="425" w:hanging="425" w:firstLineChars="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ascii="微软雅黑" w:hAnsi="微软雅黑" w:eastAsia="微软雅黑"/>
          <w:color w:val="000000"/>
          <w:sz w:val="20"/>
          <w:szCs w:val="20"/>
        </w:rPr>
        <w:t>对所有楼栋进行地勘，确定每层楼机柜、供电柜的位置、楼栋汇聚机柜的位置，以及垂直、水平桥架/线槽/线管的走向；</w:t>
      </w:r>
    </w:p>
    <w:p w14:paraId="7C5F407E">
      <w:pPr>
        <w:numPr>
          <w:ilvl w:val="0"/>
          <w:numId w:val="1"/>
        </w:numPr>
        <w:spacing w:line="400" w:lineRule="exact"/>
        <w:ind w:left="425" w:hanging="425" w:firstLineChars="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ascii="微软雅黑" w:hAnsi="微软雅黑" w:eastAsia="微软雅黑"/>
          <w:color w:val="000000"/>
          <w:sz w:val="20"/>
          <w:szCs w:val="20"/>
        </w:rPr>
        <w:t>确定楼到室外光交光缆敷设的路由，并绘制路由图；</w:t>
      </w:r>
    </w:p>
    <w:p w14:paraId="50E7B2F6">
      <w:pPr>
        <w:numPr>
          <w:ilvl w:val="0"/>
          <w:numId w:val="1"/>
        </w:numPr>
        <w:spacing w:line="400" w:lineRule="exact"/>
        <w:ind w:left="425" w:hanging="425" w:firstLineChars="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ascii="微软雅黑" w:hAnsi="微软雅黑" w:eastAsia="微软雅黑"/>
          <w:color w:val="000000"/>
          <w:sz w:val="20"/>
          <w:szCs w:val="20"/>
        </w:rPr>
        <w:t>楼内原有网络机柜均需设计一条12芯单模光缆与楼内新汇聚机柜互联并两头成端。</w:t>
      </w:r>
    </w:p>
    <w:p w14:paraId="3307D937">
      <w:pPr>
        <w:spacing w:line="400" w:lineRule="exact"/>
        <w:ind w:firstLine="400" w:firstLineChars="200"/>
        <w:rPr>
          <w:rFonts w:ascii="微软雅黑" w:hAnsi="微软雅黑" w:eastAsia="微软雅黑"/>
          <w:b/>
          <w:sz w:val="20"/>
          <w:szCs w:val="20"/>
        </w:rPr>
      </w:pPr>
      <w:r>
        <w:rPr>
          <w:rFonts w:hint="eastAsia" w:ascii="微软雅黑" w:hAnsi="微软雅黑" w:eastAsia="微软雅黑"/>
          <w:b/>
          <w:sz w:val="20"/>
          <w:szCs w:val="20"/>
          <w:lang w:val="en-US" w:eastAsia="zh-CN"/>
        </w:rPr>
        <w:t>三、</w:t>
      </w:r>
      <w:r>
        <w:rPr>
          <w:rFonts w:ascii="微软雅黑" w:hAnsi="微软雅黑" w:eastAsia="微软雅黑"/>
          <w:b/>
          <w:sz w:val="20"/>
          <w:szCs w:val="20"/>
        </w:rPr>
        <w:t>信息点位数量规定</w:t>
      </w:r>
    </w:p>
    <w:p w14:paraId="1168FECD">
      <w:pPr>
        <w:numPr>
          <w:ilvl w:val="0"/>
          <w:numId w:val="2"/>
        </w:numPr>
        <w:spacing w:line="400" w:lineRule="exact"/>
        <w:ind w:left="425" w:hanging="425" w:firstLineChars="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ascii="微软雅黑" w:hAnsi="微软雅黑" w:eastAsia="微软雅黑"/>
          <w:color w:val="000000"/>
          <w:sz w:val="20"/>
          <w:szCs w:val="20"/>
        </w:rPr>
        <w:t>办公室有线信息点位按“每9平方米1个点位+1个冗余点位”设计，无线点位均按“每办公室各1个点位”设计；</w:t>
      </w:r>
    </w:p>
    <w:p w14:paraId="69CCB412">
      <w:pPr>
        <w:numPr>
          <w:ilvl w:val="0"/>
          <w:numId w:val="2"/>
        </w:numPr>
        <w:spacing w:line="400" w:lineRule="exact"/>
        <w:ind w:left="425" w:hanging="425" w:firstLineChars="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ascii="微软雅黑" w:hAnsi="微软雅黑" w:eastAsia="微软雅黑"/>
          <w:color w:val="000000"/>
          <w:sz w:val="20"/>
          <w:szCs w:val="20"/>
        </w:rPr>
        <w:t>学生机房、教室、多功能室、大型会议室等需设计室内弱电箱，采用8芯室内型铠装光缆（阻燃、防鼠咬）入室，且必须进入室内弱电箱，无线点位按“每30平方米一个点位”设计，有线点位按需设计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；</w:t>
      </w:r>
    </w:p>
    <w:p w14:paraId="0ED0CA8F">
      <w:pPr>
        <w:numPr>
          <w:ilvl w:val="0"/>
          <w:numId w:val="2"/>
        </w:numPr>
        <w:spacing w:line="400" w:lineRule="exact"/>
        <w:ind w:left="425" w:leftChars="0" w:hanging="425" w:firstLineChars="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ascii="微软雅黑" w:hAnsi="微软雅黑" w:eastAsia="微软雅黑"/>
          <w:color w:val="000000"/>
          <w:sz w:val="20"/>
          <w:szCs w:val="20"/>
        </w:rPr>
        <w:t>有线及无线信息点全部成端，弱电间机柜端全部采用24口配线架。楼内弱电间网络机柜之间布放24芯单模垂直互联光缆，光纤配线架全部采用24芯规格。</w:t>
      </w:r>
    </w:p>
    <w:p w14:paraId="70CAFFA8">
      <w:pPr>
        <w:numPr>
          <w:ilvl w:val="0"/>
          <w:numId w:val="2"/>
        </w:numPr>
        <w:spacing w:line="400" w:lineRule="exact"/>
        <w:ind w:left="425" w:leftChars="0" w:hanging="425" w:firstLineChars="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地调院1-2号楼以现场勘察情况为准。</w:t>
      </w:r>
    </w:p>
    <w:p w14:paraId="09010BC7">
      <w:pPr>
        <w:spacing w:line="400" w:lineRule="exact"/>
        <w:ind w:firstLine="400" w:firstLineChars="200"/>
        <w:rPr>
          <w:rFonts w:hint="default" w:ascii="微软雅黑" w:hAnsi="微软雅黑" w:eastAsia="微软雅黑"/>
          <w:b/>
          <w:sz w:val="20"/>
          <w:szCs w:val="20"/>
          <w:lang w:val="en-US"/>
        </w:rPr>
      </w:pPr>
      <w:r>
        <w:rPr>
          <w:rFonts w:hint="eastAsia" w:ascii="微软雅黑" w:hAnsi="微软雅黑" w:eastAsia="微软雅黑"/>
          <w:b/>
          <w:sz w:val="20"/>
          <w:szCs w:val="20"/>
          <w:lang w:val="en-US" w:eastAsia="zh-CN"/>
        </w:rPr>
        <w:t>四、设计成果交付物</w:t>
      </w:r>
    </w:p>
    <w:p w14:paraId="123A70B0">
      <w:pPr>
        <w:spacing w:line="400" w:lineRule="exact"/>
        <w:ind w:firstLine="400" w:firstLineChars="20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hint="eastAsia" w:ascii="微软雅黑" w:hAnsi="微软雅黑" w:eastAsia="微软雅黑"/>
          <w:color w:val="000000"/>
          <w:sz w:val="20"/>
          <w:szCs w:val="20"/>
        </w:rPr>
        <w:t>（1）</w:t>
      </w:r>
      <w:r>
        <w:rPr>
          <w:rFonts w:ascii="微软雅黑" w:hAnsi="微软雅黑" w:eastAsia="微软雅黑"/>
          <w:color w:val="000000"/>
          <w:sz w:val="20"/>
          <w:szCs w:val="20"/>
        </w:rPr>
        <w:t>综合布线设计方案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；</w:t>
      </w:r>
    </w:p>
    <w:p w14:paraId="1F8E2C0E">
      <w:pPr>
        <w:spacing w:line="400" w:lineRule="exact"/>
        <w:ind w:firstLine="400" w:firstLineChars="20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hint="eastAsia" w:ascii="微软雅黑" w:hAnsi="微软雅黑" w:eastAsia="微软雅黑"/>
          <w:color w:val="000000"/>
          <w:sz w:val="20"/>
          <w:szCs w:val="20"/>
        </w:rPr>
        <w:t>（</w:t>
      </w: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2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）</w:t>
      </w:r>
      <w:r>
        <w:rPr>
          <w:rFonts w:ascii="微软雅黑" w:hAnsi="微软雅黑" w:eastAsia="微软雅黑"/>
          <w:color w:val="000000"/>
          <w:sz w:val="20"/>
          <w:szCs w:val="20"/>
        </w:rPr>
        <w:t>各楼宇弱电布线平面图包含（楼内综合布线桥架管线、信息点位标注（普密高密AP区分）、机柜布局图、配电系统图、系统拓扑图等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；</w:t>
      </w:r>
    </w:p>
    <w:p w14:paraId="34B0604B">
      <w:pPr>
        <w:spacing w:line="400" w:lineRule="exact"/>
        <w:ind w:firstLine="400" w:firstLineChars="20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hint="eastAsia" w:ascii="微软雅黑" w:hAnsi="微软雅黑" w:eastAsia="微软雅黑"/>
          <w:color w:val="000000"/>
          <w:sz w:val="20"/>
          <w:szCs w:val="20"/>
        </w:rPr>
        <w:t>（</w:t>
      </w: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3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）</w:t>
      </w:r>
      <w:r>
        <w:rPr>
          <w:rFonts w:ascii="微软雅黑" w:hAnsi="微软雅黑" w:eastAsia="微软雅黑"/>
          <w:color w:val="000000"/>
          <w:sz w:val="20"/>
          <w:szCs w:val="20"/>
        </w:rPr>
        <w:t>室外光缆路由图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；</w:t>
      </w:r>
    </w:p>
    <w:p w14:paraId="1BDEA98E">
      <w:pPr>
        <w:spacing w:line="400" w:lineRule="exact"/>
        <w:ind w:firstLine="400" w:firstLineChars="20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hint="eastAsia" w:ascii="微软雅黑" w:hAnsi="微软雅黑" w:eastAsia="微软雅黑"/>
          <w:color w:val="000000"/>
          <w:sz w:val="20"/>
          <w:szCs w:val="20"/>
        </w:rPr>
        <w:t>（</w:t>
      </w: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4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）</w:t>
      </w:r>
      <w:r>
        <w:rPr>
          <w:rFonts w:ascii="微软雅黑" w:hAnsi="微软雅黑" w:eastAsia="微软雅黑"/>
          <w:color w:val="000000"/>
          <w:sz w:val="20"/>
          <w:szCs w:val="20"/>
        </w:rPr>
        <w:t>设备及材料清单（光缆用量、6类双绞线用量、ODF架的数量、机柜规格及数量、桥架/线槽/线管数量、水平及垂直桥架用量、24口配线架数量、48口及24口网络交换机的数量等、多媒体箱用量、分光</w:t>
      </w: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设备</w:t>
      </w:r>
      <w:r>
        <w:rPr>
          <w:rFonts w:ascii="微软雅黑" w:hAnsi="微软雅黑" w:eastAsia="微软雅黑"/>
          <w:color w:val="000000"/>
          <w:sz w:val="20"/>
          <w:szCs w:val="20"/>
        </w:rPr>
        <w:t>汇聚箱用量、</w:t>
      </w:r>
      <w:r>
        <w:rPr>
          <w:rFonts w:hint="eastAsia" w:ascii="微软雅黑" w:hAnsi="微软雅黑" w:eastAsia="微软雅黑"/>
          <w:sz w:val="20"/>
          <w:szCs w:val="20"/>
          <w:lang w:val="en-US" w:eastAsia="zh-CN"/>
        </w:rPr>
        <w:t>光接入设备</w:t>
      </w:r>
      <w:r>
        <w:rPr>
          <w:rFonts w:ascii="微软雅黑" w:hAnsi="微软雅黑" w:eastAsia="微软雅黑"/>
          <w:color w:val="000000"/>
          <w:sz w:val="20"/>
          <w:szCs w:val="20"/>
        </w:rPr>
        <w:t>用量、皮缆用量等）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；</w:t>
      </w:r>
    </w:p>
    <w:p w14:paraId="15F810C1">
      <w:pPr>
        <w:spacing w:line="400" w:lineRule="exact"/>
        <w:ind w:firstLine="400" w:firstLineChars="200"/>
        <w:rPr>
          <w:rFonts w:ascii="微软雅黑" w:hAnsi="微软雅黑" w:eastAsia="微软雅黑"/>
          <w:color w:val="000000"/>
          <w:sz w:val="20"/>
          <w:szCs w:val="20"/>
        </w:rPr>
      </w:pPr>
      <w:r>
        <w:rPr>
          <w:rFonts w:hint="eastAsia" w:ascii="微软雅黑" w:hAnsi="微软雅黑" w:eastAsia="微软雅黑"/>
          <w:color w:val="000000"/>
          <w:sz w:val="20"/>
          <w:szCs w:val="20"/>
        </w:rPr>
        <w:t>（</w:t>
      </w: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5</w:t>
      </w:r>
      <w:r>
        <w:rPr>
          <w:rFonts w:hint="eastAsia" w:ascii="微软雅黑" w:hAnsi="微软雅黑" w:eastAsia="微软雅黑"/>
          <w:color w:val="000000"/>
          <w:sz w:val="20"/>
          <w:szCs w:val="20"/>
        </w:rPr>
        <w:t>）</w:t>
      </w:r>
      <w:r>
        <w:rPr>
          <w:rFonts w:ascii="微软雅黑" w:hAnsi="微软雅黑" w:eastAsia="微软雅黑"/>
          <w:color w:val="000000"/>
          <w:sz w:val="20"/>
          <w:szCs w:val="20"/>
        </w:rPr>
        <w:t>文中未提及需求按照实际情况</w:t>
      </w:r>
      <w:r>
        <w:rPr>
          <w:rFonts w:hint="eastAsia" w:ascii="微软雅黑" w:hAnsi="微软雅黑" w:eastAsia="微软雅黑"/>
          <w:color w:val="000000"/>
          <w:sz w:val="20"/>
          <w:szCs w:val="20"/>
          <w:lang w:val="en-US" w:eastAsia="zh-CN"/>
        </w:rPr>
        <w:t>校方确认</w:t>
      </w:r>
      <w:bookmarkStart w:id="1" w:name="_GoBack"/>
      <w:bookmarkEnd w:id="1"/>
      <w:r>
        <w:rPr>
          <w:rFonts w:ascii="微软雅黑" w:hAnsi="微软雅黑" w:eastAsia="微软雅黑"/>
          <w:color w:val="000000"/>
          <w:sz w:val="20"/>
          <w:szCs w:val="20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FFAA32"/>
    <w:multiLevelType w:val="singleLevel"/>
    <w:tmpl w:val="96FFAA3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987F6433"/>
    <w:multiLevelType w:val="singleLevel"/>
    <w:tmpl w:val="987F643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FlYjhhYTRiNzRhN2QyNzIwMDVmNGU0OGFiZjM2ZTIifQ=="/>
  </w:docVars>
  <w:rsids>
    <w:rsidRoot w:val="00BA0C1A"/>
    <w:rsid w:val="00025DEA"/>
    <w:rsid w:val="00037329"/>
    <w:rsid w:val="00086AE3"/>
    <w:rsid w:val="000C51B7"/>
    <w:rsid w:val="0013517B"/>
    <w:rsid w:val="00171402"/>
    <w:rsid w:val="00197190"/>
    <w:rsid w:val="001F08A7"/>
    <w:rsid w:val="00216EB9"/>
    <w:rsid w:val="00287FF4"/>
    <w:rsid w:val="00461D4E"/>
    <w:rsid w:val="0059531B"/>
    <w:rsid w:val="00616505"/>
    <w:rsid w:val="0062213C"/>
    <w:rsid w:val="00633F40"/>
    <w:rsid w:val="006549AD"/>
    <w:rsid w:val="00684D9C"/>
    <w:rsid w:val="00685A22"/>
    <w:rsid w:val="00742AD5"/>
    <w:rsid w:val="007E4AA4"/>
    <w:rsid w:val="008A2BAE"/>
    <w:rsid w:val="008A33BE"/>
    <w:rsid w:val="00933398"/>
    <w:rsid w:val="00A60633"/>
    <w:rsid w:val="00BA0C1A"/>
    <w:rsid w:val="00BB62F5"/>
    <w:rsid w:val="00C061CB"/>
    <w:rsid w:val="00C23F81"/>
    <w:rsid w:val="00C604EC"/>
    <w:rsid w:val="00DF4A3D"/>
    <w:rsid w:val="00E04307"/>
    <w:rsid w:val="00E26251"/>
    <w:rsid w:val="00E31BED"/>
    <w:rsid w:val="00E80779"/>
    <w:rsid w:val="00EA1EE8"/>
    <w:rsid w:val="00F325AE"/>
    <w:rsid w:val="00F53662"/>
    <w:rsid w:val="083D07F0"/>
    <w:rsid w:val="0B183F48"/>
    <w:rsid w:val="105E3B74"/>
    <w:rsid w:val="13A16185"/>
    <w:rsid w:val="19B412DF"/>
    <w:rsid w:val="1C2C4424"/>
    <w:rsid w:val="1CD54CE6"/>
    <w:rsid w:val="1D36198D"/>
    <w:rsid w:val="1DEC38DC"/>
    <w:rsid w:val="30456175"/>
    <w:rsid w:val="364739F4"/>
    <w:rsid w:val="36772279"/>
    <w:rsid w:val="37703E77"/>
    <w:rsid w:val="37B716CD"/>
    <w:rsid w:val="434067C1"/>
    <w:rsid w:val="4611376C"/>
    <w:rsid w:val="46AB04D3"/>
    <w:rsid w:val="54D65089"/>
    <w:rsid w:val="5578793D"/>
    <w:rsid w:val="568D20C3"/>
    <w:rsid w:val="58AC2DB3"/>
    <w:rsid w:val="5A235E41"/>
    <w:rsid w:val="650053A4"/>
    <w:rsid w:val="6EAF13B0"/>
    <w:rsid w:val="6FF06ABB"/>
    <w:rsid w:val="71061E72"/>
    <w:rsid w:val="78242F12"/>
    <w:rsid w:val="7A3B2499"/>
    <w:rsid w:val="7C10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240" w:after="240" w:line="408" w:lineRule="auto"/>
      <w:jc w:val="left"/>
      <w:outlineLvl w:val="0"/>
    </w:pPr>
    <w:rPr>
      <w:b/>
      <w:bCs/>
      <w:color w:val="000000"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6EE683BC-72AD-42AF-B579-380D912C1E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791</Words>
  <Characters>810</Characters>
  <Lines>26</Lines>
  <Paragraphs>7</Paragraphs>
  <TotalTime>253</TotalTime>
  <ScaleCrop>false</ScaleCrop>
  <LinksUpToDate>false</LinksUpToDate>
  <CharactersWithSpaces>810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2022-02-16T03:31:00Z</dcterms:created>
  <dc:creator>Tencent</dc:creator>
  <cp:lastModifiedBy>赵云翔</cp:lastModifiedBy>
  <dcterms:modified xsi:type="dcterms:W3CDTF">2025-06-11T07:16:25Z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063226EABB054CC7A00218F7EF5533A7_13</vt:lpwstr>
  </property>
  <property fmtid="{D5CDD505-2E9C-101B-9397-08002B2CF9AE}" pid="4" name="KSOTemplateDocerSaveRecord">
    <vt:lpwstr>eyJoZGlkIjoiNTQxNWE0ZDgyYjc0NjVhM2UzYmRiOTAzMTU5MDJlZmQiLCJ1c2VySWQiOiIxNDg2NDUyNDAxIn0=</vt:lpwstr>
  </property>
</Properties>
</file>