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CDD55D">
      <w:pPr>
        <w:widowControl/>
        <w:adjustRightInd w:val="0"/>
        <w:snapToGrid w:val="0"/>
        <w:spacing w:line="600" w:lineRule="exact"/>
        <w:jc w:val="left"/>
        <w:outlineLvl w:val="1"/>
        <w:rPr>
          <w:rFonts w:hint="eastAsia" w:ascii="仿宋_GB2312" w:hAnsi="方正小标宋简体" w:eastAsia="仿宋_GB2312" w:cs="宋体"/>
          <w:b/>
          <w:bCs/>
          <w:kern w:val="36"/>
          <w:sz w:val="32"/>
          <w:szCs w:val="32"/>
        </w:rPr>
      </w:pPr>
      <w:r>
        <w:rPr>
          <w:rFonts w:hint="eastAsia" w:ascii="仿宋_GB2312" w:hAnsi="方正小标宋简体" w:eastAsia="仿宋_GB2312" w:cs="宋体"/>
          <w:b/>
          <w:bCs/>
          <w:kern w:val="36"/>
          <w:sz w:val="32"/>
          <w:szCs w:val="32"/>
        </w:rPr>
        <w:t>附件1：</w:t>
      </w:r>
    </w:p>
    <w:p w14:paraId="7E7EFE1D">
      <w:pPr>
        <w:pStyle w:val="4"/>
        <w:spacing w:before="0" w:after="0" w:line="360" w:lineRule="auto"/>
        <w:rPr>
          <w:rFonts w:hint="eastAsia" w:ascii="宋体" w:hAnsi="宋体"/>
          <w:szCs w:val="28"/>
        </w:rPr>
      </w:pPr>
      <w:r>
        <w:rPr>
          <w:rFonts w:hint="eastAsia" w:ascii="宋体" w:hAnsi="宋体"/>
          <w:szCs w:val="28"/>
        </w:rPr>
        <w:drawing>
          <wp:inline distT="0" distB="0" distL="114300" distR="114300">
            <wp:extent cx="2712085" cy="636270"/>
            <wp:effectExtent l="0" t="0" r="635" b="3810"/>
            <wp:docPr id="6" name="图片 1" descr="1668069378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 descr="166806937863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12085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E79A9D">
      <w:pPr>
        <w:pStyle w:val="4"/>
        <w:spacing w:before="0" w:after="0" w:line="360" w:lineRule="auto"/>
        <w:jc w:val="center"/>
        <w:rPr>
          <w:rFonts w:hint="eastAsia" w:ascii="宋体" w:hAnsi="宋体"/>
          <w:szCs w:val="28"/>
        </w:rPr>
      </w:pPr>
    </w:p>
    <w:p w14:paraId="18237173">
      <w:pPr>
        <w:pStyle w:val="4"/>
        <w:spacing w:before="0" w:after="0" w:line="360" w:lineRule="auto"/>
        <w:jc w:val="center"/>
        <w:rPr>
          <w:rFonts w:hint="eastAsia" w:ascii="宋体" w:hAnsi="宋体"/>
          <w:szCs w:val="28"/>
        </w:rPr>
      </w:pPr>
    </w:p>
    <w:p w14:paraId="22C3F849"/>
    <w:p w14:paraId="5318C223">
      <w:pPr>
        <w:rPr>
          <w:rFonts w:hint="eastAsia" w:ascii="宋体" w:hAnsi="宋体"/>
          <w:szCs w:val="28"/>
        </w:rPr>
      </w:pPr>
    </w:p>
    <w:p w14:paraId="77DCACB3">
      <w:pPr>
        <w:jc w:val="center"/>
        <w:rPr>
          <w:rFonts w:hint="eastAsia" w:ascii="方正小标宋简体" w:hAnsi="方正小标宋简体" w:eastAsia="方正小标宋简体"/>
          <w:sz w:val="48"/>
          <w:szCs w:val="48"/>
        </w:rPr>
      </w:pPr>
      <w:r>
        <w:rPr>
          <w:rFonts w:hint="eastAsia" w:ascii="方正小标宋简体" w:hAnsi="方正小标宋简体" w:eastAsia="方正小标宋简体"/>
          <w:sz w:val="48"/>
          <w:szCs w:val="48"/>
        </w:rPr>
        <w:t>采 购 需 求 书</w:t>
      </w:r>
    </w:p>
    <w:p w14:paraId="67DA561F"/>
    <w:p w14:paraId="3E26D048">
      <w:pPr>
        <w:ind w:firstLine="1044" w:firstLineChars="400"/>
        <w:rPr>
          <w:rFonts w:hint="eastAsia" w:ascii="仿宋" w:hAnsi="仿宋" w:eastAsia="仿宋" w:cs="仿宋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14:paraId="72113F02">
      <w:pPr>
        <w:ind w:firstLine="1044" w:firstLineChars="400"/>
        <w:rPr>
          <w:rFonts w:hint="eastAsia" w:ascii="仿宋" w:hAnsi="仿宋" w:eastAsia="仿宋" w:cs="仿宋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14:paraId="1AAB1C4D">
      <w:pPr>
        <w:ind w:firstLine="1044" w:firstLineChars="400"/>
        <w:rPr>
          <w:rFonts w:hint="eastAsia" w:ascii="仿宋" w:hAnsi="仿宋" w:eastAsia="仿宋" w:cs="仿宋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14:paraId="31697118">
      <w:pPr>
        <w:spacing w:line="720" w:lineRule="auto"/>
        <w:ind w:firstLine="2108" w:firstLineChars="659"/>
        <w:rPr>
          <w:rFonts w:hint="eastAsia" w:ascii="方正小标宋简体" w:hAnsi="方正小标宋简体" w:eastAsia="方正小标宋简体" w:cs="Calibri"/>
          <w:color w:val="000000"/>
          <w:kern w:val="0"/>
          <w:sz w:val="32"/>
          <w:szCs w:val="32"/>
          <w:u w:val="single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bCs/>
          <w:color w:val="000000"/>
          <w:kern w:val="0"/>
          <w:sz w:val="32"/>
          <w:szCs w:val="32"/>
          <w:shd w:val="clear" w:color="auto" w:fill="FFFFFF"/>
        </w:rPr>
        <w:t>项目名称：</w:t>
      </w:r>
      <w:r>
        <w:rPr>
          <w:rFonts w:hint="eastAsia"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202</w:t>
      </w:r>
      <w:r>
        <w:rPr>
          <w:rFonts w:hint="eastAsia"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  <w:lang w:val="en-US" w:eastAsia="zh-CN"/>
        </w:rPr>
        <w:t>6</w:t>
      </w:r>
      <w:r>
        <w:rPr>
          <w:rFonts w:hint="eastAsia"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年度年度数据分析支持服务</w:t>
      </w:r>
    </w:p>
    <w:p w14:paraId="35246542">
      <w:pPr>
        <w:spacing w:line="720" w:lineRule="auto"/>
        <w:ind w:firstLine="2108" w:firstLineChars="659"/>
        <w:rPr>
          <w:rFonts w:hint="eastAsia" w:ascii="方正小标宋简体" w:hAnsi="方正小标宋简体" w:eastAsia="方正小标宋简体" w:cs="Calibri"/>
          <w:color w:val="000000"/>
          <w:kern w:val="0"/>
          <w:sz w:val="32"/>
          <w:szCs w:val="32"/>
          <w:u w:val="single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bCs/>
          <w:color w:val="000000"/>
          <w:kern w:val="0"/>
          <w:sz w:val="32"/>
          <w:szCs w:val="32"/>
          <w:shd w:val="clear" w:color="auto" w:fill="FFFFFF"/>
        </w:rPr>
        <w:t>用户单位：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</w:t>
      </w:r>
      <w:r>
        <w:rPr>
          <w:rFonts w:hint="eastAsia"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信息化工作办公室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    </w:t>
      </w:r>
    </w:p>
    <w:p w14:paraId="504D7004">
      <w:pPr>
        <w:spacing w:line="720" w:lineRule="auto"/>
        <w:ind w:firstLine="2108" w:firstLineChars="659"/>
        <w:rPr>
          <w:rFonts w:hint="eastAsia" w:ascii="方正小标宋简体" w:hAnsi="方正小标宋简体" w:eastAsia="方正小标宋简体" w:cs="Calibri"/>
          <w:color w:val="000000"/>
          <w:kern w:val="0"/>
          <w:sz w:val="32"/>
          <w:szCs w:val="32"/>
          <w:u w:val="single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bCs/>
          <w:color w:val="000000"/>
          <w:kern w:val="0"/>
          <w:sz w:val="32"/>
          <w:szCs w:val="32"/>
          <w:shd w:val="clear" w:color="auto" w:fill="FFFFFF"/>
        </w:rPr>
        <w:t>编制时间：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 </w:t>
      </w:r>
      <w:r>
        <w:rPr>
          <w:rFonts w:hint="eastAsia"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2025-1</w:t>
      </w:r>
      <w:r>
        <w:rPr>
          <w:rFonts w:hint="eastAsia"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  <w:lang w:val="en-US" w:eastAsia="zh-CN"/>
        </w:rPr>
        <w:t>1</w:t>
      </w:r>
      <w:r>
        <w:rPr>
          <w:rFonts w:hint="eastAsia"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-1</w:t>
      </w:r>
      <w:r>
        <w:rPr>
          <w:rFonts w:hint="eastAsia"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  <w:lang w:val="en-US" w:eastAsia="zh-CN"/>
        </w:rPr>
        <w:t>4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            </w:t>
      </w:r>
    </w:p>
    <w:p w14:paraId="45CF1787">
      <w:pPr>
        <w:rPr>
          <w:rFonts w:hint="eastAsia" w:ascii="宋体" w:hAnsi="宋体"/>
          <w:color w:val="FF0000"/>
          <w:sz w:val="28"/>
          <w:szCs w:val="28"/>
        </w:rPr>
      </w:pPr>
    </w:p>
    <w:p w14:paraId="34C67A39">
      <w:pPr>
        <w:rPr>
          <w:rFonts w:hint="eastAsia" w:ascii="宋体" w:hAnsi="宋体"/>
          <w:color w:val="FF0000"/>
          <w:sz w:val="28"/>
          <w:szCs w:val="28"/>
        </w:rPr>
      </w:pPr>
    </w:p>
    <w:p w14:paraId="3D4BB0ED">
      <w:pPr>
        <w:rPr>
          <w:rFonts w:hint="eastAsia" w:ascii="宋体" w:hAnsi="宋体"/>
          <w:color w:val="FF0000"/>
          <w:sz w:val="28"/>
          <w:szCs w:val="28"/>
        </w:rPr>
      </w:pPr>
    </w:p>
    <w:p w14:paraId="1BCF543C">
      <w:pPr>
        <w:rPr>
          <w:rFonts w:hint="eastAsia" w:ascii="宋体" w:hAnsi="宋体"/>
          <w:color w:val="FF0000"/>
          <w:sz w:val="28"/>
          <w:szCs w:val="28"/>
        </w:rPr>
      </w:pPr>
    </w:p>
    <w:p w14:paraId="7BDF36FE">
      <w:pPr>
        <w:jc w:val="center"/>
        <w:rPr>
          <w:rFonts w:hint="eastAsia"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</w:pPr>
    </w:p>
    <w:p w14:paraId="3D4DAD21">
      <w:pPr>
        <w:widowControl/>
        <w:jc w:val="left"/>
        <w:rPr>
          <w:rFonts w:hint="eastAsia"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</w:pPr>
      <w:r>
        <w:rPr>
          <w:rFonts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  <w:br w:type="page"/>
      </w:r>
    </w:p>
    <w:p w14:paraId="67F79265">
      <w:pPr>
        <w:jc w:val="center"/>
        <w:rPr>
          <w:rFonts w:hint="eastAsia"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  <w:t>编制说明</w:t>
      </w:r>
    </w:p>
    <w:p w14:paraId="1FB80A81">
      <w:pPr>
        <w:widowControl/>
        <w:spacing w:line="560" w:lineRule="atLeast"/>
        <w:ind w:firstLine="640"/>
        <w:jc w:val="left"/>
        <w:rPr>
          <w:rFonts w:hint="eastAsia" w:ascii="宋体" w:hAnsi="宋体" w:cs="仿宋"/>
          <w:color w:val="000000"/>
          <w:kern w:val="0"/>
          <w:sz w:val="28"/>
          <w:szCs w:val="28"/>
          <w:shd w:val="clear" w:color="auto" w:fill="FFFFFF"/>
        </w:rPr>
      </w:pPr>
    </w:p>
    <w:p w14:paraId="7277BA39">
      <w:pPr>
        <w:widowControl/>
        <w:spacing w:line="560" w:lineRule="atLeast"/>
        <w:ind w:firstLine="640"/>
        <w:jc w:val="left"/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一、用户单位依据咨询、论证、问卷等方式调查的具体情况自行编制采购需求书。</w:t>
      </w:r>
    </w:p>
    <w:p w14:paraId="763001DB">
      <w:pPr>
        <w:widowControl/>
        <w:spacing w:line="560" w:lineRule="atLeast"/>
        <w:ind w:firstLine="640"/>
        <w:jc w:val="left"/>
        <w:rPr>
          <w:rFonts w:hint="eastAsia" w:ascii="仿宋_GB2312" w:hAnsi="宋体" w:eastAsia="仿宋_GB2312" w:cs="仿宋"/>
          <w:sz w:val="28"/>
          <w:szCs w:val="28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二、编制的采购需求书应当符合《财政部关于印发政府采购需求管理办法的通知》（财库〔2021〕22号）要求及政府采购的相关规定。除单一来源采购外，标的物名称、指标要求等不能指向单一供应商。</w:t>
      </w:r>
    </w:p>
    <w:p w14:paraId="2AC43728">
      <w:pPr>
        <w:widowControl/>
        <w:spacing w:line="560" w:lineRule="atLeast"/>
        <w:ind w:firstLine="640"/>
        <w:jc w:val="left"/>
        <w:rPr>
          <w:rFonts w:hint="eastAsia" w:ascii="仿宋_GB2312" w:hAnsi="宋体" w:eastAsia="仿宋_GB2312" w:cs="仿宋"/>
          <w:sz w:val="28"/>
          <w:szCs w:val="28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三、斜体字部分属于提醒内容，编制时应删除。</w:t>
      </w:r>
    </w:p>
    <w:p w14:paraId="4484B21A">
      <w:pPr>
        <w:widowControl/>
        <w:spacing w:line="560" w:lineRule="atLeast"/>
        <w:ind w:firstLine="640"/>
        <w:jc w:val="left"/>
        <w:rPr>
          <w:rFonts w:hint="eastAsia" w:ascii="仿宋_GB2312" w:hAnsi="宋体" w:eastAsia="仿宋_GB2312" w:cs="仿宋"/>
          <w:sz w:val="28"/>
          <w:szCs w:val="28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四、对不适用的内容应删除，并调整相应序号。</w:t>
      </w:r>
    </w:p>
    <w:p w14:paraId="02B05562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24DFF753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784BE879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72D04C74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099986BD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59ED7269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0E87529D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6D08089A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10E9D7D8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4C57F040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04B9DA74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2D3CCEFC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6D0823DF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0259B18B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6E8BCBAE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6E50D46D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5ED47274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507BA93A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7E48EA14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5F30F183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02C3A5F8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634BF93E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292DE4B8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7E1D3B00">
      <w:pPr>
        <w:widowControl/>
        <w:jc w:val="left"/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</w:pPr>
      <w:r>
        <w:rPr>
          <w:rFonts w:ascii="宋体" w:hAnsi="宋体" w:cs="Arial"/>
          <w:b/>
          <w:color w:val="333333"/>
          <w:kern w:val="0"/>
          <w:sz w:val="24"/>
          <w:szCs w:val="24"/>
        </w:rPr>
        <w:br w:type="page"/>
      </w:r>
      <w:r>
        <w:rPr>
          <w:rFonts w:hint="eastAsia" w:ascii="宋体" w:hAnsi="宋体" w:cs="Arial"/>
          <w:b/>
          <w:color w:val="333333"/>
          <w:kern w:val="0"/>
          <w:sz w:val="24"/>
          <w:szCs w:val="24"/>
        </w:rPr>
        <w:t xml:space="preserve">  </w:t>
      </w:r>
      <w:r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  <w:t>一、项目概况</w:t>
      </w:r>
    </w:p>
    <w:p w14:paraId="12B7EE26">
      <w:pPr>
        <w:ind w:firstLine="560" w:firstLineChars="200"/>
        <w:jc w:val="left"/>
        <w:rPr>
          <w:rFonts w:hint="default" w:ascii="仿宋_GB2312" w:eastAsia="仿宋_GB2312" w:cs="仿宋"/>
          <w:bCs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_GB2312" w:eastAsia="仿宋_GB2312" w:cs="仿宋"/>
          <w:bCs/>
          <w:color w:val="000000"/>
          <w:sz w:val="28"/>
          <w:szCs w:val="28"/>
          <w:shd w:val="clear" w:color="auto" w:fill="FFFFFF"/>
          <w:lang w:eastAsia="zh-CN"/>
        </w:rPr>
        <w:t>为持续提升学校数据资产的质量并挖掘其价值，支撑通过数据贯通人才培养、科研创新、校园治理的发展战略，学校正加快推进领导驾驶舱及指标中枢平台建设。为保证</w:t>
      </w:r>
      <w:r>
        <w:rPr>
          <w:rFonts w:hint="eastAsia" w:ascii="仿宋_GB2312" w:eastAsia="仿宋_GB2312" w:cs="仿宋"/>
          <w:bCs/>
          <w:color w:val="000000"/>
          <w:sz w:val="28"/>
          <w:szCs w:val="28"/>
          <w:shd w:val="clear" w:color="auto" w:fill="FFFFFF"/>
          <w:lang w:val="en-US" w:eastAsia="zh-CN"/>
        </w:rPr>
        <w:t>数据中台的稳定运行，指标中台的规范建设，数据助手的应用推广，需要引进一位专业技术人员驻场协助推进相关工作。</w:t>
      </w:r>
    </w:p>
    <w:p w14:paraId="1B896E9B">
      <w:pPr>
        <w:widowControl/>
        <w:jc w:val="left"/>
        <w:rPr>
          <w:rFonts w:hint="eastAsia" w:ascii="仿宋_GB2312" w:hAnsi="宋体" w:eastAsia="仿宋_GB2312" w:cs="仿宋"/>
          <w:bCs/>
          <w:i/>
          <w:iCs/>
          <w:color w:val="000000"/>
          <w:kern w:val="0"/>
          <w:sz w:val="28"/>
          <w:szCs w:val="28"/>
          <w:shd w:val="clear" w:color="auto" w:fill="FFFFFF"/>
        </w:rPr>
      </w:pPr>
    </w:p>
    <w:p w14:paraId="0264FBFE">
      <w:pPr>
        <w:widowControl/>
        <w:ind w:firstLine="643" w:firstLineChars="200"/>
        <w:jc w:val="left"/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  <w:t>二、主要标的</w:t>
      </w:r>
    </w:p>
    <w:p w14:paraId="7723DDEB">
      <w:pPr>
        <w:widowControl/>
        <w:spacing w:line="360" w:lineRule="auto"/>
        <w:jc w:val="center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服务：</w:t>
      </w:r>
      <w:r>
        <w:rPr>
          <w:rFonts w:hint="eastAsia" w:ascii="仿宋_GB2312" w:hAnsi="宋体" w:eastAsia="仿宋_GB2312"/>
          <w:b/>
          <w:sz w:val="24"/>
          <w:szCs w:val="24"/>
        </w:rPr>
        <w:t>是否属于科研</w:t>
      </w:r>
      <w:r>
        <w:rPr>
          <w:rFonts w:hint="eastAsia" w:ascii="仿宋_GB2312" w:hAnsi="宋体" w:eastAsia="仿宋_GB2312"/>
          <w:sz w:val="24"/>
          <w:szCs w:val="24"/>
        </w:rPr>
        <w:t xml:space="preserve">活动相关采购 </w:t>
      </w:r>
      <w:r>
        <w:rPr>
          <w:rFonts w:hint="eastAsia" w:ascii="仿宋_GB2312" w:hAnsi="宋体" w:eastAsia="仿宋_GB2312"/>
          <w:sz w:val="24"/>
          <w:szCs w:val="24"/>
        </w:rPr>
        <w:sym w:font="Wingdings 2" w:char="00A3"/>
      </w:r>
      <w:r>
        <w:rPr>
          <w:rFonts w:hint="eastAsia" w:ascii="仿宋_GB2312" w:hAnsi="宋体" w:eastAsia="仿宋_GB2312"/>
          <w:sz w:val="24"/>
          <w:szCs w:val="24"/>
        </w:rPr>
        <w:t>是  ☑否</w:t>
      </w:r>
    </w:p>
    <w:tbl>
      <w:tblPr>
        <w:tblStyle w:val="8"/>
        <w:tblpPr w:leftFromText="180" w:rightFromText="180" w:vertAnchor="text" w:horzAnchor="page" w:tblpX="2043" w:tblpY="223"/>
        <w:tblOverlap w:val="never"/>
        <w:tblW w:w="508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709"/>
        <w:gridCol w:w="1257"/>
        <w:gridCol w:w="5002"/>
      </w:tblGrid>
      <w:tr w14:paraId="272C8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02" w:type="pct"/>
            <w:vAlign w:val="center"/>
          </w:tcPr>
          <w:p w14:paraId="36056561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序号</w:t>
            </w:r>
          </w:p>
        </w:tc>
        <w:tc>
          <w:tcPr>
            <w:tcW w:w="986" w:type="pct"/>
            <w:vAlign w:val="center"/>
          </w:tcPr>
          <w:p w14:paraId="080EFF1A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服务名称</w:t>
            </w:r>
          </w:p>
        </w:tc>
        <w:tc>
          <w:tcPr>
            <w:tcW w:w="725" w:type="pct"/>
            <w:vAlign w:val="center"/>
          </w:tcPr>
          <w:p w14:paraId="425D3926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2885" w:type="pct"/>
            <w:vAlign w:val="center"/>
          </w:tcPr>
          <w:p w14:paraId="0D664332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服务说明</w:t>
            </w:r>
          </w:p>
        </w:tc>
      </w:tr>
      <w:tr w14:paraId="2DBD4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02" w:type="pct"/>
            <w:vAlign w:val="center"/>
          </w:tcPr>
          <w:p w14:paraId="724C2FB4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1</w:t>
            </w:r>
          </w:p>
        </w:tc>
        <w:tc>
          <w:tcPr>
            <w:tcW w:w="986" w:type="pct"/>
            <w:vAlign w:val="center"/>
          </w:tcPr>
          <w:p w14:paraId="754E1319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2026年度年度数据分析支持服务</w:t>
            </w:r>
          </w:p>
        </w:tc>
        <w:tc>
          <w:tcPr>
            <w:tcW w:w="725" w:type="pct"/>
            <w:vAlign w:val="center"/>
          </w:tcPr>
          <w:p w14:paraId="4F3F9C65">
            <w:pPr>
              <w:widowControl/>
              <w:spacing w:line="360" w:lineRule="auto"/>
              <w:jc w:val="center"/>
              <w:rPr>
                <w:rFonts w:hint="default" w:ascii="仿宋_GB2312" w:hAns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  <w:lang w:val="en-US" w:eastAsia="zh-CN"/>
              </w:rPr>
              <w:t>1项</w:t>
            </w:r>
            <w:bookmarkStart w:id="0" w:name="_GoBack"/>
            <w:bookmarkEnd w:id="0"/>
          </w:p>
        </w:tc>
        <w:tc>
          <w:tcPr>
            <w:tcW w:w="2885" w:type="pct"/>
            <w:vAlign w:val="center"/>
          </w:tcPr>
          <w:p w14:paraId="0A5FCA48">
            <w:pPr>
              <w:widowControl/>
              <w:spacing w:line="360" w:lineRule="auto"/>
              <w:ind w:firstLine="480" w:firstLineChars="200"/>
              <w:jc w:val="left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  <w:lang w:val="en-US" w:eastAsia="zh-CN"/>
              </w:rPr>
              <w:t>需要</w:t>
            </w:r>
            <w:r>
              <w:rPr>
                <w:rFonts w:hint="eastAsia" w:ascii="仿宋_GB2312" w:hAnsi="宋体" w:eastAsia="仿宋_GB2312"/>
                <w:sz w:val="24"/>
                <w:szCs w:val="24"/>
              </w:rPr>
              <w:t>一名专业数据工程师，针对数据治理、数据分析与可视化提供驻场运维服务，服务期限自2025年12月16日起至2026年12月31日止，按国家法定工作日驻场服务。</w:t>
            </w:r>
          </w:p>
        </w:tc>
      </w:tr>
    </w:tbl>
    <w:p w14:paraId="5384793A">
      <w:pPr>
        <w:spacing w:line="360" w:lineRule="auto"/>
        <w:ind w:firstLine="360" w:firstLineChars="150"/>
        <w:rPr>
          <w:rFonts w:hint="eastAsia" w:ascii="仿宋_GB2312" w:hAnsi="宋体" w:eastAsia="仿宋_GB2312"/>
          <w:i/>
          <w:iCs/>
          <w:sz w:val="24"/>
          <w:szCs w:val="24"/>
        </w:rPr>
      </w:pPr>
    </w:p>
    <w:p w14:paraId="4F96F41F">
      <w:pPr>
        <w:spacing w:line="360" w:lineRule="auto"/>
        <w:ind w:firstLine="360" w:firstLineChars="150"/>
        <w:rPr>
          <w:rFonts w:hint="eastAsia" w:ascii="仿宋_GB2312" w:hAnsi="宋体" w:eastAsia="仿宋_GB2312"/>
          <w:i/>
          <w:iCs/>
          <w:sz w:val="24"/>
          <w:szCs w:val="24"/>
        </w:rPr>
      </w:pPr>
    </w:p>
    <w:p w14:paraId="4D2FB2CA">
      <w:pPr>
        <w:widowControl/>
        <w:ind w:firstLine="643" w:firstLineChars="200"/>
        <w:jc w:val="left"/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  <w:t>三、技术要求</w:t>
      </w:r>
    </w:p>
    <w:p w14:paraId="39EADA4E">
      <w:pPr>
        <w:pStyle w:val="7"/>
        <w:spacing w:before="0" w:beforeAutospacing="0" w:after="0" w:afterAutospacing="0" w:line="360" w:lineRule="auto"/>
        <w:ind w:firstLine="560" w:firstLineChars="20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具体要求如下：</w:t>
      </w:r>
    </w:p>
    <w:p w14:paraId="7CF8C0A8">
      <w:pPr>
        <w:pStyle w:val="7"/>
        <w:spacing w:before="0" w:beforeAutospacing="0" w:after="0" w:afterAutospacing="0" w:line="360" w:lineRule="auto"/>
        <w:ind w:firstLine="560" w:firstLineChars="20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1.指标中台管理：负责完成业务数据的分析，建设关键指标体系，专题指标要素设计及确权。</w:t>
      </w:r>
    </w:p>
    <w:p w14:paraId="789047DF">
      <w:pPr>
        <w:pStyle w:val="7"/>
        <w:spacing w:before="0" w:beforeAutospacing="0" w:after="0" w:afterAutospacing="0" w:line="360" w:lineRule="auto"/>
        <w:ind w:firstLine="560" w:firstLineChars="20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2.可视化产品建设：负责完成数据助手等可视化产品的规划设计及建设。</w:t>
      </w:r>
    </w:p>
    <w:p w14:paraId="65798711">
      <w:pPr>
        <w:pStyle w:val="7"/>
        <w:spacing w:before="0" w:beforeAutospacing="0" w:after="0" w:afterAutospacing="0" w:line="360" w:lineRule="auto"/>
        <w:ind w:firstLine="560" w:firstLineChars="20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3.数据管理：协助中台数据治理相关工作。</w:t>
      </w:r>
    </w:p>
    <w:p w14:paraId="6BAEF623">
      <w:pPr>
        <w:pStyle w:val="7"/>
        <w:spacing w:before="0" w:beforeAutospacing="0" w:after="0" w:afterAutospacing="0" w:line="360" w:lineRule="auto"/>
        <w:ind w:firstLine="560" w:firstLineChars="20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4.文案编撰：编写数据分析相关的文档及使用指南。</w:t>
      </w:r>
    </w:p>
    <w:p w14:paraId="3AFC5278">
      <w:pPr>
        <w:pStyle w:val="7"/>
        <w:spacing w:before="0" w:beforeAutospacing="0" w:after="0" w:afterAutospacing="0" w:line="360" w:lineRule="auto"/>
        <w:ind w:firstLine="560" w:firstLineChars="20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5.使用培训：协助完成相关培训工作及文档编写。</w:t>
      </w:r>
    </w:p>
    <w:p w14:paraId="24C3892F">
      <w:pPr>
        <w:pStyle w:val="7"/>
        <w:spacing w:before="0" w:beforeAutospacing="0" w:after="0" w:afterAutospacing="0" w:line="360" w:lineRule="auto"/>
        <w:ind w:firstLine="560" w:firstLineChars="20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6.运行监测：负责完成指标中台、数据助手的日常运维。</w:t>
      </w:r>
    </w:p>
    <w:p w14:paraId="33E6DAAA">
      <w:pPr>
        <w:pStyle w:val="7"/>
        <w:spacing w:before="0" w:beforeAutospacing="0" w:after="0" w:afterAutospacing="0" w:line="360" w:lineRule="auto"/>
        <w:ind w:firstLine="560" w:firstLineChars="200"/>
        <w:rPr>
          <w:rFonts w:hint="default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7.其他事务：配合完成其他信息化相关行政事务。</w:t>
      </w:r>
    </w:p>
    <w:p w14:paraId="79425FB5">
      <w:pPr>
        <w:pStyle w:val="7"/>
        <w:spacing w:before="0" w:beforeAutospacing="0" w:after="0" w:afterAutospacing="0" w:line="360" w:lineRule="auto"/>
        <w:ind w:firstLine="480" w:firstLineChars="200"/>
        <w:rPr>
          <w:rFonts w:hint="eastAsia" w:ascii="微软雅黑" w:hAnsi="微软雅黑" w:eastAsia="微软雅黑"/>
        </w:rPr>
      </w:pPr>
    </w:p>
    <w:p w14:paraId="1A6F4484">
      <w:pPr>
        <w:widowControl/>
        <w:numPr>
          <w:ilvl w:val="0"/>
          <w:numId w:val="1"/>
        </w:numPr>
        <w:ind w:firstLine="643" w:firstLineChars="200"/>
        <w:jc w:val="left"/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  <w:lang w:val="en-US" w:eastAsia="zh-CN"/>
        </w:rPr>
      </w:pPr>
      <w:r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  <w:lang w:val="en-US" w:eastAsia="zh-CN"/>
        </w:rPr>
        <w:t>服务要求</w:t>
      </w:r>
    </w:p>
    <w:p w14:paraId="36263497">
      <w:pPr>
        <w:pStyle w:val="7"/>
        <w:spacing w:before="0" w:beforeAutospacing="0" w:after="0" w:afterAutospacing="0" w:line="360" w:lineRule="auto"/>
        <w:ind w:firstLine="560" w:firstLineChars="20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1.服务周期：自2025年12月16日起至2026年12月31日止。</w:t>
      </w:r>
    </w:p>
    <w:p w14:paraId="2B8FFB76">
      <w:pPr>
        <w:pStyle w:val="7"/>
        <w:spacing w:before="0" w:beforeAutospacing="0" w:after="0" w:afterAutospacing="0" w:line="360" w:lineRule="auto"/>
        <w:ind w:firstLine="560" w:firstLineChars="200"/>
        <w:rPr>
          <w:rFonts w:hint="default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2.履行地点：中国地质大学（武汉）信息化工作办公室。</w:t>
      </w:r>
    </w:p>
    <w:p w14:paraId="035508D1">
      <w:pPr>
        <w:pStyle w:val="7"/>
        <w:spacing w:before="0" w:beforeAutospacing="0" w:after="0" w:afterAutospacing="0" w:line="360" w:lineRule="auto"/>
        <w:ind w:firstLine="560" w:firstLineChars="200"/>
        <w:rPr>
          <w:rFonts w:hint="default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3.人员驻场：安排一名专业数据分析工程师，针对数据治理、数据分析与可视化提供驻场运维服务，按国家法定工作日驻场服务。</w:t>
      </w:r>
    </w:p>
    <w:p w14:paraId="611811A8">
      <w:pPr>
        <w:pStyle w:val="7"/>
        <w:spacing w:before="0" w:beforeAutospacing="0" w:after="0" w:afterAutospacing="0" w:line="360" w:lineRule="auto"/>
        <w:ind w:firstLine="560" w:firstLineChars="200"/>
        <w:rPr>
          <w:rFonts w:hint="default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4.其他：本服务期内，甲方对乙方服务进行考核，考核合格可续签下一年度合同，最多续签2次。</w:t>
      </w:r>
    </w:p>
    <w:p w14:paraId="6A4E5A29">
      <w:pPr>
        <w:widowControl/>
        <w:numPr>
          <w:ilvl w:val="0"/>
          <w:numId w:val="0"/>
        </w:numPr>
        <w:jc w:val="left"/>
        <w:rPr>
          <w:rFonts w:hint="default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SOF4B1AA1F4">
    <w:panose1 w:val="02000000000000000000"/>
    <w:charset w:val="86"/>
    <w:family w:val="auto"/>
    <w:pitch w:val="default"/>
    <w:sig w:usb0="00000001" w:usb1="00000000" w:usb2="00000000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39B35C"/>
    <w:multiLevelType w:val="singleLevel"/>
    <w:tmpl w:val="8339B35C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removePersonalInformation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zMjg5ZTk0ZmI5MWFhNTcyMmY3YTlmN2Y3NmI0YzkifQ=="/>
  </w:docVars>
  <w:rsids>
    <w:rsidRoot w:val="5DAD333C"/>
    <w:rsid w:val="000104DA"/>
    <w:rsid w:val="00064EEB"/>
    <w:rsid w:val="000933D2"/>
    <w:rsid w:val="00240B3B"/>
    <w:rsid w:val="00251837"/>
    <w:rsid w:val="002A6985"/>
    <w:rsid w:val="002F073D"/>
    <w:rsid w:val="00356605"/>
    <w:rsid w:val="004F4A7C"/>
    <w:rsid w:val="00573EFB"/>
    <w:rsid w:val="006B6C71"/>
    <w:rsid w:val="00723B00"/>
    <w:rsid w:val="00771733"/>
    <w:rsid w:val="009900AA"/>
    <w:rsid w:val="00AA5C84"/>
    <w:rsid w:val="00B1366B"/>
    <w:rsid w:val="00BC042D"/>
    <w:rsid w:val="00C879B3"/>
    <w:rsid w:val="00CE29C9"/>
    <w:rsid w:val="00CE45ED"/>
    <w:rsid w:val="00D6193B"/>
    <w:rsid w:val="00D731CF"/>
    <w:rsid w:val="00F00A8C"/>
    <w:rsid w:val="00F47007"/>
    <w:rsid w:val="00FB3883"/>
    <w:rsid w:val="00FE60C3"/>
    <w:rsid w:val="043B2EAD"/>
    <w:rsid w:val="060E6ACB"/>
    <w:rsid w:val="0B4E7969"/>
    <w:rsid w:val="0BF038E7"/>
    <w:rsid w:val="0D340549"/>
    <w:rsid w:val="0E386917"/>
    <w:rsid w:val="142C636E"/>
    <w:rsid w:val="15EF0127"/>
    <w:rsid w:val="16D94E67"/>
    <w:rsid w:val="1C3A1F70"/>
    <w:rsid w:val="272730F1"/>
    <w:rsid w:val="359027A9"/>
    <w:rsid w:val="36D466C5"/>
    <w:rsid w:val="37485C5F"/>
    <w:rsid w:val="3BA93AF9"/>
    <w:rsid w:val="3C0933EA"/>
    <w:rsid w:val="46F56910"/>
    <w:rsid w:val="499A72FA"/>
    <w:rsid w:val="4A325785"/>
    <w:rsid w:val="4BA32DDE"/>
    <w:rsid w:val="4CBE77A4"/>
    <w:rsid w:val="4F0C78AF"/>
    <w:rsid w:val="52F83A10"/>
    <w:rsid w:val="55673C94"/>
    <w:rsid w:val="57A95590"/>
    <w:rsid w:val="5B3F7D02"/>
    <w:rsid w:val="5D0B2591"/>
    <w:rsid w:val="5DAD333C"/>
    <w:rsid w:val="5F0E57DE"/>
    <w:rsid w:val="656E0B6F"/>
    <w:rsid w:val="69EC72A7"/>
    <w:rsid w:val="71C468B3"/>
    <w:rsid w:val="76FF2A70"/>
    <w:rsid w:val="7AE91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libri Light" w:hAnsi="Calibri Light" w:eastAsia="宋体" w:cs="Times New Roman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9"/>
    <w:pPr>
      <w:keepNext/>
      <w:keepLines/>
      <w:spacing w:before="260" w:after="260" w:line="416" w:lineRule="auto"/>
      <w:outlineLvl w:val="2"/>
    </w:pPr>
    <w:rPr>
      <w:rFonts w:eastAsia="宋体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420" w:leftChars="200"/>
    </w:p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0">
    <w:name w:val="页眉 字符"/>
    <w:basedOn w:val="9"/>
    <w:link w:val="6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9"/>
    <w:link w:val="5"/>
    <w:qFormat/>
    <w:uiPriority w:val="0"/>
    <w:rPr>
      <w:kern w:val="2"/>
      <w:sz w:val="18"/>
      <w:szCs w:val="18"/>
    </w:rPr>
  </w:style>
  <w:style w:type="paragraph" w:styleId="12">
    <w:name w:val="List Paragraph"/>
    <w:basedOn w:val="1"/>
    <w:qFormat/>
    <w:uiPriority w:val="34"/>
    <w:pPr>
      <w:spacing w:afterLines="50" w:line="360" w:lineRule="exact"/>
      <w:ind w:firstLine="420" w:firstLineChars="200"/>
    </w:pPr>
    <w:rPr>
      <w:rFonts w:ascii="微软雅黑" w:hAnsi="微软雅黑" w:eastAsia="微软雅黑" w:cs="微软雅黑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821</Words>
  <Characters>861</Characters>
  <Lines>9</Lines>
  <Paragraphs>2</Paragraphs>
  <TotalTime>2</TotalTime>
  <ScaleCrop>false</ScaleCrop>
  <LinksUpToDate>false</LinksUpToDate>
  <CharactersWithSpaces>891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2025-10-29T06:53:00Z</dcterms:created>
  <dcterms:modified xsi:type="dcterms:W3CDTF">2025-12-02T06:36:43Z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eyJoZGlkIjoiMWM4YjY0NWI4NjkzY2UzMzM2MzE3NmY2YTFhYTQ3NzAiLCJ1c2VySWQiOiIxNDcxODc1ODk1In0=</vt:lpwstr>
  </property>
  <property fmtid="{D5CDD505-2E9C-101B-9397-08002B2CF9AE}" pid="3" name="KSOProductBuildVer">
    <vt:lpwstr>2052-12.1.0.23542</vt:lpwstr>
  </property>
  <property fmtid="{D5CDD505-2E9C-101B-9397-08002B2CF9AE}" pid="4" name="ICV">
    <vt:lpwstr>FDB0AA623DC441BD9956159000867776_13</vt:lpwstr>
  </property>
</Properties>
</file>