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1FB42D39">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rPr>
      </w:pPr>
    </w:p>
    <w:p w14:paraId="1F3B8807">
      <w:pPr>
        <w:pStyle w:val="3"/>
        <w:spacing w:before="0" w:after="0" w:line="360" w:lineRule="auto"/>
        <w:jc w:val="center"/>
        <w:rPr>
          <w:rFonts w:ascii="宋体" w:hAnsi="宋体"/>
          <w:szCs w:val="28"/>
        </w:rPr>
      </w:pPr>
    </w:p>
    <w:p w14:paraId="7C50288D"/>
    <w:p w14:paraId="7013AF59">
      <w:pPr>
        <w:rPr>
          <w:rFonts w:ascii="宋体" w:hAnsi="宋体"/>
          <w:szCs w:val="28"/>
        </w:rPr>
      </w:pPr>
    </w:p>
    <w:p w14:paraId="6F40FCF4">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13BDAF2"/>
    <w:p w14:paraId="1AAB3B7D">
      <w:pPr>
        <w:ind w:firstLine="1044" w:firstLineChars="400"/>
        <w:rPr>
          <w:rFonts w:ascii="仿宋" w:hAnsi="仿宋" w:eastAsia="仿宋" w:cs="仿宋"/>
          <w:b/>
          <w:bCs/>
          <w:color w:val="000000"/>
          <w:kern w:val="0"/>
          <w:sz w:val="26"/>
          <w:szCs w:val="26"/>
          <w:shd w:val="clear" w:color="auto" w:fill="FFFFFF"/>
        </w:rPr>
      </w:pPr>
    </w:p>
    <w:p w14:paraId="53C19B5A">
      <w:pPr>
        <w:ind w:firstLine="1044" w:firstLineChars="400"/>
        <w:rPr>
          <w:rFonts w:ascii="仿宋" w:hAnsi="仿宋" w:eastAsia="仿宋" w:cs="仿宋"/>
          <w:b/>
          <w:bCs/>
          <w:color w:val="000000"/>
          <w:kern w:val="0"/>
          <w:sz w:val="26"/>
          <w:szCs w:val="26"/>
          <w:shd w:val="clear" w:color="auto" w:fill="FFFFFF"/>
        </w:rPr>
      </w:pPr>
    </w:p>
    <w:p w14:paraId="7B8A5A98">
      <w:pPr>
        <w:ind w:firstLine="1044" w:firstLineChars="400"/>
        <w:rPr>
          <w:rFonts w:ascii="仿宋" w:hAnsi="仿宋" w:eastAsia="仿宋" w:cs="仿宋"/>
          <w:b/>
          <w:bCs/>
          <w:color w:val="000000"/>
          <w:kern w:val="0"/>
          <w:sz w:val="26"/>
          <w:szCs w:val="26"/>
          <w:shd w:val="clear" w:color="auto" w:fill="FFFFFF"/>
        </w:rPr>
      </w:pPr>
    </w:p>
    <w:p w14:paraId="5EF2C2A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敏感信息过度公开排查服务</w:t>
      </w:r>
      <w:r>
        <w:rPr>
          <w:rFonts w:ascii="Cambria" w:hAnsi="Cambria" w:eastAsia="方正小标宋简体" w:cs="Cambria"/>
          <w:color w:val="000000"/>
          <w:kern w:val="0"/>
          <w:sz w:val="32"/>
          <w:szCs w:val="32"/>
          <w:u w:val="single"/>
          <w:shd w:val="clear" w:color="auto" w:fill="FFFFFF"/>
        </w:rPr>
        <w:t>        </w:t>
      </w:r>
    </w:p>
    <w:p w14:paraId="13A8692B">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bookmarkStart w:id="0" w:name="_GoBack"/>
      <w:bookmarkEnd w:id="0"/>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信息化工作办公室</w:t>
      </w:r>
      <w:r>
        <w:rPr>
          <w:rFonts w:ascii="Cambria" w:hAnsi="Cambria" w:eastAsia="方正小标宋简体" w:cs="Cambria"/>
          <w:color w:val="000000"/>
          <w:kern w:val="0"/>
          <w:sz w:val="32"/>
          <w:szCs w:val="32"/>
          <w:u w:val="single"/>
          <w:shd w:val="clear" w:color="auto" w:fill="FFFFFF"/>
        </w:rPr>
        <w:t>                </w:t>
      </w:r>
    </w:p>
    <w:p w14:paraId="2B201681">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2026年9月</w:t>
      </w:r>
      <w:r>
        <w:rPr>
          <w:rFonts w:ascii="Cambria" w:hAnsi="Cambria" w:eastAsia="方正小标宋简体" w:cs="Cambria"/>
          <w:color w:val="000000"/>
          <w:kern w:val="0"/>
          <w:sz w:val="32"/>
          <w:szCs w:val="32"/>
          <w:u w:val="single"/>
          <w:shd w:val="clear" w:color="auto" w:fill="FFFFFF"/>
        </w:rPr>
        <w:t>               </w:t>
      </w:r>
    </w:p>
    <w:p w14:paraId="5CB57F5D">
      <w:pPr>
        <w:rPr>
          <w:rFonts w:ascii="宋体" w:hAnsi="宋体"/>
          <w:color w:val="FF0000"/>
          <w:sz w:val="28"/>
          <w:szCs w:val="28"/>
        </w:rPr>
      </w:pPr>
    </w:p>
    <w:p w14:paraId="79CAE573">
      <w:pPr>
        <w:rPr>
          <w:rFonts w:ascii="宋体" w:hAnsi="宋体"/>
          <w:color w:val="FF0000"/>
          <w:sz w:val="28"/>
          <w:szCs w:val="28"/>
        </w:rPr>
      </w:pPr>
    </w:p>
    <w:p w14:paraId="7FC92AF3">
      <w:pPr>
        <w:rPr>
          <w:rFonts w:ascii="宋体" w:hAnsi="宋体"/>
          <w:color w:val="FF0000"/>
          <w:sz w:val="28"/>
          <w:szCs w:val="28"/>
        </w:rPr>
      </w:pPr>
    </w:p>
    <w:p w14:paraId="4718CAF9">
      <w:pPr>
        <w:rPr>
          <w:rFonts w:ascii="宋体" w:hAnsi="宋体"/>
          <w:color w:val="FF0000"/>
          <w:sz w:val="28"/>
          <w:szCs w:val="28"/>
        </w:rPr>
      </w:pPr>
    </w:p>
    <w:p w14:paraId="64A77294">
      <w:pPr>
        <w:jc w:val="center"/>
        <w:rPr>
          <w:rFonts w:hint="eastAsia" w:ascii="方正小标宋简体" w:hAnsi="方正小标宋简体" w:eastAsia="方正小标宋简体" w:cs="仿宋"/>
          <w:color w:val="000000"/>
          <w:kern w:val="0"/>
          <w:sz w:val="32"/>
          <w:szCs w:val="32"/>
          <w:shd w:val="clear" w:color="auto" w:fill="FFFFFF"/>
        </w:rPr>
      </w:pPr>
    </w:p>
    <w:p w14:paraId="0D8C4650">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BF2DB3F">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40676B">
      <w:pPr>
        <w:widowControl/>
        <w:spacing w:line="560" w:lineRule="atLeast"/>
        <w:ind w:firstLine="640"/>
        <w:jc w:val="left"/>
        <w:rPr>
          <w:rFonts w:ascii="宋体" w:hAnsi="宋体" w:cs="仿宋"/>
          <w:color w:val="000000"/>
          <w:kern w:val="0"/>
          <w:sz w:val="28"/>
          <w:szCs w:val="28"/>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0538303"/>
    <w:p w14:paraId="1B9C990D">
      <w:pPr>
        <w:spacing w:line="360" w:lineRule="auto"/>
      </w:pPr>
    </w:p>
    <w:p w14:paraId="5327C200">
      <w:pPr>
        <w:widowControl/>
        <w:shd w:val="clear" w:color="auto" w:fill="FFFFFF"/>
        <w:spacing w:line="360" w:lineRule="auto"/>
        <w:ind w:firstLine="562" w:firstLineChars="200"/>
        <w:jc w:val="left"/>
        <w:rPr>
          <w:rFonts w:ascii="宋体" w:hAnsi="宋体" w:cs="Arial"/>
          <w:b/>
          <w:color w:val="333333"/>
          <w:kern w:val="0"/>
          <w:sz w:val="28"/>
          <w:szCs w:val="28"/>
        </w:rPr>
      </w:pPr>
    </w:p>
    <w:p w14:paraId="3C1FD4C8">
      <w:pPr>
        <w:widowControl/>
        <w:shd w:val="clear" w:color="auto" w:fill="FFFFFF"/>
        <w:spacing w:line="360" w:lineRule="auto"/>
        <w:ind w:firstLine="562" w:firstLineChars="200"/>
        <w:jc w:val="left"/>
        <w:rPr>
          <w:rFonts w:ascii="宋体" w:hAnsi="宋体" w:cs="Arial"/>
          <w:b/>
          <w:color w:val="333333"/>
          <w:kern w:val="0"/>
          <w:sz w:val="28"/>
          <w:szCs w:val="28"/>
        </w:rPr>
      </w:pPr>
    </w:p>
    <w:p w14:paraId="381AECA3">
      <w:pPr>
        <w:widowControl/>
        <w:shd w:val="clear" w:color="auto" w:fill="FFFFFF"/>
        <w:spacing w:line="360" w:lineRule="auto"/>
        <w:ind w:firstLine="562" w:firstLineChars="200"/>
        <w:jc w:val="left"/>
        <w:rPr>
          <w:rFonts w:ascii="宋体" w:hAnsi="宋体" w:cs="Arial"/>
          <w:b/>
          <w:color w:val="333333"/>
          <w:kern w:val="0"/>
          <w:sz w:val="28"/>
          <w:szCs w:val="28"/>
        </w:rPr>
      </w:pPr>
    </w:p>
    <w:p w14:paraId="2668121C">
      <w:pPr>
        <w:widowControl/>
        <w:shd w:val="clear" w:color="auto" w:fill="FFFFFF"/>
        <w:spacing w:line="360" w:lineRule="auto"/>
        <w:ind w:firstLine="562" w:firstLineChars="200"/>
        <w:jc w:val="left"/>
        <w:rPr>
          <w:rFonts w:ascii="宋体" w:hAnsi="宋体" w:cs="Arial"/>
          <w:b/>
          <w:color w:val="333333"/>
          <w:kern w:val="0"/>
          <w:sz w:val="28"/>
          <w:szCs w:val="28"/>
        </w:rPr>
      </w:pPr>
    </w:p>
    <w:p w14:paraId="3062D840">
      <w:pPr>
        <w:widowControl/>
        <w:shd w:val="clear" w:color="auto" w:fill="FFFFFF"/>
        <w:spacing w:line="360" w:lineRule="auto"/>
        <w:ind w:firstLine="562" w:firstLineChars="200"/>
        <w:jc w:val="left"/>
        <w:rPr>
          <w:rFonts w:ascii="宋体" w:hAnsi="宋体" w:cs="Arial"/>
          <w:b/>
          <w:color w:val="333333"/>
          <w:kern w:val="0"/>
          <w:sz w:val="28"/>
          <w:szCs w:val="28"/>
        </w:rPr>
      </w:pPr>
    </w:p>
    <w:p w14:paraId="32BB860E">
      <w:pPr>
        <w:widowControl/>
        <w:shd w:val="clear" w:color="auto" w:fill="FFFFFF"/>
        <w:spacing w:line="360" w:lineRule="auto"/>
        <w:ind w:firstLine="562" w:firstLineChars="200"/>
        <w:jc w:val="left"/>
        <w:rPr>
          <w:rFonts w:ascii="宋体" w:hAnsi="宋体" w:cs="Arial"/>
          <w:b/>
          <w:color w:val="333333"/>
          <w:kern w:val="0"/>
          <w:sz w:val="28"/>
          <w:szCs w:val="28"/>
        </w:rPr>
      </w:pPr>
    </w:p>
    <w:p w14:paraId="3D1763E9">
      <w:pPr>
        <w:widowControl/>
        <w:shd w:val="clear" w:color="auto" w:fill="FFFFFF"/>
        <w:spacing w:line="360" w:lineRule="auto"/>
        <w:ind w:firstLine="562" w:firstLineChars="200"/>
        <w:jc w:val="left"/>
        <w:rPr>
          <w:rFonts w:ascii="宋体" w:hAnsi="宋体" w:cs="Arial"/>
          <w:b/>
          <w:color w:val="333333"/>
          <w:kern w:val="0"/>
          <w:sz w:val="28"/>
          <w:szCs w:val="28"/>
        </w:rPr>
      </w:pPr>
    </w:p>
    <w:p w14:paraId="795E0304">
      <w:pPr>
        <w:widowControl/>
        <w:shd w:val="clear" w:color="auto" w:fill="FFFFFF"/>
        <w:spacing w:line="360" w:lineRule="auto"/>
        <w:ind w:firstLine="562" w:firstLineChars="200"/>
        <w:jc w:val="left"/>
        <w:rPr>
          <w:rFonts w:ascii="宋体" w:hAnsi="宋体" w:cs="Arial"/>
          <w:b/>
          <w:color w:val="333333"/>
          <w:kern w:val="0"/>
          <w:sz w:val="28"/>
          <w:szCs w:val="28"/>
        </w:rPr>
      </w:pPr>
    </w:p>
    <w:p w14:paraId="33BDB70B">
      <w:pPr>
        <w:widowControl/>
        <w:shd w:val="clear" w:color="auto" w:fill="FFFFFF"/>
        <w:spacing w:line="360" w:lineRule="auto"/>
        <w:ind w:firstLine="562" w:firstLineChars="200"/>
        <w:jc w:val="left"/>
        <w:rPr>
          <w:rFonts w:ascii="宋体" w:hAnsi="宋体" w:cs="Arial"/>
          <w:b/>
          <w:color w:val="333333"/>
          <w:kern w:val="0"/>
          <w:sz w:val="28"/>
          <w:szCs w:val="28"/>
        </w:rPr>
      </w:pPr>
    </w:p>
    <w:p w14:paraId="36D83D4B">
      <w:pPr>
        <w:widowControl/>
        <w:shd w:val="clear" w:color="auto" w:fill="FFFFFF"/>
        <w:spacing w:line="360" w:lineRule="auto"/>
        <w:ind w:firstLine="562" w:firstLineChars="200"/>
        <w:jc w:val="left"/>
        <w:rPr>
          <w:rFonts w:ascii="宋体" w:hAnsi="宋体" w:cs="Arial"/>
          <w:b/>
          <w:color w:val="333333"/>
          <w:kern w:val="0"/>
          <w:sz w:val="28"/>
          <w:szCs w:val="28"/>
        </w:rPr>
      </w:pPr>
    </w:p>
    <w:p w14:paraId="54A90356">
      <w:pPr>
        <w:widowControl/>
        <w:shd w:val="clear" w:color="auto" w:fill="FFFFFF"/>
        <w:spacing w:line="360" w:lineRule="auto"/>
        <w:jc w:val="left"/>
        <w:rPr>
          <w:rFonts w:ascii="宋体" w:hAnsi="宋体" w:cs="Arial"/>
          <w:b/>
          <w:color w:val="333333"/>
          <w:kern w:val="0"/>
          <w:sz w:val="28"/>
          <w:szCs w:val="28"/>
        </w:rPr>
      </w:pPr>
    </w:p>
    <w:p w14:paraId="5A11DB37">
      <w:pPr>
        <w:widowControl/>
        <w:ind w:firstLine="482"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69D81016">
      <w:pPr>
        <w:widowControl/>
        <w:shd w:val="clear" w:color="auto" w:fill="FFFFFF"/>
        <w:spacing w:line="360" w:lineRule="auto"/>
        <w:ind w:firstLine="560" w:firstLineChars="200"/>
        <w:rPr>
          <w:rFonts w:hint="default"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根据国家关于数据安全的工作部署，开展单位全面排查，及时清理披露在互联网上的新系统构架、建设指南等敏感数据，切实防范数据泄露风险，消除安全隐患。</w:t>
      </w:r>
    </w:p>
    <w:p w14:paraId="09CDC1A8">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7211EC5E">
      <w:pPr>
        <w:spacing w:before="156" w:before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服务：</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5"/>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2240"/>
        <w:gridCol w:w="1716"/>
        <w:gridCol w:w="3622"/>
      </w:tblGrid>
      <w:tr w14:paraId="2A05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2A3EF0C6">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314" w:type="pct"/>
            <w:vAlign w:val="center"/>
          </w:tcPr>
          <w:p w14:paraId="18D1C4B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服务名称</w:t>
            </w:r>
          </w:p>
        </w:tc>
        <w:tc>
          <w:tcPr>
            <w:tcW w:w="1007" w:type="pct"/>
            <w:vAlign w:val="center"/>
          </w:tcPr>
          <w:p w14:paraId="4CAA9B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服务期限</w:t>
            </w:r>
          </w:p>
        </w:tc>
        <w:tc>
          <w:tcPr>
            <w:tcW w:w="2125" w:type="pct"/>
            <w:vAlign w:val="center"/>
          </w:tcPr>
          <w:p w14:paraId="6D3DC13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服务说明</w:t>
            </w:r>
          </w:p>
        </w:tc>
      </w:tr>
      <w:tr w14:paraId="6AB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097E669E">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314" w:type="pct"/>
            <w:vAlign w:val="center"/>
          </w:tcPr>
          <w:p w14:paraId="21EE2FF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敏感信息过度公开排查服务</w:t>
            </w:r>
          </w:p>
        </w:tc>
        <w:tc>
          <w:tcPr>
            <w:tcW w:w="1007" w:type="pct"/>
            <w:vAlign w:val="center"/>
          </w:tcPr>
          <w:p w14:paraId="4F982DAE">
            <w:pPr>
              <w:widowControl/>
              <w:spacing w:line="360" w:lineRule="auto"/>
              <w:jc w:val="center"/>
              <w:rPr>
                <w:rFonts w:hint="default" w:ascii="仿宋_GB2312" w:hAnsi="宋体" w:eastAsia="仿宋_GB2312"/>
                <w:sz w:val="24"/>
                <w:szCs w:val="24"/>
                <w:lang w:val="en-US" w:eastAsia="zh-CN"/>
              </w:rPr>
            </w:pPr>
            <w:r>
              <w:rPr>
                <w:rFonts w:hint="eastAsia" w:ascii="宋体" w:hAnsi="宋体" w:eastAsia="宋体" w:cs="宋体"/>
                <w:i w:val="0"/>
                <w:iCs w:val="0"/>
                <w:caps w:val="0"/>
                <w:color w:val="000000"/>
                <w:spacing w:val="0"/>
                <w:kern w:val="0"/>
                <w:sz w:val="24"/>
                <w:szCs w:val="24"/>
                <w:lang w:val="en-US" w:eastAsia="zh-CN" w:bidi="ar"/>
              </w:rPr>
              <w:t>20</w:t>
            </w:r>
            <w:r>
              <w:rPr>
                <w:rFonts w:hint="eastAsia" w:ascii="仿宋_GB2312" w:hAnsi="宋体" w:eastAsia="仿宋_GB2312"/>
                <w:sz w:val="24"/>
                <w:szCs w:val="24"/>
                <w:lang w:val="en-US" w:eastAsia="zh-CN"/>
              </w:rPr>
              <w:t>天</w:t>
            </w:r>
          </w:p>
        </w:tc>
        <w:tc>
          <w:tcPr>
            <w:tcW w:w="2125" w:type="pct"/>
            <w:vAlign w:val="center"/>
          </w:tcPr>
          <w:p w14:paraId="19BDED2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通过搜索引擎，测绘扫描、三方平台等方式，摸清本单位暴露在互联网易引发网络攻击、数据暴露的信息及资产，消除安全隐患。</w:t>
            </w:r>
          </w:p>
        </w:tc>
      </w:tr>
    </w:tbl>
    <w:p w14:paraId="50E2646F">
      <w:pPr>
        <w:spacing w:line="360" w:lineRule="auto"/>
        <w:ind w:firstLine="360" w:firstLineChars="150"/>
        <w:rPr>
          <w:rFonts w:ascii="仿宋_GB2312" w:hAnsi="宋体" w:eastAsia="仿宋_GB2312"/>
          <w:i/>
          <w:iCs/>
          <w:sz w:val="24"/>
          <w:szCs w:val="24"/>
        </w:rPr>
      </w:pPr>
    </w:p>
    <w:p w14:paraId="2B22636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67B528C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（一）敏感信息过度公开排查服务</w:t>
      </w:r>
    </w:p>
    <w:p w14:paraId="574F56FA">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功能要求：通过搜索引擎，测绘扫描、三方平台等方式，摸清本单位暴露在互联网易引发网络攻击、数据暴露的信息及资产，消除安全隐患</w:t>
      </w:r>
    </w:p>
    <w:p w14:paraId="2CD7C15F">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各项指标要求：</w:t>
      </w:r>
    </w:p>
    <w:tbl>
      <w:tblPr>
        <w:tblStyle w:val="5"/>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52"/>
        <w:gridCol w:w="5711"/>
      </w:tblGrid>
      <w:tr w14:paraId="6FE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vAlign w:val="center"/>
          </w:tcPr>
          <w:p w14:paraId="5528491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752" w:type="dxa"/>
            <w:vAlign w:val="center"/>
          </w:tcPr>
          <w:p w14:paraId="2707C54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5711" w:type="dxa"/>
            <w:vAlign w:val="center"/>
          </w:tcPr>
          <w:p w14:paraId="27930E5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r>
      <w:tr w14:paraId="335D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vAlign w:val="center"/>
          </w:tcPr>
          <w:p w14:paraId="59907C66">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752" w:type="dxa"/>
            <w:vAlign w:val="center"/>
          </w:tcPr>
          <w:p w14:paraId="0FD74342">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工作对象</w:t>
            </w:r>
          </w:p>
        </w:tc>
        <w:tc>
          <w:tcPr>
            <w:tcW w:w="5711" w:type="dxa"/>
            <w:vAlign w:val="center"/>
          </w:tcPr>
          <w:p w14:paraId="3891D330">
            <w:pPr>
              <w:widowControl/>
              <w:spacing w:line="360" w:lineRule="auto"/>
              <w:jc w:val="left"/>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排查数据包括，系统架构、代码密码和业务经营三类</w:t>
            </w:r>
          </w:p>
        </w:tc>
      </w:tr>
      <w:tr w14:paraId="028AA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shd w:val="clear"/>
            <w:vAlign w:val="center"/>
          </w:tcPr>
          <w:p w14:paraId="74AE7620">
            <w:pPr>
              <w:spacing w:line="360" w:lineRule="auto"/>
              <w:jc w:val="center"/>
              <w:rPr>
                <w:rFonts w:hint="eastAsia" w:ascii="仿宋_GB2312" w:hAnsi="宋体" w:eastAsia="仿宋_GB2312" w:cstheme="minorBidi"/>
                <w:kern w:val="2"/>
                <w:sz w:val="24"/>
                <w:szCs w:val="24"/>
                <w:lang w:val="en-US" w:eastAsia="zh-CN" w:bidi="ar-SA"/>
              </w:rPr>
            </w:pPr>
            <w:r>
              <w:rPr>
                <w:rFonts w:hint="eastAsia" w:ascii="仿宋_GB2312" w:hAnsi="宋体" w:eastAsia="仿宋_GB2312"/>
                <w:sz w:val="24"/>
                <w:szCs w:val="24"/>
              </w:rPr>
              <w:t>2</w:t>
            </w:r>
          </w:p>
        </w:tc>
        <w:tc>
          <w:tcPr>
            <w:tcW w:w="1752" w:type="dxa"/>
            <w:shd w:val="clear"/>
            <w:vAlign w:val="center"/>
          </w:tcPr>
          <w:p w14:paraId="0CD04B25">
            <w:pPr>
              <w:widowControl/>
              <w:spacing w:line="360" w:lineRule="auto"/>
              <w:jc w:val="center"/>
              <w:rPr>
                <w:rFonts w:hint="eastAsia" w:ascii="仿宋_GB2312" w:hAnsi="宋体" w:eastAsia="仿宋_GB2312" w:cstheme="minorBidi"/>
                <w:kern w:val="2"/>
                <w:sz w:val="24"/>
                <w:szCs w:val="24"/>
                <w:lang w:val="en-US" w:eastAsia="zh-CN" w:bidi="ar-SA"/>
              </w:rPr>
            </w:pPr>
            <w:r>
              <w:rPr>
                <w:rFonts w:hint="eastAsia" w:ascii="仿宋_GB2312" w:hAnsi="宋体" w:eastAsia="仿宋_GB2312"/>
                <w:sz w:val="24"/>
                <w:szCs w:val="24"/>
                <w:lang w:val="en-US" w:eastAsia="zh-CN"/>
              </w:rPr>
              <w:t>基础信息摸排</w:t>
            </w:r>
          </w:p>
        </w:tc>
        <w:tc>
          <w:tcPr>
            <w:tcW w:w="5711" w:type="dxa"/>
            <w:shd w:val="clear"/>
            <w:vAlign w:val="center"/>
          </w:tcPr>
          <w:p w14:paraId="47C684CA">
            <w:pPr>
              <w:widowControl/>
              <w:spacing w:line="360" w:lineRule="auto"/>
              <w:jc w:val="left"/>
              <w:rPr>
                <w:rFonts w:hint="eastAsia" w:ascii="仿宋_GB2312" w:hAnsi="宋体" w:eastAsia="仿宋_GB2312" w:cstheme="minorBidi"/>
                <w:kern w:val="2"/>
                <w:sz w:val="24"/>
                <w:szCs w:val="24"/>
                <w:lang w:val="en-US" w:eastAsia="zh-CN" w:bidi="ar-SA"/>
              </w:rPr>
            </w:pPr>
            <w:r>
              <w:rPr>
                <w:rFonts w:hint="eastAsia" w:ascii="仿宋_GB2312" w:hAnsi="宋体" w:eastAsia="仿宋_GB2312"/>
                <w:sz w:val="24"/>
                <w:szCs w:val="24"/>
                <w:lang w:val="en-US" w:eastAsia="zh-CN"/>
              </w:rPr>
              <w:t>搜索引擎基础域名资产排查</w:t>
            </w:r>
          </w:p>
        </w:tc>
      </w:tr>
      <w:tr w14:paraId="4E50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shd w:val="clear"/>
            <w:vAlign w:val="center"/>
          </w:tcPr>
          <w:p w14:paraId="7D320BF6">
            <w:pPr>
              <w:spacing w:line="360" w:lineRule="auto"/>
              <w:jc w:val="center"/>
              <w:rPr>
                <w:rFonts w:ascii="仿宋_GB2312" w:hAnsi="宋体" w:eastAsia="仿宋_GB2312" w:cstheme="minorBidi"/>
                <w:kern w:val="2"/>
                <w:sz w:val="24"/>
                <w:szCs w:val="24"/>
                <w:lang w:val="en-US" w:eastAsia="zh-CN" w:bidi="ar-SA"/>
              </w:rPr>
            </w:pPr>
            <w:r>
              <w:rPr>
                <w:rFonts w:hint="eastAsia" w:ascii="仿宋_GB2312" w:hAnsi="宋体" w:eastAsia="仿宋_GB2312"/>
                <w:sz w:val="24"/>
                <w:szCs w:val="24"/>
              </w:rPr>
              <w:t>3</w:t>
            </w:r>
          </w:p>
        </w:tc>
        <w:tc>
          <w:tcPr>
            <w:tcW w:w="1752" w:type="dxa"/>
            <w:vAlign w:val="center"/>
          </w:tcPr>
          <w:p w14:paraId="45B1C8F9">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全域资产归集</w:t>
            </w:r>
          </w:p>
        </w:tc>
        <w:tc>
          <w:tcPr>
            <w:tcW w:w="5711" w:type="dxa"/>
            <w:vAlign w:val="center"/>
          </w:tcPr>
          <w:p w14:paraId="73CE9E50">
            <w:pPr>
              <w:widowControl/>
              <w:spacing w:line="360" w:lineRule="auto"/>
              <w:jc w:val="left"/>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空间测绘平台全域资产摸排及台账建档</w:t>
            </w:r>
          </w:p>
        </w:tc>
      </w:tr>
      <w:tr w14:paraId="7D95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shd w:val="clear"/>
            <w:vAlign w:val="center"/>
          </w:tcPr>
          <w:p w14:paraId="3AFFAFEB">
            <w:pPr>
              <w:spacing w:line="360" w:lineRule="auto"/>
              <w:jc w:val="center"/>
              <w:rPr>
                <w:rFonts w:hint="eastAsia" w:ascii="仿宋_GB2312" w:hAnsi="宋体" w:eastAsia="仿宋_GB2312" w:cstheme="minorBidi"/>
                <w:kern w:val="2"/>
                <w:sz w:val="24"/>
                <w:szCs w:val="24"/>
                <w:lang w:val="en-US" w:eastAsia="zh-CN" w:bidi="ar-SA"/>
              </w:rPr>
            </w:pPr>
            <w:r>
              <w:rPr>
                <w:rFonts w:hint="eastAsia" w:ascii="仿宋_GB2312" w:hAnsi="宋体" w:eastAsia="仿宋_GB2312"/>
                <w:sz w:val="24"/>
                <w:szCs w:val="24"/>
                <w:lang w:val="en-US" w:eastAsia="zh-CN"/>
              </w:rPr>
              <w:t>4</w:t>
            </w:r>
          </w:p>
        </w:tc>
        <w:tc>
          <w:tcPr>
            <w:tcW w:w="1752" w:type="dxa"/>
            <w:vAlign w:val="center"/>
          </w:tcPr>
          <w:p w14:paraId="1E94ED44">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深度深挖核查</w:t>
            </w:r>
          </w:p>
        </w:tc>
        <w:tc>
          <w:tcPr>
            <w:tcW w:w="5711" w:type="dxa"/>
            <w:vAlign w:val="center"/>
          </w:tcPr>
          <w:p w14:paraId="7A58A745">
            <w:pPr>
              <w:widowControl/>
              <w:spacing w:line="360" w:lineRule="auto"/>
              <w:jc w:val="left"/>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端口目录扫描及增量资产敏感数据深度排查</w:t>
            </w:r>
          </w:p>
        </w:tc>
      </w:tr>
      <w:tr w14:paraId="4B15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shd w:val="clear"/>
            <w:vAlign w:val="center"/>
          </w:tcPr>
          <w:p w14:paraId="517D440E">
            <w:pPr>
              <w:spacing w:line="360" w:lineRule="auto"/>
              <w:jc w:val="center"/>
              <w:rPr>
                <w:rFonts w:hint="eastAsia" w:ascii="仿宋_GB2312" w:hAnsi="宋体" w:eastAsia="仿宋_GB2312" w:cstheme="minorBidi"/>
                <w:kern w:val="2"/>
                <w:sz w:val="24"/>
                <w:szCs w:val="24"/>
                <w:lang w:val="en-US" w:eastAsia="zh-CN" w:bidi="ar-SA"/>
              </w:rPr>
            </w:pPr>
            <w:r>
              <w:rPr>
                <w:rFonts w:hint="eastAsia" w:ascii="仿宋_GB2312" w:hAnsi="宋体" w:eastAsia="仿宋_GB2312"/>
                <w:sz w:val="24"/>
                <w:szCs w:val="24"/>
                <w:lang w:val="en-US" w:eastAsia="zh-CN"/>
              </w:rPr>
              <w:t>5</w:t>
            </w:r>
          </w:p>
        </w:tc>
        <w:tc>
          <w:tcPr>
            <w:tcW w:w="1752" w:type="dxa"/>
            <w:vAlign w:val="center"/>
          </w:tcPr>
          <w:p w14:paraId="4B9D71C8">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全域外延排查</w:t>
            </w:r>
          </w:p>
        </w:tc>
        <w:tc>
          <w:tcPr>
            <w:tcW w:w="5711" w:type="dxa"/>
            <w:vAlign w:val="center"/>
          </w:tcPr>
          <w:p w14:paraId="2E57B062">
            <w:pPr>
              <w:widowControl/>
              <w:spacing w:line="360" w:lineRule="auto"/>
              <w:jc w:val="left"/>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第三方多渠道相关单位敏感数据专项排查</w:t>
            </w:r>
          </w:p>
        </w:tc>
      </w:tr>
      <w:tr w14:paraId="276E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vAlign w:val="center"/>
          </w:tcPr>
          <w:p w14:paraId="1BF891EB">
            <w:pPr>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6</w:t>
            </w:r>
          </w:p>
        </w:tc>
        <w:tc>
          <w:tcPr>
            <w:tcW w:w="1752" w:type="dxa"/>
            <w:vAlign w:val="center"/>
          </w:tcPr>
          <w:p w14:paraId="61FC3810">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深层风险排查</w:t>
            </w:r>
          </w:p>
        </w:tc>
        <w:tc>
          <w:tcPr>
            <w:tcW w:w="5711" w:type="dxa"/>
            <w:vAlign w:val="center"/>
          </w:tcPr>
          <w:p w14:paraId="39D54029">
            <w:pPr>
              <w:widowControl/>
              <w:spacing w:line="360" w:lineRule="auto"/>
              <w:jc w:val="left"/>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暗网论坛相关泄露信息排查</w:t>
            </w:r>
          </w:p>
        </w:tc>
      </w:tr>
      <w:tr w14:paraId="0D21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84" w:type="dxa"/>
            <w:vAlign w:val="center"/>
          </w:tcPr>
          <w:p w14:paraId="1854A3D8">
            <w:pPr>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7</w:t>
            </w:r>
          </w:p>
        </w:tc>
        <w:tc>
          <w:tcPr>
            <w:tcW w:w="1752" w:type="dxa"/>
            <w:vAlign w:val="center"/>
          </w:tcPr>
          <w:p w14:paraId="65BC71AB">
            <w:pPr>
              <w:widowControl/>
              <w:spacing w:line="360" w:lineRule="auto"/>
              <w:jc w:val="center"/>
              <w:rPr>
                <w:rFonts w:hint="eastAsia" w:ascii="仿宋_GB2312" w:hAnsi="宋体" w:eastAsia="仿宋_GB2312"/>
                <w:sz w:val="24"/>
                <w:szCs w:val="24"/>
                <w:lang w:val="en-US" w:eastAsia="zh-CN"/>
              </w:rPr>
            </w:pPr>
          </w:p>
        </w:tc>
        <w:tc>
          <w:tcPr>
            <w:tcW w:w="5711" w:type="dxa"/>
            <w:vAlign w:val="center"/>
          </w:tcPr>
          <w:p w14:paraId="541C92CC">
            <w:pPr>
              <w:widowControl/>
              <w:spacing w:line="360" w:lineRule="auto"/>
              <w:jc w:val="left"/>
              <w:rPr>
                <w:rFonts w:hint="eastAsia" w:ascii="仿宋_GB2312" w:hAnsi="宋体" w:eastAsia="仿宋_GB2312"/>
                <w:sz w:val="24"/>
                <w:szCs w:val="24"/>
                <w:lang w:val="en-US" w:eastAsia="zh-CN"/>
              </w:rPr>
            </w:pP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7E7B8BFE">
      <w:pPr>
        <w:spacing w:line="360" w:lineRule="auto"/>
        <w:rPr>
          <w:rFonts w:ascii="仿宋_GB2312" w:hAnsi="宋体" w:eastAsia="仿宋_GB2312"/>
          <w:sz w:val="24"/>
          <w:szCs w:val="24"/>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D272944">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8C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12E993B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726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0229444C">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6A2CFB5B">
            <w:pPr>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时间或期限要求，如：合同签订之日起</w:t>
            </w:r>
            <w:r>
              <w:rPr>
                <w:rFonts w:hint="eastAsia" w:ascii="仿宋_GB2312" w:hAnsi="宋体" w:eastAsia="仿宋_GB2312" w:cs="宋体"/>
                <w:snapToGrid w:val="0"/>
                <w:kern w:val="0"/>
                <w:sz w:val="24"/>
                <w:szCs w:val="24"/>
                <w:lang w:val="en-US" w:eastAsia="zh-CN"/>
              </w:rPr>
              <w:t>20天</w:t>
            </w:r>
            <w:r>
              <w:rPr>
                <w:rFonts w:hint="eastAsia" w:ascii="仿宋_GB2312" w:hAnsi="宋体" w:eastAsia="仿宋_GB2312" w:cs="宋体"/>
                <w:snapToGrid w:val="0"/>
                <w:kern w:val="0"/>
                <w:sz w:val="24"/>
                <w:szCs w:val="24"/>
                <w:lang w:val="zh-CN"/>
              </w:rPr>
              <w:t>内完成</w:t>
            </w:r>
            <w:r>
              <w:rPr>
                <w:rFonts w:hint="eastAsia" w:ascii="仿宋_GB2312" w:hAnsi="宋体" w:eastAsia="仿宋_GB2312" w:cs="宋体"/>
                <w:snapToGrid w:val="0"/>
                <w:kern w:val="0"/>
                <w:sz w:val="24"/>
                <w:szCs w:val="24"/>
                <w:lang w:val="en-US" w:eastAsia="zh-CN"/>
              </w:rPr>
              <w:t>排查、整改以及报告撰写工作</w:t>
            </w:r>
            <w:r>
              <w:rPr>
                <w:rFonts w:hint="eastAsia" w:ascii="仿宋_GB2312" w:hAnsi="宋体" w:eastAsia="仿宋_GB2312" w:cs="宋体"/>
                <w:snapToGrid w:val="0"/>
                <w:kern w:val="0"/>
                <w:sz w:val="24"/>
                <w:szCs w:val="24"/>
                <w:lang w:val="zh-CN"/>
              </w:rPr>
              <w:t>。</w:t>
            </w:r>
          </w:p>
        </w:tc>
      </w:tr>
      <w:tr w14:paraId="499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11AC0DAE">
            <w:pPr>
              <w:autoSpaceDE w:val="0"/>
              <w:autoSpaceDN w:val="0"/>
              <w:adjustRightInd w:val="0"/>
              <w:snapToGrid w:val="0"/>
              <w:rPr>
                <w:rFonts w:ascii="仿宋_GB2312" w:hAnsi="宋体" w:eastAsia="仿宋_GB2312" w:cs="宋体"/>
                <w:snapToGrid w:val="0"/>
                <w:kern w:val="0"/>
                <w:sz w:val="24"/>
                <w:szCs w:val="24"/>
                <w:lang w:val="zh-CN"/>
              </w:rPr>
            </w:pPr>
          </w:p>
        </w:tc>
        <w:tc>
          <w:tcPr>
            <w:tcW w:w="5237" w:type="dxa"/>
            <w:vAlign w:val="center"/>
          </w:tcPr>
          <w:p w14:paraId="0F9BCCF1">
            <w:pPr>
              <w:autoSpaceDE w:val="0"/>
              <w:autoSpaceDN w:val="0"/>
              <w:adjustRightInd w:val="0"/>
              <w:snapToGrid w:val="0"/>
              <w:jc w:val="left"/>
              <w:rPr>
                <w:rFonts w:hint="default" w:ascii="仿宋_GB2312" w:hAnsi="宋体" w:eastAsia="仿宋_GB2312" w:cs="宋体"/>
                <w:snapToGrid w:val="0"/>
                <w:kern w:val="0"/>
                <w:sz w:val="24"/>
                <w:szCs w:val="24"/>
                <w:lang w:val="en-US" w:eastAsia="zh-CN"/>
              </w:rPr>
            </w:pPr>
            <w:r>
              <w:rPr>
                <w:rFonts w:hint="eastAsia" w:ascii="仿宋_GB2312" w:hAnsi="宋体" w:eastAsia="仿宋_GB2312" w:cs="宋体"/>
                <w:snapToGrid w:val="0"/>
                <w:kern w:val="0"/>
                <w:sz w:val="24"/>
                <w:szCs w:val="24"/>
                <w:lang w:val="en-US" w:eastAsia="zh-CN"/>
              </w:rPr>
              <w:t>中国地质大学（武汉）南望山校区</w:t>
            </w:r>
          </w:p>
        </w:tc>
      </w:tr>
      <w:tr w14:paraId="641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6DA1ED">
            <w:pPr>
              <w:autoSpaceDE w:val="0"/>
              <w:autoSpaceDN w:val="0"/>
              <w:adjustRightInd w:val="0"/>
              <w:snapToGrid w:val="0"/>
              <w:jc w:val="center"/>
              <w:rPr>
                <w:rFonts w:hint="eastAsia" w:ascii="仿宋_GB2312" w:hAnsi="宋体" w:eastAsia="仿宋_GB2312" w:cs="宋体"/>
                <w:snapToGrid w:val="0"/>
                <w:kern w:val="0"/>
                <w:sz w:val="24"/>
                <w:szCs w:val="24"/>
                <w:lang w:val="zh-CN" w:eastAsia="zh-CN"/>
              </w:rPr>
            </w:pPr>
            <w:r>
              <w:rPr>
                <w:rFonts w:hint="eastAsia" w:ascii="仿宋_GB2312" w:hAnsi="宋体" w:eastAsia="仿宋_GB2312" w:cs="宋体"/>
                <w:snapToGrid w:val="0"/>
                <w:kern w:val="0"/>
                <w:sz w:val="24"/>
                <w:szCs w:val="24"/>
                <w:lang w:val="en-US" w:eastAsia="zh-CN"/>
              </w:rPr>
              <w:t>3</w:t>
            </w:r>
          </w:p>
        </w:tc>
        <w:tc>
          <w:tcPr>
            <w:tcW w:w="1603"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3316AAE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5B8F9A7F">
            <w:pPr>
              <w:autoSpaceDE w:val="0"/>
              <w:autoSpaceDN w:val="0"/>
              <w:adjustRightInd w:val="0"/>
              <w:snapToGrid w:val="0"/>
              <w:jc w:val="left"/>
              <w:rPr>
                <w:rFonts w:hint="default" w:ascii="仿宋_GB2312" w:hAnsi="宋体" w:eastAsia="仿宋_GB2312" w:cs="宋体"/>
                <w:snapToGrid w:val="0"/>
                <w:kern w:val="0"/>
                <w:sz w:val="24"/>
                <w:szCs w:val="24"/>
                <w:lang w:val="en-US" w:eastAsia="zh-CN"/>
              </w:rPr>
            </w:pPr>
            <w:r>
              <w:rPr>
                <w:rFonts w:hint="eastAsia" w:ascii="仿宋_GB2312" w:hAnsi="宋体" w:eastAsia="仿宋_GB2312" w:cs="宋体"/>
                <w:snapToGrid w:val="0"/>
                <w:kern w:val="0"/>
                <w:sz w:val="24"/>
                <w:szCs w:val="24"/>
                <w:lang w:val="en-US" w:eastAsia="zh-CN"/>
              </w:rPr>
              <w:t>服务完成后凭排查报告，付合同金额的100%</w:t>
            </w:r>
          </w:p>
        </w:tc>
      </w:tr>
    </w:tbl>
    <w:p w14:paraId="77A994F7">
      <w:pPr>
        <w:spacing w:line="360" w:lineRule="auto"/>
        <w:jc w:val="left"/>
        <w:rPr>
          <w:rFonts w:ascii="仿宋_GB2312" w:hAnsi="宋体" w:eastAsia="仿宋_GB2312"/>
          <w:sz w:val="24"/>
          <w:szCs w:val="24"/>
        </w:rPr>
      </w:pPr>
    </w:p>
    <w:p w14:paraId="3358DD85">
      <w:pPr>
        <w:pStyle w:val="2"/>
      </w:pPr>
    </w:p>
    <w:p w14:paraId="26AC65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B0B49A4"/>
    <w:rsid w:val="3DC5607D"/>
    <w:rsid w:val="5C2B6482"/>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928</Words>
  <Characters>940</Characters>
  <Lines>0</Lines>
  <Paragraphs>0</Paragraphs>
  <TotalTime>1</TotalTime>
  <ScaleCrop>false</ScaleCrop>
  <LinksUpToDate>false</LinksUpToDate>
  <CharactersWithSpaces>1006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闫飞</cp:lastModifiedBy>
  <dcterms:modified xsi:type="dcterms:W3CDTF">2026-10-13T09:13:46Z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A00D9EF21C5F4DF8A9E06CD796C1C6F7_13</vt:lpwstr>
  </property>
  <property fmtid="{D5CDD505-2E9C-101B-9397-08002B2CF9AE}" pid="4" name="KSOTemplateDocerSaveRecord">
    <vt:lpwstr>eyJoZGlkIjoiYzQ3NjY0MDA2MDA1MTVkZGI0NGNjY2Y1NjZkYmVhMDEiLCJ1c2VySWQiOiIxNDcxNjk2MTU0In0=</vt:lpwstr>
  </property>
</Properties>
</file>