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C12067">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附件3：</w:t>
      </w:r>
    </w:p>
    <w:p w14:paraId="1954D28E">
      <w:pPr>
        <w:pStyle w:val="2"/>
        <w:spacing w:before="0" w:after="0" w:line="360" w:lineRule="auto"/>
        <w:rPr>
          <w:rFonts w:ascii="宋体" w:hAnsi="宋体"/>
          <w:sz w:val="36"/>
          <w:szCs w:val="36"/>
        </w:rPr>
      </w:pPr>
      <w:r>
        <w:rPr>
          <w:rFonts w:hint="eastAsia" w:ascii="宋体" w:hAnsi="宋体"/>
          <w:szCs w:val="28"/>
        </w:rPr>
        <w:drawing>
          <wp:inline distT="0" distB="0" distL="114300" distR="114300">
            <wp:extent cx="2712085" cy="636270"/>
            <wp:effectExtent l="0" t="0" r="635" b="3810"/>
            <wp:docPr id="7" name="图片 3"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1EB3668A">
      <w:pPr>
        <w:pStyle w:val="2"/>
        <w:spacing w:before="0" w:after="0" w:line="360" w:lineRule="auto"/>
        <w:jc w:val="center"/>
        <w:rPr>
          <w:rFonts w:ascii="宋体" w:hAnsi="宋体"/>
          <w:sz w:val="36"/>
          <w:szCs w:val="36"/>
        </w:rPr>
      </w:pPr>
    </w:p>
    <w:p w14:paraId="71B0311B">
      <w:pPr>
        <w:pStyle w:val="2"/>
        <w:spacing w:before="0" w:after="0" w:line="360" w:lineRule="auto"/>
        <w:jc w:val="center"/>
        <w:rPr>
          <w:rFonts w:ascii="宋体" w:hAnsi="宋体"/>
          <w:sz w:val="36"/>
          <w:szCs w:val="36"/>
        </w:rPr>
      </w:pPr>
    </w:p>
    <w:p w14:paraId="53B1BEE8">
      <w:pPr>
        <w:rPr>
          <w:rFonts w:ascii="宋体" w:hAnsi="宋体"/>
          <w:sz w:val="36"/>
          <w:szCs w:val="36"/>
        </w:rPr>
      </w:pPr>
    </w:p>
    <w:p w14:paraId="4BDDA829">
      <w:pPr>
        <w:jc w:val="center"/>
        <w:rPr>
          <w:rFonts w:ascii="方正小标宋简体" w:hAnsi="方正小标宋简体" w:eastAsia="方正小标宋简体"/>
          <w:sz w:val="48"/>
          <w:szCs w:val="48"/>
        </w:rPr>
      </w:pPr>
      <w:bookmarkStart w:id="15" w:name="_GoBack"/>
      <w:r>
        <w:rPr>
          <w:rFonts w:hint="eastAsia" w:ascii="方正小标宋简体" w:hAnsi="方正小标宋简体" w:eastAsia="方正小标宋简体"/>
          <w:sz w:val="48"/>
          <w:szCs w:val="48"/>
        </w:rPr>
        <w:t>采购实施计划</w:t>
      </w:r>
    </w:p>
    <w:bookmarkEnd w:id="15"/>
    <w:p w14:paraId="6FFB9689"/>
    <w:p w14:paraId="0FAC670E">
      <w:pPr>
        <w:ind w:firstLine="1044" w:firstLineChars="400"/>
        <w:rPr>
          <w:rFonts w:ascii="仿宋" w:hAnsi="仿宋" w:eastAsia="仿宋" w:cs="仿宋"/>
          <w:b/>
          <w:bCs/>
          <w:color w:val="000000"/>
          <w:kern w:val="0"/>
          <w:sz w:val="26"/>
          <w:szCs w:val="26"/>
          <w:shd w:val="clear" w:color="auto" w:fill="FFFFFF"/>
        </w:rPr>
      </w:pPr>
    </w:p>
    <w:p w14:paraId="414B11C1">
      <w:pPr>
        <w:ind w:firstLine="1044" w:firstLineChars="400"/>
        <w:rPr>
          <w:rFonts w:ascii="仿宋" w:hAnsi="仿宋" w:eastAsia="仿宋" w:cs="仿宋"/>
          <w:b/>
          <w:bCs/>
          <w:color w:val="000000"/>
          <w:kern w:val="0"/>
          <w:sz w:val="26"/>
          <w:szCs w:val="26"/>
          <w:shd w:val="clear" w:color="auto" w:fill="FFFFFF"/>
        </w:rPr>
      </w:pPr>
    </w:p>
    <w:p w14:paraId="7223FA2C">
      <w:pPr>
        <w:spacing w:line="720" w:lineRule="auto"/>
        <w:ind w:firstLine="1958" w:firstLineChars="612"/>
        <w:rPr>
          <w:rFonts w:ascii="方正小标宋简体" w:hAnsi="方正小标宋简体" w:eastAsia="方正小标宋简体" w:cs="仿宋"/>
          <w:bCs/>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ascii="Cambria" w:hAnsi="Cambria" w:eastAsia="方正小标宋简体" w:cs="Cambria"/>
          <w:bCs/>
          <w:color w:val="000000"/>
          <w:kern w:val="0"/>
          <w:sz w:val="32"/>
          <w:szCs w:val="32"/>
          <w:u w:val="single"/>
          <w:shd w:val="clear" w:color="auto" w:fill="FFFFFF"/>
        </w:rPr>
        <w:t>         </w:t>
      </w:r>
      <w:r>
        <w:rPr>
          <w:rFonts w:ascii="方正小标宋简体" w:hAnsi="方正小标宋简体" w:eastAsia="方正小标宋简体" w:cs="仿宋"/>
          <w:bCs/>
          <w:color w:val="000000"/>
          <w:kern w:val="0"/>
          <w:sz w:val="32"/>
          <w:szCs w:val="32"/>
          <w:u w:val="single"/>
          <w:shd w:val="clear" w:color="auto" w:fill="FFFFFF"/>
        </w:rPr>
        <w:t xml:space="preserve">    </w:t>
      </w:r>
      <w:r>
        <w:rPr>
          <w:rFonts w:ascii="Cambria" w:hAnsi="Cambria" w:eastAsia="方正小标宋简体" w:cs="Cambria"/>
          <w:bCs/>
          <w:color w:val="000000"/>
          <w:kern w:val="0"/>
          <w:sz w:val="32"/>
          <w:szCs w:val="32"/>
          <w:u w:val="single"/>
          <w:shd w:val="clear" w:color="auto" w:fill="FFFFFF"/>
        </w:rPr>
        <w:t>  </w:t>
      </w:r>
      <w:r>
        <w:rPr>
          <w:rFonts w:ascii="方正小标宋简体" w:hAnsi="方正小标宋简体" w:eastAsia="方正小标宋简体" w:cs="仿宋"/>
          <w:bCs/>
          <w:color w:val="000000"/>
          <w:kern w:val="0"/>
          <w:sz w:val="32"/>
          <w:szCs w:val="32"/>
          <w:u w:val="single"/>
          <w:shd w:val="clear" w:color="auto" w:fill="FFFFFF"/>
        </w:rPr>
        <w:t xml:space="preserve"> </w:t>
      </w:r>
      <w:r>
        <w:rPr>
          <w:rFonts w:ascii="Cambria" w:hAnsi="Cambria" w:eastAsia="方正小标宋简体" w:cs="Cambria"/>
          <w:bCs/>
          <w:color w:val="000000"/>
          <w:kern w:val="0"/>
          <w:sz w:val="32"/>
          <w:szCs w:val="32"/>
          <w:u w:val="single"/>
          <w:shd w:val="clear" w:color="auto" w:fill="FFFFFF"/>
        </w:rPr>
        <w:t>         </w:t>
      </w:r>
    </w:p>
    <w:p w14:paraId="657A1C8F">
      <w:pPr>
        <w:spacing w:line="720" w:lineRule="auto"/>
        <w:ind w:firstLine="1958" w:firstLineChars="612"/>
        <w:rPr>
          <w:rFonts w:ascii="Cambria" w:hAnsi="Cambria" w:eastAsia="方正小标宋简体" w:cs="Cambria"/>
          <w:bCs/>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bCs/>
          <w:color w:val="000000"/>
          <w:kern w:val="0"/>
          <w:sz w:val="32"/>
          <w:szCs w:val="32"/>
          <w:u w:val="single"/>
          <w:shd w:val="clear" w:color="auto" w:fill="FFFFFF"/>
        </w:rPr>
        <w:t>           </w:t>
      </w:r>
      <w:r>
        <w:rPr>
          <w:rFonts w:ascii="方正小标宋简体" w:hAnsi="方正小标宋简体" w:eastAsia="方正小标宋简体" w:cs="仿宋"/>
          <w:bCs/>
          <w:color w:val="000000"/>
          <w:kern w:val="0"/>
          <w:sz w:val="32"/>
          <w:szCs w:val="32"/>
          <w:u w:val="single"/>
          <w:shd w:val="clear" w:color="auto" w:fill="FFFFFF"/>
        </w:rPr>
        <w:t xml:space="preserve">    </w:t>
      </w:r>
      <w:r>
        <w:rPr>
          <w:rFonts w:ascii="Cambria" w:hAnsi="Cambria" w:eastAsia="方正小标宋简体" w:cs="Cambria"/>
          <w:bCs/>
          <w:color w:val="000000"/>
          <w:kern w:val="0"/>
          <w:sz w:val="32"/>
          <w:szCs w:val="32"/>
          <w:u w:val="single"/>
          <w:shd w:val="clear" w:color="auto" w:fill="FFFFFF"/>
        </w:rPr>
        <w:t>   </w:t>
      </w:r>
      <w:r>
        <w:rPr>
          <w:rFonts w:ascii="方正小标宋简体" w:hAnsi="方正小标宋简体" w:eastAsia="方正小标宋简体" w:cs="仿宋"/>
          <w:bCs/>
          <w:color w:val="000000"/>
          <w:kern w:val="0"/>
          <w:sz w:val="32"/>
          <w:szCs w:val="32"/>
          <w:u w:val="single"/>
          <w:shd w:val="clear" w:color="auto" w:fill="FFFFFF"/>
        </w:rPr>
        <w:t xml:space="preserve"> </w:t>
      </w:r>
      <w:r>
        <w:rPr>
          <w:rFonts w:ascii="Cambria" w:hAnsi="Cambria" w:eastAsia="方正小标宋简体" w:cs="Cambria"/>
          <w:bCs/>
          <w:color w:val="000000"/>
          <w:kern w:val="0"/>
          <w:sz w:val="32"/>
          <w:szCs w:val="32"/>
          <w:u w:val="single"/>
          <w:shd w:val="clear" w:color="auto" w:fill="FFFFFF"/>
        </w:rPr>
        <w:t>      </w:t>
      </w:r>
    </w:p>
    <w:p w14:paraId="3379B2CD">
      <w:pPr>
        <w:pStyle w:val="2"/>
        <w:rPr>
          <w:rFonts w:eastAsia="方正小标宋简体"/>
        </w:rPr>
      </w:pPr>
      <w:r>
        <w:rPr>
          <w:rFonts w:hint="eastAsia" w:eastAsia="方正小标宋简体"/>
        </w:rPr>
        <w:t xml:space="preserve">            </w:t>
      </w:r>
      <w:r>
        <w:rPr>
          <w:rFonts w:hint="eastAsia" w:ascii="方正小标宋简体" w:hAnsi="方正小标宋简体" w:eastAsia="方正小标宋简体" w:cs="仿宋"/>
          <w:b w:val="0"/>
          <w:color w:val="000000"/>
          <w:kern w:val="0"/>
          <w:shd w:val="clear" w:color="auto" w:fill="FFFFFF"/>
        </w:rPr>
        <w:t>编制单位：</w:t>
      </w:r>
      <w:r>
        <w:rPr>
          <w:rFonts w:ascii="Cambria" w:hAnsi="Cambria" w:eastAsia="方正小标宋简体" w:cs="Cambria"/>
          <w:color w:val="000000"/>
          <w:kern w:val="0"/>
          <w:u w:val="single"/>
          <w:shd w:val="clear" w:color="auto" w:fill="FFFFFF"/>
        </w:rPr>
        <w:t>              </w:t>
      </w:r>
      <w:r>
        <w:rPr>
          <w:rFonts w:ascii="方正小标宋简体" w:hAnsi="方正小标宋简体" w:eastAsia="方正小标宋简体" w:cs="仿宋"/>
          <w:color w:val="000000"/>
          <w:kern w:val="0"/>
          <w:u w:val="single"/>
          <w:shd w:val="clear" w:color="auto" w:fill="FFFFFF"/>
        </w:rPr>
        <w:t xml:space="preserve">     </w:t>
      </w:r>
      <w:r>
        <w:rPr>
          <w:rFonts w:ascii="Cambria" w:hAnsi="Cambria" w:eastAsia="方正小标宋简体" w:cs="Cambria"/>
          <w:color w:val="000000"/>
          <w:kern w:val="0"/>
          <w:u w:val="single"/>
          <w:shd w:val="clear" w:color="auto" w:fill="FFFFFF"/>
        </w:rPr>
        <w:t>       </w:t>
      </w:r>
    </w:p>
    <w:p w14:paraId="220EABBA">
      <w:pPr>
        <w:spacing w:line="720" w:lineRule="auto"/>
        <w:ind w:firstLine="1958" w:firstLineChars="612"/>
        <w:rPr>
          <w:rFonts w:ascii="方正小标宋简体" w:hAnsi="方正小标宋简体" w:eastAsia="方正小标宋简体" w:cs="仿宋"/>
          <w:bCs/>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bCs/>
          <w:color w:val="000000"/>
          <w:kern w:val="0"/>
          <w:sz w:val="32"/>
          <w:szCs w:val="32"/>
          <w:u w:val="single"/>
          <w:shd w:val="clear" w:color="auto" w:fill="FFFFFF"/>
        </w:rPr>
        <w:t>              </w:t>
      </w:r>
      <w:r>
        <w:rPr>
          <w:rFonts w:ascii="方正小标宋简体" w:hAnsi="方正小标宋简体" w:eastAsia="方正小标宋简体" w:cs="仿宋"/>
          <w:bCs/>
          <w:color w:val="000000"/>
          <w:kern w:val="0"/>
          <w:sz w:val="32"/>
          <w:szCs w:val="32"/>
          <w:u w:val="single"/>
          <w:shd w:val="clear" w:color="auto" w:fill="FFFFFF"/>
        </w:rPr>
        <w:t xml:space="preserve">     </w:t>
      </w:r>
      <w:r>
        <w:rPr>
          <w:rFonts w:ascii="Cambria" w:hAnsi="Cambria" w:eastAsia="方正小标宋简体" w:cs="Cambria"/>
          <w:bCs/>
          <w:color w:val="000000"/>
          <w:kern w:val="0"/>
          <w:sz w:val="32"/>
          <w:szCs w:val="32"/>
          <w:u w:val="single"/>
          <w:shd w:val="clear" w:color="auto" w:fill="FFFFFF"/>
        </w:rPr>
        <w:t>       </w:t>
      </w:r>
    </w:p>
    <w:p w14:paraId="1A5D8FE9">
      <w:pPr>
        <w:rPr>
          <w:rFonts w:ascii="宋体" w:hAnsi="宋体"/>
          <w:color w:val="FF0000"/>
          <w:sz w:val="28"/>
          <w:szCs w:val="28"/>
        </w:rPr>
      </w:pPr>
    </w:p>
    <w:p w14:paraId="13B7AF39">
      <w:pPr>
        <w:rPr>
          <w:rFonts w:ascii="宋体" w:hAnsi="宋体"/>
          <w:color w:val="FF0000"/>
          <w:sz w:val="28"/>
          <w:szCs w:val="28"/>
        </w:rPr>
      </w:pPr>
    </w:p>
    <w:p w14:paraId="61C36C49">
      <w:pPr>
        <w:rPr>
          <w:rFonts w:ascii="宋体" w:hAnsi="宋体"/>
          <w:color w:val="FF0000"/>
          <w:sz w:val="28"/>
          <w:szCs w:val="28"/>
        </w:rPr>
      </w:pPr>
    </w:p>
    <w:p w14:paraId="0B267053">
      <w:pPr>
        <w:rPr>
          <w:rFonts w:ascii="宋体" w:hAnsi="宋体"/>
          <w:color w:val="FF0000"/>
          <w:sz w:val="28"/>
          <w:szCs w:val="28"/>
        </w:rPr>
      </w:pPr>
    </w:p>
    <w:p w14:paraId="3961CFCE">
      <w:pPr>
        <w:widowControl/>
        <w:jc w:val="left"/>
        <w:rPr>
          <w:rFonts w:ascii="仿宋_GB2312" w:hAnsi="宋体" w:eastAsia="仿宋_GB2312" w:cs="仿宋"/>
          <w:b/>
          <w:color w:val="000000"/>
          <w:kern w:val="0"/>
          <w:sz w:val="32"/>
          <w:szCs w:val="32"/>
          <w:shd w:val="clear" w:color="auto" w:fill="FFFFFF"/>
        </w:rPr>
      </w:pPr>
      <w:r>
        <w:rPr>
          <w:rFonts w:ascii="仿宋_GB2312" w:hAnsi="宋体" w:eastAsia="仿宋_GB2312" w:cs="仿宋"/>
          <w:b/>
          <w:color w:val="000000"/>
          <w:kern w:val="0"/>
          <w:sz w:val="32"/>
          <w:szCs w:val="32"/>
          <w:shd w:val="clear" w:color="auto" w:fill="FFFFFF"/>
        </w:rPr>
        <w:br w:type="page"/>
      </w:r>
    </w:p>
    <w:p w14:paraId="04477EA9">
      <w:pPr>
        <w:jc w:val="center"/>
        <w:rPr>
          <w:rFonts w:ascii="仿宋_GB2312" w:hAnsi="宋体" w:eastAsia="仿宋_GB2312" w:cs="仿宋"/>
          <w:b/>
          <w:color w:val="000000"/>
          <w:kern w:val="0"/>
          <w:sz w:val="32"/>
          <w:szCs w:val="32"/>
          <w:shd w:val="clear" w:color="auto" w:fill="FFFFFF"/>
        </w:rPr>
      </w:pPr>
      <w:r>
        <w:rPr>
          <w:rFonts w:hint="eastAsia" w:ascii="仿宋_GB2312" w:hAnsi="宋体" w:eastAsia="仿宋_GB2312" w:cs="仿宋"/>
          <w:b/>
          <w:color w:val="000000"/>
          <w:kern w:val="0"/>
          <w:sz w:val="32"/>
          <w:szCs w:val="32"/>
          <w:shd w:val="clear" w:color="auto" w:fill="FFFFFF"/>
        </w:rPr>
        <w:t>编制说明</w:t>
      </w:r>
    </w:p>
    <w:p w14:paraId="24CF8A54">
      <w:pPr>
        <w:widowControl/>
        <w:spacing w:line="560" w:lineRule="atLeast"/>
        <w:ind w:firstLine="640"/>
        <w:jc w:val="left"/>
        <w:rPr>
          <w:rFonts w:ascii="仿宋_GB2312" w:hAnsi="宋体" w:eastAsia="仿宋_GB2312" w:cs="仿宋"/>
          <w:color w:val="000000"/>
          <w:kern w:val="0"/>
          <w:sz w:val="28"/>
          <w:szCs w:val="28"/>
          <w:shd w:val="clear" w:color="auto" w:fill="FFFFFF"/>
        </w:rPr>
      </w:pPr>
    </w:p>
    <w:p w14:paraId="0DF116FB">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一、由采购与招标管理中心或委托代理机构根据用户单位提交的采购需求书编制采购实施计划。</w:t>
      </w:r>
    </w:p>
    <w:p w14:paraId="6E8160AE">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二、编制的采购实施计划应当符合《财政部关于印发政府采购需求管理办法的通知》（财库〔2021〕22号）要求以及政府采购的相关政策规定。</w:t>
      </w:r>
    </w:p>
    <w:p w14:paraId="47EE2D2D">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2A072BCD">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4CD471A3">
      <w:pPr>
        <w:rPr>
          <w:sz w:val="28"/>
          <w:szCs w:val="28"/>
        </w:rPr>
      </w:pPr>
    </w:p>
    <w:p w14:paraId="123179C0">
      <w:pPr>
        <w:spacing w:line="360" w:lineRule="auto"/>
      </w:pPr>
    </w:p>
    <w:p w14:paraId="730D2926">
      <w:pPr>
        <w:widowControl/>
        <w:shd w:val="clear" w:color="auto" w:fill="FFFFFF"/>
        <w:spacing w:line="360" w:lineRule="auto"/>
        <w:ind w:firstLine="562" w:firstLineChars="200"/>
        <w:jc w:val="left"/>
        <w:rPr>
          <w:rFonts w:ascii="宋体" w:hAnsi="宋体" w:cs="Arial"/>
          <w:b/>
          <w:color w:val="333333"/>
          <w:kern w:val="0"/>
          <w:sz w:val="28"/>
          <w:szCs w:val="28"/>
        </w:rPr>
      </w:pPr>
    </w:p>
    <w:p w14:paraId="4E435EA1">
      <w:pPr>
        <w:widowControl/>
        <w:shd w:val="clear" w:color="auto" w:fill="FFFFFF"/>
        <w:spacing w:line="360" w:lineRule="auto"/>
        <w:ind w:firstLine="562" w:firstLineChars="200"/>
        <w:jc w:val="left"/>
        <w:rPr>
          <w:rFonts w:ascii="宋体" w:hAnsi="宋体" w:cs="Arial"/>
          <w:b/>
          <w:color w:val="333333"/>
          <w:kern w:val="0"/>
          <w:sz w:val="28"/>
          <w:szCs w:val="28"/>
        </w:rPr>
      </w:pPr>
    </w:p>
    <w:p w14:paraId="4C38F458">
      <w:pPr>
        <w:widowControl/>
        <w:shd w:val="clear" w:color="auto" w:fill="FFFFFF"/>
        <w:spacing w:line="360" w:lineRule="auto"/>
        <w:ind w:firstLine="562" w:firstLineChars="200"/>
        <w:jc w:val="left"/>
        <w:rPr>
          <w:rFonts w:ascii="宋体" w:hAnsi="宋体" w:cs="Arial"/>
          <w:b/>
          <w:color w:val="333333"/>
          <w:kern w:val="0"/>
          <w:sz w:val="28"/>
          <w:szCs w:val="28"/>
        </w:rPr>
      </w:pPr>
    </w:p>
    <w:p w14:paraId="745DDB84">
      <w:pPr>
        <w:widowControl/>
        <w:shd w:val="clear" w:color="auto" w:fill="FFFFFF"/>
        <w:spacing w:line="360" w:lineRule="auto"/>
        <w:ind w:firstLine="562" w:firstLineChars="200"/>
        <w:jc w:val="left"/>
        <w:rPr>
          <w:rFonts w:ascii="宋体" w:hAnsi="宋体" w:cs="Arial"/>
          <w:b/>
          <w:color w:val="333333"/>
          <w:kern w:val="0"/>
          <w:sz w:val="28"/>
          <w:szCs w:val="28"/>
        </w:rPr>
      </w:pPr>
    </w:p>
    <w:p w14:paraId="2B79C3C4">
      <w:pPr>
        <w:widowControl/>
        <w:shd w:val="clear" w:color="auto" w:fill="FFFFFF"/>
        <w:spacing w:line="360" w:lineRule="auto"/>
        <w:ind w:firstLine="562" w:firstLineChars="200"/>
        <w:jc w:val="left"/>
        <w:rPr>
          <w:rFonts w:ascii="宋体" w:hAnsi="宋体" w:cs="Arial"/>
          <w:b/>
          <w:color w:val="333333"/>
          <w:kern w:val="0"/>
          <w:sz w:val="28"/>
          <w:szCs w:val="28"/>
        </w:rPr>
      </w:pPr>
    </w:p>
    <w:p w14:paraId="7688B5B0">
      <w:pPr>
        <w:widowControl/>
        <w:shd w:val="clear" w:color="auto" w:fill="FFFFFF"/>
        <w:spacing w:line="360" w:lineRule="auto"/>
        <w:ind w:firstLine="562" w:firstLineChars="200"/>
        <w:jc w:val="left"/>
        <w:rPr>
          <w:rFonts w:ascii="宋体" w:hAnsi="宋体" w:cs="Arial"/>
          <w:b/>
          <w:color w:val="333333"/>
          <w:kern w:val="0"/>
          <w:sz w:val="28"/>
          <w:szCs w:val="28"/>
        </w:rPr>
      </w:pPr>
    </w:p>
    <w:p w14:paraId="178332DF">
      <w:pPr>
        <w:widowControl/>
        <w:shd w:val="clear" w:color="auto" w:fill="FFFFFF"/>
        <w:spacing w:line="360" w:lineRule="auto"/>
        <w:ind w:firstLine="562" w:firstLineChars="200"/>
        <w:jc w:val="left"/>
        <w:rPr>
          <w:rFonts w:ascii="宋体" w:hAnsi="宋体" w:cs="Arial"/>
          <w:b/>
          <w:color w:val="333333"/>
          <w:kern w:val="0"/>
          <w:sz w:val="28"/>
          <w:szCs w:val="28"/>
        </w:rPr>
      </w:pPr>
    </w:p>
    <w:p w14:paraId="02E0116F">
      <w:pPr>
        <w:widowControl/>
        <w:shd w:val="clear" w:color="auto" w:fill="FFFFFF"/>
        <w:spacing w:line="360" w:lineRule="auto"/>
        <w:jc w:val="left"/>
        <w:rPr>
          <w:rFonts w:ascii="宋体" w:hAnsi="宋体" w:cs="Arial"/>
          <w:b/>
          <w:color w:val="333333"/>
          <w:kern w:val="0"/>
          <w:sz w:val="28"/>
          <w:szCs w:val="28"/>
        </w:rPr>
      </w:pPr>
    </w:p>
    <w:p w14:paraId="53967E78">
      <w:pPr>
        <w:ind w:firstLine="140" w:firstLineChars="50"/>
        <w:rPr>
          <w:sz w:val="28"/>
        </w:rPr>
      </w:pPr>
      <w:r>
        <w:rPr>
          <w:rFonts w:ascii="宋体"/>
          <w:sz w:val="28"/>
        </w:rPr>
        <w:br w:type="page"/>
      </w:r>
      <w:r>
        <w:rPr>
          <w:rFonts w:hint="eastAsia" w:ascii="仿宋_GB2312" w:hAnsi="黑体" w:eastAsia="仿宋_GB2312"/>
          <w:b/>
          <w:bCs/>
          <w:sz w:val="32"/>
          <w:szCs w:val="32"/>
        </w:rPr>
        <w:t>一、合同订立安排</w:t>
      </w:r>
    </w:p>
    <w:p w14:paraId="79B456E8">
      <w:pPr>
        <w:pStyle w:val="6"/>
        <w:spacing w:line="360" w:lineRule="auto"/>
        <w:ind w:firstLine="562"/>
        <w:rPr>
          <w:rFonts w:ascii="仿宋_GB2312" w:hAnsi="宋体" w:eastAsia="仿宋_GB2312"/>
          <w:b/>
          <w:bCs/>
          <w:sz w:val="28"/>
          <w:szCs w:val="24"/>
        </w:rPr>
      </w:pPr>
      <w:bookmarkStart w:id="0" w:name="_Toc13411"/>
      <w:r>
        <w:rPr>
          <w:rFonts w:hint="eastAsia" w:ascii="仿宋_GB2312" w:hAnsi="宋体" w:eastAsia="仿宋_GB2312"/>
          <w:b/>
          <w:bCs/>
          <w:sz w:val="28"/>
          <w:szCs w:val="24"/>
        </w:rPr>
        <w:t>（一）项目采购预算</w:t>
      </w:r>
      <w:bookmarkEnd w:id="0"/>
    </w:p>
    <w:p w14:paraId="65994A27">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1.项目采购预算：（币种）</w:t>
      </w:r>
      <w:r>
        <w:rPr>
          <w:rFonts w:hint="eastAsia" w:ascii="仿宋_GB2312" w:hAnsi="宋体" w:eastAsia="仿宋_GB2312" w:cs="仿宋"/>
          <w:sz w:val="24"/>
          <w:szCs w:val="24"/>
          <w:u w:val="single"/>
        </w:rPr>
        <w:t>大写</w:t>
      </w:r>
      <w:r>
        <w:rPr>
          <w:rFonts w:hint="eastAsia" w:ascii="仿宋_GB2312" w:hAnsi="宋体" w:eastAsia="仿宋_GB2312" w:cs="仿宋"/>
          <w:sz w:val="24"/>
          <w:szCs w:val="24"/>
        </w:rPr>
        <w:t>，</w:t>
      </w:r>
      <w:r>
        <w:rPr>
          <w:rFonts w:hint="eastAsia" w:ascii="仿宋_GB2312" w:hAnsi="宋体" w:eastAsia="仿宋_GB2312" w:cs="仿宋"/>
          <w:sz w:val="24"/>
          <w:szCs w:val="24"/>
          <w:u w:val="single"/>
        </w:rPr>
        <w:t>小写</w:t>
      </w:r>
    </w:p>
    <w:p w14:paraId="5B6C7158">
      <w:pPr>
        <w:widowControl/>
        <w:spacing w:line="360" w:lineRule="auto"/>
        <w:ind w:firstLine="600"/>
        <w:jc w:val="left"/>
        <w:rPr>
          <w:rFonts w:ascii="仿宋_GB2312" w:hAnsi="宋体" w:eastAsia="仿宋_GB2312" w:cs="仿宋"/>
          <w:sz w:val="24"/>
          <w:szCs w:val="24"/>
          <w:u w:val="single"/>
        </w:rPr>
      </w:pPr>
      <w:r>
        <w:rPr>
          <w:rFonts w:hint="eastAsia" w:ascii="仿宋_GB2312" w:hAnsi="宋体" w:eastAsia="仿宋_GB2312" w:cs="仿宋"/>
          <w:sz w:val="24"/>
          <w:szCs w:val="24"/>
        </w:rPr>
        <w:t>2.项目最高限价：（币种）</w:t>
      </w:r>
      <w:r>
        <w:rPr>
          <w:rFonts w:hint="eastAsia" w:ascii="仿宋_GB2312" w:hAnsi="宋体" w:eastAsia="仿宋_GB2312" w:cs="仿宋"/>
          <w:sz w:val="24"/>
          <w:szCs w:val="24"/>
          <w:u w:val="single"/>
        </w:rPr>
        <w:t>大写</w:t>
      </w:r>
      <w:r>
        <w:rPr>
          <w:rFonts w:hint="eastAsia" w:ascii="仿宋_GB2312" w:hAnsi="宋体" w:eastAsia="仿宋_GB2312" w:cs="仿宋"/>
          <w:sz w:val="24"/>
          <w:szCs w:val="24"/>
        </w:rPr>
        <w:t>，</w:t>
      </w:r>
      <w:r>
        <w:rPr>
          <w:rFonts w:hint="eastAsia" w:ascii="仿宋_GB2312" w:hAnsi="宋体" w:eastAsia="仿宋_GB2312" w:cs="仿宋"/>
          <w:sz w:val="24"/>
          <w:szCs w:val="24"/>
          <w:u w:val="single"/>
        </w:rPr>
        <w:t>小写</w:t>
      </w:r>
    </w:p>
    <w:p w14:paraId="1D9ACAAD">
      <w:pPr>
        <w:pStyle w:val="6"/>
        <w:spacing w:line="360" w:lineRule="auto"/>
        <w:ind w:firstLine="562"/>
        <w:rPr>
          <w:rFonts w:ascii="仿宋_GB2312" w:hAnsi="宋体" w:eastAsia="仿宋_GB2312"/>
          <w:b/>
          <w:bCs/>
          <w:sz w:val="28"/>
          <w:szCs w:val="24"/>
        </w:rPr>
      </w:pPr>
      <w:bookmarkStart w:id="1" w:name="_Toc23746"/>
      <w:r>
        <w:rPr>
          <w:rFonts w:hint="eastAsia" w:ascii="仿宋_GB2312" w:hAnsi="宋体" w:eastAsia="仿宋_GB2312"/>
          <w:b/>
          <w:bCs/>
          <w:sz w:val="28"/>
          <w:szCs w:val="24"/>
        </w:rPr>
        <w:t>（二）开展采购活动的时间安排</w:t>
      </w:r>
      <w:bookmarkEnd w:id="1"/>
    </w:p>
    <w:tbl>
      <w:tblPr>
        <w:tblStyle w:val="4"/>
        <w:tblW w:w="48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0"/>
        <w:gridCol w:w="3827"/>
        <w:gridCol w:w="3261"/>
      </w:tblGrid>
      <w:tr w14:paraId="4498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noWrap/>
          </w:tcPr>
          <w:p w14:paraId="0B78125A">
            <w:pPr>
              <w:tabs>
                <w:tab w:val="left" w:pos="864"/>
              </w:tabs>
              <w:spacing w:line="360" w:lineRule="auto"/>
              <w:jc w:val="center"/>
              <w:rPr>
                <w:rFonts w:ascii="仿宋_GB2312" w:hAnsi="宋体" w:eastAsia="仿宋_GB2312"/>
                <w:b/>
                <w:bCs/>
                <w:kern w:val="0"/>
                <w:sz w:val="24"/>
                <w:szCs w:val="24"/>
              </w:rPr>
            </w:pPr>
            <w:r>
              <w:rPr>
                <w:rFonts w:hint="eastAsia" w:ascii="仿宋_GB2312" w:hAnsi="宋体" w:eastAsia="仿宋_GB2312"/>
                <w:b/>
                <w:bCs/>
                <w:kern w:val="0"/>
                <w:sz w:val="24"/>
                <w:szCs w:val="24"/>
              </w:rPr>
              <w:t>序号</w:t>
            </w:r>
          </w:p>
        </w:tc>
        <w:tc>
          <w:tcPr>
            <w:tcW w:w="2337" w:type="pct"/>
            <w:noWrap/>
          </w:tcPr>
          <w:p w14:paraId="481B8C84">
            <w:pPr>
              <w:tabs>
                <w:tab w:val="left" w:pos="864"/>
              </w:tabs>
              <w:spacing w:line="360" w:lineRule="auto"/>
              <w:jc w:val="center"/>
              <w:rPr>
                <w:rFonts w:ascii="仿宋_GB2312" w:hAnsi="宋体" w:eastAsia="仿宋_GB2312"/>
                <w:b/>
                <w:bCs/>
                <w:kern w:val="0"/>
                <w:sz w:val="24"/>
                <w:szCs w:val="24"/>
              </w:rPr>
            </w:pPr>
            <w:r>
              <w:rPr>
                <w:rFonts w:hint="eastAsia" w:ascii="仿宋_GB2312" w:hAnsi="宋体" w:eastAsia="仿宋_GB2312"/>
                <w:b/>
                <w:bCs/>
                <w:kern w:val="0"/>
                <w:sz w:val="24"/>
                <w:szCs w:val="24"/>
              </w:rPr>
              <w:t>事项</w:t>
            </w:r>
          </w:p>
        </w:tc>
        <w:tc>
          <w:tcPr>
            <w:tcW w:w="1991" w:type="pct"/>
            <w:noWrap/>
          </w:tcPr>
          <w:p w14:paraId="4DA4394A">
            <w:pPr>
              <w:tabs>
                <w:tab w:val="left" w:pos="864"/>
              </w:tabs>
              <w:spacing w:line="360" w:lineRule="auto"/>
              <w:jc w:val="center"/>
              <w:rPr>
                <w:rFonts w:ascii="仿宋_GB2312" w:hAnsi="宋体" w:eastAsia="仿宋_GB2312"/>
                <w:b/>
                <w:bCs/>
                <w:kern w:val="0"/>
                <w:sz w:val="24"/>
                <w:szCs w:val="24"/>
              </w:rPr>
            </w:pPr>
            <w:r>
              <w:rPr>
                <w:rFonts w:hint="eastAsia" w:ascii="仿宋_GB2312" w:hAnsi="宋体" w:eastAsia="仿宋_GB2312"/>
                <w:b/>
                <w:bCs/>
                <w:kern w:val="0"/>
                <w:sz w:val="24"/>
                <w:szCs w:val="24"/>
              </w:rPr>
              <w:t>时间安排</w:t>
            </w:r>
          </w:p>
        </w:tc>
      </w:tr>
      <w:tr w14:paraId="3FA07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noWrap/>
          </w:tcPr>
          <w:p w14:paraId="3F15E0CF">
            <w:pPr>
              <w:pStyle w:val="7"/>
              <w:numPr>
                <w:ilvl w:val="0"/>
                <w:numId w:val="1"/>
              </w:numPr>
              <w:tabs>
                <w:tab w:val="left" w:pos="864"/>
              </w:tabs>
              <w:spacing w:line="360" w:lineRule="auto"/>
              <w:ind w:firstLineChars="0"/>
              <w:jc w:val="center"/>
              <w:rPr>
                <w:rFonts w:ascii="仿宋_GB2312" w:hAnsi="宋体" w:eastAsia="仿宋_GB2312"/>
                <w:kern w:val="0"/>
                <w:sz w:val="24"/>
                <w:szCs w:val="24"/>
              </w:rPr>
            </w:pPr>
          </w:p>
        </w:tc>
        <w:tc>
          <w:tcPr>
            <w:tcW w:w="2337" w:type="pct"/>
            <w:noWrap/>
          </w:tcPr>
          <w:p w14:paraId="07F5537B">
            <w:pPr>
              <w:tabs>
                <w:tab w:val="left" w:pos="864"/>
              </w:tabs>
              <w:spacing w:line="360" w:lineRule="auto"/>
              <w:jc w:val="center"/>
              <w:rPr>
                <w:rFonts w:ascii="仿宋_GB2312" w:hAnsi="宋体" w:eastAsia="仿宋_GB2312"/>
                <w:kern w:val="0"/>
                <w:sz w:val="24"/>
                <w:szCs w:val="24"/>
              </w:rPr>
            </w:pPr>
            <w:r>
              <w:rPr>
                <w:rFonts w:hint="eastAsia" w:ascii="仿宋_GB2312" w:hAnsi="宋体" w:eastAsia="仿宋_GB2312"/>
                <w:kern w:val="0"/>
                <w:sz w:val="24"/>
                <w:szCs w:val="24"/>
              </w:rPr>
              <w:t>政府采购意向公开</w:t>
            </w:r>
          </w:p>
        </w:tc>
        <w:tc>
          <w:tcPr>
            <w:tcW w:w="1991" w:type="pct"/>
            <w:noWrap/>
          </w:tcPr>
          <w:p w14:paraId="7B199A8E">
            <w:pPr>
              <w:tabs>
                <w:tab w:val="left" w:pos="864"/>
              </w:tabs>
              <w:spacing w:line="360" w:lineRule="auto"/>
              <w:jc w:val="center"/>
              <w:rPr>
                <w:rFonts w:ascii="仿宋_GB2312" w:hAnsi="宋体" w:eastAsia="仿宋_GB2312"/>
                <w:b/>
                <w:bCs/>
                <w:kern w:val="0"/>
                <w:sz w:val="24"/>
                <w:szCs w:val="24"/>
              </w:rPr>
            </w:pPr>
          </w:p>
        </w:tc>
      </w:tr>
      <w:tr w14:paraId="3395D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noWrap/>
          </w:tcPr>
          <w:p w14:paraId="179F6C5F">
            <w:pPr>
              <w:pStyle w:val="7"/>
              <w:numPr>
                <w:ilvl w:val="0"/>
                <w:numId w:val="1"/>
              </w:numPr>
              <w:tabs>
                <w:tab w:val="left" w:pos="864"/>
              </w:tabs>
              <w:spacing w:line="360" w:lineRule="auto"/>
              <w:ind w:firstLineChars="0"/>
              <w:jc w:val="center"/>
              <w:rPr>
                <w:rFonts w:ascii="仿宋_GB2312" w:hAnsi="宋体" w:eastAsia="仿宋_GB2312"/>
                <w:kern w:val="0"/>
                <w:sz w:val="24"/>
                <w:szCs w:val="24"/>
              </w:rPr>
            </w:pPr>
          </w:p>
        </w:tc>
        <w:tc>
          <w:tcPr>
            <w:tcW w:w="2337" w:type="pct"/>
            <w:noWrap/>
          </w:tcPr>
          <w:p w14:paraId="3B27E0C0">
            <w:pPr>
              <w:tabs>
                <w:tab w:val="left" w:pos="864"/>
              </w:tabs>
              <w:spacing w:line="360" w:lineRule="auto"/>
              <w:jc w:val="center"/>
              <w:rPr>
                <w:rFonts w:ascii="仿宋_GB2312" w:hAnsi="宋体" w:eastAsia="仿宋_GB2312"/>
                <w:kern w:val="0"/>
                <w:sz w:val="24"/>
                <w:szCs w:val="24"/>
              </w:rPr>
            </w:pPr>
            <w:r>
              <w:rPr>
                <w:rFonts w:hint="eastAsia" w:ascii="仿宋_GB2312" w:hAnsi="宋体" w:eastAsia="仿宋_GB2312"/>
                <w:kern w:val="0"/>
                <w:sz w:val="24"/>
                <w:szCs w:val="24"/>
              </w:rPr>
              <w:t>政府采购计划申报</w:t>
            </w:r>
          </w:p>
        </w:tc>
        <w:tc>
          <w:tcPr>
            <w:tcW w:w="1991" w:type="pct"/>
            <w:noWrap/>
          </w:tcPr>
          <w:p w14:paraId="1FDC86B4">
            <w:pPr>
              <w:tabs>
                <w:tab w:val="left" w:pos="864"/>
              </w:tabs>
              <w:spacing w:line="360" w:lineRule="auto"/>
              <w:jc w:val="center"/>
              <w:rPr>
                <w:rFonts w:ascii="仿宋_GB2312" w:hAnsi="宋体" w:eastAsia="仿宋_GB2312"/>
                <w:b/>
                <w:bCs/>
                <w:kern w:val="0"/>
                <w:sz w:val="24"/>
                <w:szCs w:val="24"/>
              </w:rPr>
            </w:pPr>
          </w:p>
        </w:tc>
      </w:tr>
      <w:tr w14:paraId="34AA4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noWrap/>
          </w:tcPr>
          <w:p w14:paraId="286CF301">
            <w:pPr>
              <w:pStyle w:val="7"/>
              <w:numPr>
                <w:ilvl w:val="0"/>
                <w:numId w:val="1"/>
              </w:numPr>
              <w:tabs>
                <w:tab w:val="left" w:pos="864"/>
              </w:tabs>
              <w:spacing w:line="360" w:lineRule="auto"/>
              <w:ind w:firstLineChars="0"/>
              <w:jc w:val="center"/>
              <w:rPr>
                <w:rFonts w:ascii="仿宋_GB2312" w:hAnsi="宋体" w:eastAsia="仿宋_GB2312"/>
                <w:kern w:val="0"/>
                <w:sz w:val="24"/>
                <w:szCs w:val="24"/>
              </w:rPr>
            </w:pPr>
          </w:p>
        </w:tc>
        <w:tc>
          <w:tcPr>
            <w:tcW w:w="2337" w:type="pct"/>
            <w:noWrap/>
          </w:tcPr>
          <w:p w14:paraId="201A160C">
            <w:pPr>
              <w:tabs>
                <w:tab w:val="left" w:pos="864"/>
              </w:tabs>
              <w:spacing w:line="360" w:lineRule="auto"/>
              <w:jc w:val="center"/>
              <w:rPr>
                <w:rFonts w:ascii="仿宋_GB2312" w:hAnsi="宋体" w:eastAsia="仿宋_GB2312"/>
                <w:kern w:val="0"/>
                <w:sz w:val="24"/>
                <w:szCs w:val="24"/>
              </w:rPr>
            </w:pPr>
            <w:r>
              <w:rPr>
                <w:rFonts w:hint="eastAsia" w:ascii="仿宋_GB2312" w:hAnsi="宋体" w:eastAsia="仿宋_GB2312"/>
                <w:kern w:val="0"/>
                <w:sz w:val="24"/>
                <w:szCs w:val="24"/>
              </w:rPr>
              <w:t>办理项目备案（如有）</w:t>
            </w:r>
          </w:p>
        </w:tc>
        <w:tc>
          <w:tcPr>
            <w:tcW w:w="1991" w:type="pct"/>
            <w:noWrap/>
          </w:tcPr>
          <w:p w14:paraId="63D5E674">
            <w:pPr>
              <w:tabs>
                <w:tab w:val="left" w:pos="864"/>
              </w:tabs>
              <w:spacing w:line="360" w:lineRule="auto"/>
              <w:jc w:val="center"/>
              <w:rPr>
                <w:rFonts w:ascii="仿宋_GB2312" w:hAnsi="宋体" w:eastAsia="仿宋_GB2312"/>
                <w:kern w:val="0"/>
                <w:sz w:val="24"/>
                <w:szCs w:val="24"/>
              </w:rPr>
            </w:pPr>
          </w:p>
        </w:tc>
      </w:tr>
      <w:tr w14:paraId="24A85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noWrap/>
          </w:tcPr>
          <w:p w14:paraId="390889BB">
            <w:pPr>
              <w:pStyle w:val="7"/>
              <w:numPr>
                <w:ilvl w:val="0"/>
                <w:numId w:val="1"/>
              </w:numPr>
              <w:tabs>
                <w:tab w:val="left" w:pos="864"/>
              </w:tabs>
              <w:spacing w:line="360" w:lineRule="auto"/>
              <w:ind w:firstLineChars="0"/>
              <w:jc w:val="center"/>
              <w:rPr>
                <w:rFonts w:ascii="仿宋_GB2312" w:hAnsi="宋体" w:eastAsia="仿宋_GB2312"/>
                <w:kern w:val="0"/>
                <w:sz w:val="24"/>
                <w:szCs w:val="24"/>
              </w:rPr>
            </w:pPr>
          </w:p>
        </w:tc>
        <w:tc>
          <w:tcPr>
            <w:tcW w:w="2337" w:type="pct"/>
            <w:noWrap/>
          </w:tcPr>
          <w:p w14:paraId="7CF96C6C">
            <w:pPr>
              <w:tabs>
                <w:tab w:val="left" w:pos="864"/>
              </w:tabs>
              <w:spacing w:line="360" w:lineRule="auto"/>
              <w:jc w:val="center"/>
              <w:rPr>
                <w:rFonts w:ascii="仿宋_GB2312" w:hAnsi="宋体" w:eastAsia="仿宋_GB2312"/>
                <w:kern w:val="0"/>
                <w:sz w:val="24"/>
                <w:szCs w:val="24"/>
              </w:rPr>
            </w:pPr>
            <w:r>
              <w:rPr>
                <w:rFonts w:hint="eastAsia" w:ascii="仿宋_GB2312" w:hAnsi="宋体" w:eastAsia="仿宋_GB2312"/>
                <w:kern w:val="0"/>
                <w:sz w:val="24"/>
                <w:szCs w:val="24"/>
              </w:rPr>
              <w:t>编制采购/招标文件</w:t>
            </w:r>
          </w:p>
        </w:tc>
        <w:tc>
          <w:tcPr>
            <w:tcW w:w="1991" w:type="pct"/>
            <w:noWrap/>
          </w:tcPr>
          <w:p w14:paraId="5AD554FC">
            <w:pPr>
              <w:tabs>
                <w:tab w:val="left" w:pos="864"/>
              </w:tabs>
              <w:spacing w:line="360" w:lineRule="auto"/>
              <w:jc w:val="center"/>
              <w:rPr>
                <w:rFonts w:ascii="仿宋_GB2312" w:hAnsi="宋体" w:eastAsia="仿宋_GB2312"/>
                <w:kern w:val="0"/>
                <w:sz w:val="24"/>
                <w:szCs w:val="24"/>
              </w:rPr>
            </w:pPr>
          </w:p>
        </w:tc>
      </w:tr>
      <w:tr w14:paraId="576B9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noWrap/>
          </w:tcPr>
          <w:p w14:paraId="6FFECB19">
            <w:pPr>
              <w:pStyle w:val="7"/>
              <w:numPr>
                <w:ilvl w:val="0"/>
                <w:numId w:val="1"/>
              </w:numPr>
              <w:tabs>
                <w:tab w:val="left" w:pos="864"/>
              </w:tabs>
              <w:spacing w:line="360" w:lineRule="auto"/>
              <w:ind w:firstLineChars="0"/>
              <w:jc w:val="center"/>
              <w:rPr>
                <w:rFonts w:ascii="仿宋_GB2312" w:hAnsi="宋体" w:eastAsia="仿宋_GB2312"/>
                <w:kern w:val="0"/>
                <w:sz w:val="24"/>
                <w:szCs w:val="24"/>
              </w:rPr>
            </w:pPr>
          </w:p>
        </w:tc>
        <w:tc>
          <w:tcPr>
            <w:tcW w:w="2337" w:type="pct"/>
            <w:noWrap/>
          </w:tcPr>
          <w:p w14:paraId="198CFC97">
            <w:pPr>
              <w:tabs>
                <w:tab w:val="left" w:pos="864"/>
              </w:tabs>
              <w:spacing w:line="360" w:lineRule="auto"/>
              <w:jc w:val="center"/>
              <w:rPr>
                <w:rFonts w:ascii="仿宋_GB2312" w:hAnsi="宋体" w:eastAsia="仿宋_GB2312"/>
                <w:kern w:val="0"/>
                <w:sz w:val="24"/>
                <w:szCs w:val="24"/>
              </w:rPr>
            </w:pPr>
            <w:r>
              <w:rPr>
                <w:rFonts w:hint="eastAsia" w:ascii="仿宋_GB2312" w:hAnsi="宋体" w:eastAsia="仿宋_GB2312"/>
                <w:kern w:val="0"/>
                <w:sz w:val="24"/>
                <w:szCs w:val="24"/>
              </w:rPr>
              <w:t>发布采购/招标公告</w:t>
            </w:r>
          </w:p>
        </w:tc>
        <w:tc>
          <w:tcPr>
            <w:tcW w:w="1991" w:type="pct"/>
            <w:noWrap/>
          </w:tcPr>
          <w:p w14:paraId="2E31CE3E">
            <w:pPr>
              <w:tabs>
                <w:tab w:val="left" w:pos="864"/>
              </w:tabs>
              <w:spacing w:line="360" w:lineRule="auto"/>
              <w:jc w:val="center"/>
              <w:rPr>
                <w:rFonts w:ascii="仿宋_GB2312" w:hAnsi="宋体" w:eastAsia="仿宋_GB2312"/>
                <w:kern w:val="0"/>
                <w:sz w:val="24"/>
                <w:szCs w:val="24"/>
              </w:rPr>
            </w:pPr>
          </w:p>
        </w:tc>
      </w:tr>
      <w:tr w14:paraId="6BDE7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noWrap/>
          </w:tcPr>
          <w:p w14:paraId="3A7C5AE0">
            <w:pPr>
              <w:pStyle w:val="7"/>
              <w:numPr>
                <w:ilvl w:val="0"/>
                <w:numId w:val="1"/>
              </w:numPr>
              <w:tabs>
                <w:tab w:val="left" w:pos="864"/>
              </w:tabs>
              <w:spacing w:line="360" w:lineRule="auto"/>
              <w:ind w:firstLineChars="0"/>
              <w:jc w:val="center"/>
              <w:rPr>
                <w:rFonts w:ascii="仿宋_GB2312" w:hAnsi="宋体" w:eastAsia="仿宋_GB2312"/>
                <w:kern w:val="0"/>
                <w:sz w:val="24"/>
                <w:szCs w:val="24"/>
              </w:rPr>
            </w:pPr>
          </w:p>
        </w:tc>
        <w:tc>
          <w:tcPr>
            <w:tcW w:w="2337" w:type="pct"/>
            <w:noWrap/>
          </w:tcPr>
          <w:p w14:paraId="1BB48BAE">
            <w:pPr>
              <w:tabs>
                <w:tab w:val="left" w:pos="864"/>
              </w:tabs>
              <w:spacing w:line="360" w:lineRule="auto"/>
              <w:jc w:val="center"/>
              <w:rPr>
                <w:rFonts w:ascii="仿宋_GB2312" w:hAnsi="宋体" w:eastAsia="仿宋_GB2312"/>
                <w:kern w:val="0"/>
                <w:sz w:val="24"/>
                <w:szCs w:val="24"/>
              </w:rPr>
            </w:pPr>
            <w:r>
              <w:rPr>
                <w:rFonts w:hint="eastAsia" w:ascii="仿宋_GB2312" w:hAnsi="宋体" w:eastAsia="仿宋_GB2312"/>
                <w:kern w:val="0"/>
                <w:sz w:val="24"/>
                <w:szCs w:val="24"/>
              </w:rPr>
              <w:t>项目评审/开标、评标</w:t>
            </w:r>
          </w:p>
        </w:tc>
        <w:tc>
          <w:tcPr>
            <w:tcW w:w="1991" w:type="pct"/>
            <w:noWrap/>
          </w:tcPr>
          <w:p w14:paraId="23BF53EC">
            <w:pPr>
              <w:tabs>
                <w:tab w:val="left" w:pos="864"/>
              </w:tabs>
              <w:spacing w:line="360" w:lineRule="auto"/>
              <w:jc w:val="center"/>
              <w:rPr>
                <w:rFonts w:ascii="仿宋_GB2312" w:hAnsi="宋体" w:eastAsia="仿宋_GB2312"/>
                <w:kern w:val="0"/>
                <w:sz w:val="24"/>
                <w:szCs w:val="24"/>
              </w:rPr>
            </w:pPr>
          </w:p>
        </w:tc>
      </w:tr>
      <w:tr w14:paraId="55495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2" w:type="pct"/>
            <w:noWrap/>
          </w:tcPr>
          <w:p w14:paraId="27DD031C">
            <w:pPr>
              <w:pStyle w:val="7"/>
              <w:numPr>
                <w:ilvl w:val="0"/>
                <w:numId w:val="1"/>
              </w:numPr>
              <w:tabs>
                <w:tab w:val="left" w:pos="864"/>
              </w:tabs>
              <w:spacing w:line="360" w:lineRule="auto"/>
              <w:ind w:firstLineChars="0"/>
              <w:jc w:val="center"/>
              <w:rPr>
                <w:rFonts w:ascii="仿宋_GB2312" w:hAnsi="宋体" w:eastAsia="仿宋_GB2312"/>
                <w:kern w:val="0"/>
                <w:sz w:val="24"/>
                <w:szCs w:val="24"/>
              </w:rPr>
            </w:pPr>
          </w:p>
        </w:tc>
        <w:tc>
          <w:tcPr>
            <w:tcW w:w="2337" w:type="pct"/>
            <w:noWrap/>
          </w:tcPr>
          <w:p w14:paraId="7126CB7B">
            <w:pPr>
              <w:tabs>
                <w:tab w:val="left" w:pos="864"/>
              </w:tabs>
              <w:spacing w:line="360" w:lineRule="auto"/>
              <w:jc w:val="center"/>
              <w:rPr>
                <w:rFonts w:ascii="仿宋_GB2312" w:hAnsi="宋体" w:eastAsia="仿宋_GB2312"/>
                <w:kern w:val="0"/>
                <w:sz w:val="24"/>
                <w:szCs w:val="24"/>
              </w:rPr>
            </w:pPr>
            <w:r>
              <w:rPr>
                <w:rFonts w:hint="eastAsia" w:ascii="仿宋_GB2312" w:hAnsi="宋体" w:eastAsia="仿宋_GB2312"/>
                <w:kern w:val="0"/>
                <w:sz w:val="24"/>
                <w:szCs w:val="24"/>
              </w:rPr>
              <w:t>发布成交/中标公告</w:t>
            </w:r>
          </w:p>
        </w:tc>
        <w:tc>
          <w:tcPr>
            <w:tcW w:w="1991" w:type="pct"/>
            <w:noWrap/>
          </w:tcPr>
          <w:p w14:paraId="683F4D53">
            <w:pPr>
              <w:tabs>
                <w:tab w:val="left" w:pos="864"/>
              </w:tabs>
              <w:spacing w:line="360" w:lineRule="auto"/>
              <w:jc w:val="center"/>
              <w:rPr>
                <w:rFonts w:ascii="仿宋_GB2312" w:hAnsi="宋体" w:eastAsia="仿宋_GB2312"/>
                <w:kern w:val="0"/>
                <w:sz w:val="24"/>
                <w:szCs w:val="24"/>
              </w:rPr>
            </w:pPr>
          </w:p>
        </w:tc>
      </w:tr>
      <w:tr w14:paraId="1EA20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672" w:type="pct"/>
            <w:noWrap/>
          </w:tcPr>
          <w:p w14:paraId="05A9655A">
            <w:pPr>
              <w:pStyle w:val="7"/>
              <w:numPr>
                <w:ilvl w:val="0"/>
                <w:numId w:val="1"/>
              </w:numPr>
              <w:tabs>
                <w:tab w:val="left" w:pos="864"/>
              </w:tabs>
              <w:spacing w:line="360" w:lineRule="auto"/>
              <w:ind w:firstLineChars="0"/>
              <w:jc w:val="center"/>
              <w:rPr>
                <w:rFonts w:ascii="仿宋_GB2312" w:hAnsi="宋体" w:eastAsia="仿宋_GB2312"/>
                <w:kern w:val="0"/>
                <w:sz w:val="24"/>
                <w:szCs w:val="24"/>
              </w:rPr>
            </w:pPr>
          </w:p>
        </w:tc>
        <w:tc>
          <w:tcPr>
            <w:tcW w:w="2337" w:type="pct"/>
            <w:noWrap/>
          </w:tcPr>
          <w:p w14:paraId="6EF3F1AD">
            <w:pPr>
              <w:tabs>
                <w:tab w:val="left" w:pos="864"/>
              </w:tabs>
              <w:spacing w:line="360" w:lineRule="auto"/>
              <w:jc w:val="center"/>
              <w:rPr>
                <w:rFonts w:ascii="仿宋_GB2312" w:hAnsi="宋体" w:eastAsia="仿宋_GB2312"/>
                <w:kern w:val="0"/>
                <w:sz w:val="24"/>
                <w:szCs w:val="24"/>
              </w:rPr>
            </w:pPr>
            <w:r>
              <w:rPr>
                <w:rFonts w:hint="eastAsia" w:ascii="仿宋_GB2312" w:hAnsi="宋体" w:eastAsia="仿宋_GB2312"/>
                <w:kern w:val="0"/>
                <w:sz w:val="24"/>
                <w:szCs w:val="24"/>
              </w:rPr>
              <w:t>签订采购合同</w:t>
            </w:r>
          </w:p>
        </w:tc>
        <w:tc>
          <w:tcPr>
            <w:tcW w:w="1991" w:type="pct"/>
            <w:noWrap/>
          </w:tcPr>
          <w:p w14:paraId="0428C5FE">
            <w:pPr>
              <w:tabs>
                <w:tab w:val="left" w:pos="864"/>
              </w:tabs>
              <w:spacing w:line="360" w:lineRule="auto"/>
              <w:jc w:val="center"/>
              <w:rPr>
                <w:rFonts w:ascii="仿宋_GB2312" w:hAnsi="宋体" w:eastAsia="仿宋_GB2312"/>
                <w:kern w:val="0"/>
                <w:sz w:val="24"/>
                <w:szCs w:val="24"/>
              </w:rPr>
            </w:pPr>
          </w:p>
        </w:tc>
      </w:tr>
    </w:tbl>
    <w:p w14:paraId="01E3C998">
      <w:pPr>
        <w:pStyle w:val="6"/>
        <w:spacing w:line="360" w:lineRule="auto"/>
        <w:ind w:firstLine="562"/>
        <w:rPr>
          <w:rFonts w:ascii="仿宋_GB2312" w:hAnsi="宋体" w:eastAsia="仿宋_GB2312"/>
          <w:b/>
          <w:bCs/>
          <w:sz w:val="28"/>
          <w:szCs w:val="24"/>
        </w:rPr>
      </w:pPr>
      <w:bookmarkStart w:id="2" w:name="_Toc17074"/>
      <w:r>
        <w:rPr>
          <w:rFonts w:hint="eastAsia" w:ascii="仿宋_GB2312" w:hAnsi="宋体" w:eastAsia="仿宋_GB2312"/>
          <w:b/>
          <w:bCs/>
          <w:sz w:val="28"/>
          <w:szCs w:val="24"/>
        </w:rPr>
        <w:t>（三）采购组织形式和委托代理安排</w:t>
      </w:r>
      <w:bookmarkEnd w:id="2"/>
    </w:p>
    <w:p w14:paraId="4E9C96D7">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1.采购组织形式</w:t>
      </w:r>
    </w:p>
    <w:p w14:paraId="3D0201EA">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□自行采购</w:t>
      </w:r>
    </w:p>
    <w:p w14:paraId="71102370">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□委托代理公司采购</w:t>
      </w:r>
    </w:p>
    <w:p w14:paraId="2E6BF6AA">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2.委托代理安排：</w:t>
      </w:r>
      <w:r>
        <w:rPr>
          <w:rFonts w:hint="eastAsia" w:ascii="仿宋_GB2312" w:hAnsi="宋体" w:eastAsia="仿宋_GB2312" w:cs="仿宋"/>
          <w:sz w:val="24"/>
          <w:szCs w:val="24"/>
          <w:u w:val="single"/>
        </w:rPr>
        <w:t>委托*****代理采购</w:t>
      </w:r>
    </w:p>
    <w:p w14:paraId="1FAD276C">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3.采购信息发布媒体（可多选）：</w:t>
      </w:r>
    </w:p>
    <w:p w14:paraId="33EA885D">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□中国地质大学（武汉）采购与招标管理中心网站</w:t>
      </w:r>
    </w:p>
    <w:p w14:paraId="0FDD6AD5">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□中国政府采购网</w:t>
      </w:r>
    </w:p>
    <w:p w14:paraId="18055E1C">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□湖北省公共资源交易中心网站</w:t>
      </w:r>
    </w:p>
    <w:p w14:paraId="0A85091E">
      <w:pPr>
        <w:widowControl/>
        <w:spacing w:line="360" w:lineRule="auto"/>
        <w:ind w:firstLine="600"/>
        <w:jc w:val="left"/>
        <w:rPr>
          <w:rFonts w:ascii="仿宋_GB2312" w:hAnsi="宋体" w:eastAsia="仿宋_GB2312" w:cs="仿宋"/>
          <w:sz w:val="24"/>
          <w:szCs w:val="24"/>
          <w:u w:val="single"/>
        </w:rPr>
      </w:pPr>
      <w:r>
        <w:rPr>
          <w:rFonts w:hint="eastAsia" w:ascii="仿宋_GB2312" w:hAnsi="宋体" w:eastAsia="仿宋_GB2312" w:cs="仿宋"/>
          <w:sz w:val="24"/>
          <w:szCs w:val="24"/>
        </w:rPr>
        <w:t>□其他：</w:t>
      </w:r>
    </w:p>
    <w:p w14:paraId="634834E0">
      <w:pPr>
        <w:pStyle w:val="6"/>
        <w:spacing w:line="360" w:lineRule="auto"/>
        <w:ind w:firstLine="562"/>
        <w:rPr>
          <w:rFonts w:ascii="仿宋_GB2312" w:hAnsi="宋体" w:eastAsia="仿宋_GB2312"/>
          <w:b/>
          <w:bCs/>
          <w:sz w:val="28"/>
          <w:szCs w:val="24"/>
        </w:rPr>
      </w:pPr>
      <w:bookmarkStart w:id="3" w:name="_Toc32558"/>
      <w:r>
        <w:rPr>
          <w:rFonts w:hint="eastAsia" w:ascii="仿宋_GB2312" w:hAnsi="宋体" w:eastAsia="仿宋_GB2312"/>
          <w:b/>
          <w:bCs/>
          <w:sz w:val="28"/>
          <w:szCs w:val="24"/>
        </w:rPr>
        <w:t>（四）采购包划分与合同分包</w:t>
      </w:r>
      <w:bookmarkEnd w:id="3"/>
    </w:p>
    <w:p w14:paraId="38B98D7D">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标包一：</w:t>
      </w:r>
    </w:p>
    <w:p w14:paraId="0D2F6B00">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标包二：</w:t>
      </w:r>
    </w:p>
    <w:p w14:paraId="6129035B">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w:t>
      </w:r>
    </w:p>
    <w:p w14:paraId="7C5AEDE9">
      <w:pPr>
        <w:pStyle w:val="6"/>
        <w:spacing w:line="360" w:lineRule="auto"/>
        <w:ind w:firstLine="562"/>
        <w:rPr>
          <w:rFonts w:ascii="仿宋_GB2312" w:hAnsi="宋体" w:eastAsia="仿宋_GB2312"/>
          <w:b/>
          <w:bCs/>
          <w:sz w:val="28"/>
          <w:szCs w:val="24"/>
        </w:rPr>
      </w:pPr>
      <w:bookmarkStart w:id="4" w:name="_Toc7303"/>
      <w:r>
        <w:rPr>
          <w:rFonts w:hint="eastAsia" w:ascii="仿宋_GB2312" w:hAnsi="宋体" w:eastAsia="仿宋_GB2312"/>
          <w:b/>
          <w:bCs/>
          <w:sz w:val="28"/>
          <w:szCs w:val="24"/>
        </w:rPr>
        <w:t>（五）供应商资格条件</w:t>
      </w:r>
      <w:bookmarkEnd w:id="4"/>
    </w:p>
    <w:p w14:paraId="1A13CF1F">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1.基本要求：</w:t>
      </w:r>
    </w:p>
    <w:p w14:paraId="64BFF91F">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满足《中华人民共和国政府采购法》第二十二条规定</w:t>
      </w:r>
    </w:p>
    <w:p w14:paraId="18B38EF2">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2.特定资格要求：</w:t>
      </w:r>
    </w:p>
    <w:p w14:paraId="00D6BF9F">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3.落实政府采购政策的要求：政府强制采购节能产品、支持创新、绿色发展、鼓励环保产品、扶持福利企业、促进残疾人就业、促进中小企业发展、支持监狱和戒毒企业等。</w:t>
      </w:r>
    </w:p>
    <w:p w14:paraId="22D74AA6">
      <w:pPr>
        <w:pStyle w:val="6"/>
        <w:spacing w:line="360" w:lineRule="auto"/>
        <w:ind w:firstLine="562"/>
        <w:rPr>
          <w:rFonts w:ascii="仿宋_GB2312" w:hAnsi="宋体" w:eastAsia="仿宋_GB2312"/>
          <w:b/>
          <w:bCs/>
          <w:sz w:val="28"/>
          <w:szCs w:val="24"/>
        </w:rPr>
      </w:pPr>
      <w:bookmarkStart w:id="5" w:name="_Toc13060"/>
      <w:r>
        <w:rPr>
          <w:rFonts w:hint="eastAsia" w:ascii="仿宋_GB2312" w:hAnsi="宋体" w:eastAsia="仿宋_GB2312"/>
          <w:b/>
          <w:bCs/>
          <w:sz w:val="28"/>
          <w:szCs w:val="24"/>
        </w:rPr>
        <w:t>（六）采购方式</w:t>
      </w:r>
      <w:bookmarkEnd w:id="5"/>
    </w:p>
    <w:p w14:paraId="073590F1">
      <w:pPr>
        <w:widowControl/>
        <w:spacing w:line="360" w:lineRule="auto"/>
        <w:ind w:firstLine="600"/>
        <w:jc w:val="left"/>
        <w:rPr>
          <w:rFonts w:ascii="仿宋_GB2312" w:hAnsi="宋体" w:eastAsia="仿宋_GB2312" w:cs="仿宋"/>
          <w:b/>
          <w:sz w:val="24"/>
          <w:szCs w:val="24"/>
        </w:rPr>
      </w:pPr>
      <w:bookmarkStart w:id="6" w:name="_Toc12064"/>
      <w:r>
        <w:rPr>
          <w:rFonts w:hint="eastAsia" w:ascii="仿宋_GB2312" w:hAnsi="宋体" w:eastAsia="仿宋_GB2312" w:cs="仿宋"/>
          <w:b/>
          <w:sz w:val="24"/>
          <w:szCs w:val="24"/>
        </w:rPr>
        <w:t>□公开招标（适用法定情形）</w:t>
      </w:r>
    </w:p>
    <w:p w14:paraId="6257A7F6">
      <w:pPr>
        <w:widowControl/>
        <w:spacing w:line="360" w:lineRule="auto"/>
        <w:ind w:firstLine="601"/>
        <w:jc w:val="left"/>
        <w:rPr>
          <w:rFonts w:ascii="仿宋_GB2312" w:hAnsi="宋体" w:eastAsia="仿宋_GB2312" w:cs="仿宋"/>
          <w:sz w:val="24"/>
          <w:szCs w:val="24"/>
        </w:rPr>
      </w:pPr>
      <w:r>
        <w:rPr>
          <w:rFonts w:hint="eastAsia" w:ascii="仿宋_GB2312" w:hAnsi="宋体" w:eastAsia="仿宋_GB2312" w:cs="仿宋"/>
          <w:sz w:val="24"/>
          <w:szCs w:val="24"/>
        </w:rPr>
        <w:t>□达到国家公开招标限额标准的采购项目；</w:t>
      </w:r>
    </w:p>
    <w:p w14:paraId="633F3B4F">
      <w:pPr>
        <w:widowControl/>
        <w:spacing w:line="360" w:lineRule="auto"/>
        <w:ind w:firstLine="601"/>
        <w:jc w:val="left"/>
        <w:rPr>
          <w:rFonts w:ascii="仿宋_GB2312" w:hAnsi="宋体" w:eastAsia="仿宋_GB2312" w:cs="仿宋"/>
          <w:sz w:val="24"/>
          <w:szCs w:val="24"/>
        </w:rPr>
      </w:pPr>
      <w:r>
        <w:rPr>
          <w:rFonts w:hint="eastAsia" w:ascii="仿宋_GB2312" w:hAnsi="宋体" w:eastAsia="仿宋_GB2312" w:cs="仿宋"/>
          <w:sz w:val="24"/>
          <w:szCs w:val="24"/>
        </w:rPr>
        <w:t>□采购需求客观、明确且规格、标准统一的采购项目，如通用设备、物业管理等；</w:t>
      </w:r>
    </w:p>
    <w:p w14:paraId="14C4740B">
      <w:pPr>
        <w:widowControl/>
        <w:spacing w:line="360" w:lineRule="auto"/>
        <w:ind w:firstLine="601"/>
        <w:jc w:val="left"/>
        <w:rPr>
          <w:rFonts w:ascii="仿宋_GB2312" w:hAnsi="宋体" w:eastAsia="仿宋_GB2312" w:cs="仿宋"/>
          <w:sz w:val="24"/>
          <w:szCs w:val="24"/>
        </w:rPr>
      </w:pPr>
      <w:r>
        <w:rPr>
          <w:rFonts w:hint="eastAsia" w:ascii="仿宋_GB2312" w:hAnsi="宋体" w:eastAsia="仿宋_GB2312" w:cs="仿宋"/>
          <w:sz w:val="24"/>
          <w:szCs w:val="24"/>
        </w:rPr>
        <w:t>□采购需求客观、明确，且技术较复杂或者专业性较强的采购项目，如大型装备、咨询服务等。</w:t>
      </w:r>
    </w:p>
    <w:p w14:paraId="315A27C7">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b/>
          <w:sz w:val="24"/>
          <w:szCs w:val="24"/>
        </w:rPr>
        <w:t>□竞争性磋商（适用情形）</w:t>
      </w:r>
    </w:p>
    <w:p w14:paraId="1D255E18">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□政府购买服务项目；</w:t>
      </w:r>
    </w:p>
    <w:p w14:paraId="063B4DA2">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□技术复杂或者性质特殊，不能确定详细规格或者具体要求的；</w:t>
      </w:r>
    </w:p>
    <w:p w14:paraId="23153B62">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□因艺术品采购、专利、专有技术或者服务的时间、数量事先不能确定等原因不能事先计算出价格总额的；</w:t>
      </w:r>
    </w:p>
    <w:p w14:paraId="40542FC5">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□市场竞争不充分的科研项目，以及需要扶持的科技成果转化项目；</w:t>
      </w:r>
    </w:p>
    <w:p w14:paraId="26E0DCBD">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□按照招标投标法及其实施条例必须进行招标的工程建设项目以外的工程建设项目。</w:t>
      </w:r>
    </w:p>
    <w:p w14:paraId="5A844050">
      <w:pPr>
        <w:widowControl/>
        <w:spacing w:line="360" w:lineRule="auto"/>
        <w:ind w:firstLine="600"/>
        <w:jc w:val="left"/>
        <w:rPr>
          <w:rFonts w:ascii="仿宋_GB2312" w:hAnsi="宋体" w:eastAsia="仿宋_GB2312" w:cs="仿宋"/>
          <w:b/>
          <w:sz w:val="24"/>
          <w:szCs w:val="24"/>
        </w:rPr>
      </w:pPr>
      <w:r>
        <w:rPr>
          <w:rFonts w:hint="eastAsia" w:ascii="仿宋_GB2312" w:hAnsi="宋体" w:eastAsia="仿宋_GB2312" w:cs="仿宋"/>
          <w:b/>
          <w:sz w:val="24"/>
          <w:szCs w:val="24"/>
        </w:rPr>
        <w:t>□竞争性谈判（适用情形）</w:t>
      </w:r>
    </w:p>
    <w:p w14:paraId="5781033B">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□采购需求客观、明确，且技术较复杂或者专业性较强的采购项目，如大型装备、咨询服务等；</w:t>
      </w:r>
    </w:p>
    <w:p w14:paraId="368E5711">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□不能完全确定客观指标，需由供应商提供设计方案、解决方案或者组织方案的采购项目，如首购订购、设计服务、政府和社会资本合作等。</w:t>
      </w:r>
    </w:p>
    <w:p w14:paraId="0676427D">
      <w:pPr>
        <w:pStyle w:val="6"/>
        <w:spacing w:line="360" w:lineRule="auto"/>
        <w:ind w:firstLine="482"/>
        <w:rPr>
          <w:rFonts w:ascii="仿宋_GB2312" w:hAnsi="宋体" w:eastAsia="仿宋_GB2312" w:cs="仿宋"/>
          <w:b/>
          <w:sz w:val="24"/>
          <w:szCs w:val="24"/>
        </w:rPr>
      </w:pPr>
      <w:r>
        <w:rPr>
          <w:rFonts w:hint="eastAsia" w:ascii="仿宋_GB2312" w:hAnsi="宋体" w:eastAsia="仿宋_GB2312"/>
          <w:b/>
          <w:sz w:val="24"/>
          <w:szCs w:val="24"/>
        </w:rPr>
        <w:t>□单一来源</w:t>
      </w:r>
      <w:r>
        <w:rPr>
          <w:rFonts w:hint="eastAsia" w:ascii="仿宋_GB2312" w:hAnsi="宋体" w:eastAsia="仿宋_GB2312" w:cs="仿宋"/>
          <w:b/>
          <w:sz w:val="24"/>
          <w:szCs w:val="24"/>
        </w:rPr>
        <w:t>（适用情形）</w:t>
      </w:r>
    </w:p>
    <w:p w14:paraId="1BE85EC5">
      <w:pPr>
        <w:pStyle w:val="3"/>
        <w:spacing w:before="0" w:beforeAutospacing="0" w:after="0" w:afterAutospacing="0" w:line="360" w:lineRule="auto"/>
        <w:ind w:firstLine="480" w:firstLineChars="200"/>
        <w:jc w:val="both"/>
        <w:textAlignment w:val="baseline"/>
        <w:rPr>
          <w:rFonts w:ascii="仿宋_GB2312" w:eastAsia="仿宋_GB2312"/>
        </w:rPr>
      </w:pPr>
      <w:r>
        <w:rPr>
          <w:rFonts w:hint="eastAsia" w:ascii="仿宋_GB2312" w:eastAsia="仿宋_GB2312"/>
        </w:rPr>
        <w:t>□只能从唯一供应商处采购的；</w:t>
      </w:r>
    </w:p>
    <w:p w14:paraId="1AE79190">
      <w:pPr>
        <w:pStyle w:val="3"/>
        <w:spacing w:before="0" w:beforeAutospacing="0" w:after="0" w:afterAutospacing="0" w:line="360" w:lineRule="auto"/>
        <w:ind w:firstLine="480" w:firstLineChars="200"/>
        <w:jc w:val="both"/>
        <w:textAlignment w:val="baseline"/>
        <w:rPr>
          <w:rFonts w:ascii="仿宋_GB2312" w:eastAsia="仿宋_GB2312"/>
        </w:rPr>
      </w:pPr>
      <w:r>
        <w:rPr>
          <w:rFonts w:hint="eastAsia" w:ascii="仿宋_GB2312" w:eastAsia="仿宋_GB2312"/>
        </w:rPr>
        <w:t>□发生了不可预见的紧急情况不能从其他供应商处采购的；</w:t>
      </w:r>
    </w:p>
    <w:p w14:paraId="6670F706">
      <w:pPr>
        <w:pStyle w:val="3"/>
        <w:spacing w:before="0" w:beforeAutospacing="0" w:after="0" w:afterAutospacing="0" w:line="360" w:lineRule="auto"/>
        <w:ind w:firstLine="480" w:firstLineChars="200"/>
        <w:jc w:val="both"/>
        <w:textAlignment w:val="baseline"/>
        <w:rPr>
          <w:rFonts w:ascii="仿宋_GB2312" w:eastAsia="仿宋_GB2312"/>
        </w:rPr>
      </w:pPr>
      <w:r>
        <w:rPr>
          <w:rFonts w:hint="eastAsia" w:ascii="仿宋_GB2312" w:eastAsia="仿宋_GB2312"/>
        </w:rPr>
        <w:t>□必须保证原有采购项目一致性或者服务配套的要求，需要继续从原供应商处添购，且添购资金总额不超过原合同采购金额百分之十的。</w:t>
      </w:r>
    </w:p>
    <w:p w14:paraId="05A206CE">
      <w:pPr>
        <w:pStyle w:val="6"/>
        <w:spacing w:line="360" w:lineRule="auto"/>
        <w:ind w:firstLine="482"/>
        <w:rPr>
          <w:rFonts w:ascii="仿宋_GB2312" w:hAnsi="宋体" w:eastAsia="仿宋_GB2312"/>
          <w:sz w:val="24"/>
          <w:szCs w:val="24"/>
        </w:rPr>
      </w:pPr>
      <w:bookmarkStart w:id="7" w:name="_Hlk76973202"/>
      <w:r>
        <w:rPr>
          <w:rFonts w:hint="eastAsia" w:ascii="仿宋_GB2312" w:hAnsi="宋体" w:eastAsia="仿宋_GB2312"/>
          <w:b/>
          <w:sz w:val="24"/>
          <w:szCs w:val="24"/>
        </w:rPr>
        <w:t>□</w:t>
      </w:r>
      <w:bookmarkEnd w:id="7"/>
      <w:r>
        <w:rPr>
          <w:rFonts w:hint="eastAsia" w:ascii="仿宋_GB2312" w:hAnsi="宋体" w:eastAsia="仿宋_GB2312"/>
          <w:b/>
          <w:sz w:val="24"/>
          <w:szCs w:val="24"/>
        </w:rPr>
        <w:t>询价（适用情形）：</w:t>
      </w:r>
      <w:r>
        <w:rPr>
          <w:rFonts w:hint="eastAsia" w:ascii="仿宋_GB2312" w:hAnsi="宋体" w:eastAsia="仿宋_GB2312"/>
          <w:sz w:val="24"/>
          <w:szCs w:val="24"/>
        </w:rPr>
        <w:t>采购需求客观、明确且规格、标准统一</w:t>
      </w:r>
      <w:r>
        <w:rPr>
          <w:rFonts w:hint="eastAsia" w:ascii="仿宋_GB2312" w:hAnsi="宋体" w:eastAsia="仿宋_GB2312" w:cs="仿宋"/>
          <w:sz w:val="24"/>
          <w:szCs w:val="24"/>
        </w:rPr>
        <w:t>如通用设备、物业管理等</w:t>
      </w:r>
      <w:r>
        <w:rPr>
          <w:rFonts w:hint="eastAsia" w:ascii="仿宋_GB2312" w:hAnsi="宋体" w:eastAsia="仿宋_GB2312"/>
          <w:sz w:val="24"/>
          <w:szCs w:val="24"/>
        </w:rPr>
        <w:t>。</w:t>
      </w:r>
    </w:p>
    <w:p w14:paraId="2CE9E93F">
      <w:pPr>
        <w:pStyle w:val="6"/>
        <w:spacing w:line="360" w:lineRule="auto"/>
        <w:ind w:firstLine="482"/>
        <w:rPr>
          <w:rFonts w:ascii="仿宋_GB2312" w:hAnsi="宋体" w:eastAsia="仿宋_GB2312"/>
          <w:b/>
          <w:sz w:val="24"/>
          <w:szCs w:val="24"/>
        </w:rPr>
      </w:pPr>
      <w:r>
        <w:rPr>
          <w:rFonts w:hint="eastAsia" w:ascii="仿宋_GB2312" w:hAnsi="宋体" w:eastAsia="仿宋_GB2312"/>
          <w:b/>
          <w:sz w:val="24"/>
          <w:szCs w:val="24"/>
        </w:rPr>
        <w:t>□框架协议采购（适用情形）：</w:t>
      </w:r>
      <w:r>
        <w:rPr>
          <w:rFonts w:hint="eastAsia" w:ascii="宋体" w:hAnsi="宋体" w:cs="宋体"/>
          <w:color w:val="333333"/>
          <w:kern w:val="0"/>
          <w:sz w:val="24"/>
          <w:szCs w:val="24"/>
        </w:rPr>
        <w:t>技术、服务等标准明确、统一，需要多次重复采购的货物和服务，经教育部批准的。</w:t>
      </w:r>
    </w:p>
    <w:p w14:paraId="7B32735C">
      <w:pPr>
        <w:pStyle w:val="6"/>
        <w:spacing w:line="360" w:lineRule="auto"/>
        <w:ind w:firstLine="482"/>
        <w:rPr>
          <w:rFonts w:ascii="仿宋_GB2312" w:hAnsi="宋体" w:eastAsia="仿宋_GB2312"/>
          <w:b/>
          <w:sz w:val="24"/>
          <w:szCs w:val="24"/>
        </w:rPr>
      </w:pPr>
      <w:r>
        <w:rPr>
          <w:rFonts w:hint="eastAsia" w:ascii="仿宋_GB2312" w:hAnsi="宋体" w:eastAsia="仿宋_GB2312"/>
          <w:b/>
          <w:sz w:val="24"/>
          <w:szCs w:val="24"/>
        </w:rPr>
        <w:t>□合作创新采购（适用情形）：</w:t>
      </w:r>
    </w:p>
    <w:p w14:paraId="093171E5">
      <w:pPr>
        <w:pStyle w:val="3"/>
        <w:shd w:val="clear" w:color="auto" w:fill="FFFFFF"/>
        <w:spacing w:before="0" w:beforeAutospacing="0" w:after="0" w:afterAutospacing="0"/>
        <w:ind w:firstLine="480" w:firstLineChars="200"/>
        <w:jc w:val="both"/>
        <w:rPr>
          <w:rFonts w:ascii="Microsoft YaHei UI" w:hAnsi="Microsoft YaHei UI" w:eastAsia="Microsoft YaHei UI"/>
          <w:spacing w:val="8"/>
          <w:sz w:val="26"/>
          <w:szCs w:val="26"/>
        </w:rPr>
      </w:pPr>
      <w:r>
        <w:rPr>
          <w:rFonts w:hint="eastAsia" w:ascii="仿宋_GB2312" w:eastAsia="仿宋_GB2312"/>
        </w:rPr>
        <w:t>□市场现有产品或者技术不能满足要求，需要进行技术突破的；</w:t>
      </w:r>
    </w:p>
    <w:p w14:paraId="71CA05A3">
      <w:pPr>
        <w:pStyle w:val="3"/>
        <w:spacing w:before="0" w:beforeAutospacing="0" w:after="0" w:afterAutospacing="0" w:line="360" w:lineRule="auto"/>
        <w:ind w:firstLine="480" w:firstLineChars="200"/>
        <w:jc w:val="both"/>
        <w:textAlignment w:val="baseline"/>
        <w:rPr>
          <w:rFonts w:ascii="仿宋_GB2312" w:eastAsia="仿宋_GB2312"/>
        </w:rPr>
      </w:pPr>
      <w:r>
        <w:rPr>
          <w:rFonts w:hint="eastAsia" w:ascii="仿宋_GB2312" w:eastAsia="仿宋_GB2312"/>
        </w:rPr>
        <w:t>□以研发创新产品为基础，形成新范式或者新的解决方案，能够显著改善功能性能，明显提高绩效的；</w:t>
      </w:r>
    </w:p>
    <w:p w14:paraId="60A5CC22">
      <w:pPr>
        <w:pStyle w:val="3"/>
        <w:spacing w:before="0" w:beforeAutospacing="0" w:after="0" w:afterAutospacing="0" w:line="360" w:lineRule="auto"/>
        <w:ind w:firstLine="480" w:firstLineChars="200"/>
        <w:jc w:val="both"/>
        <w:textAlignment w:val="baseline"/>
        <w:rPr>
          <w:rFonts w:ascii="仿宋_GB2312" w:eastAsia="仿宋_GB2312"/>
        </w:rPr>
      </w:pPr>
      <w:r>
        <w:rPr>
          <w:rFonts w:hint="eastAsia" w:ascii="仿宋_GB2312" w:eastAsia="仿宋_GB2312"/>
        </w:rPr>
        <w:t>□国务院财政部门规定的其他情形。</w:t>
      </w:r>
    </w:p>
    <w:p w14:paraId="06C95D6F">
      <w:pPr>
        <w:pStyle w:val="6"/>
        <w:spacing w:line="360" w:lineRule="auto"/>
        <w:ind w:firstLine="482"/>
        <w:rPr>
          <w:rFonts w:ascii="仿宋_GB2312" w:hAnsi="宋体" w:eastAsia="仿宋_GB2312"/>
          <w:sz w:val="24"/>
          <w:szCs w:val="24"/>
        </w:rPr>
      </w:pPr>
      <w:r>
        <w:rPr>
          <w:rFonts w:hint="eastAsia" w:ascii="仿宋_GB2312" w:hAnsi="宋体" w:eastAsia="仿宋_GB2312"/>
          <w:b/>
          <w:sz w:val="24"/>
          <w:szCs w:val="24"/>
        </w:rPr>
        <w:t>□核准：</w:t>
      </w:r>
      <w:r>
        <w:rPr>
          <w:rFonts w:hint="eastAsia" w:ascii="仿宋_GB2312" w:hAnsi="宋体" w:eastAsia="仿宋_GB2312"/>
          <w:sz w:val="24"/>
          <w:szCs w:val="24"/>
        </w:rPr>
        <w:t>达到公开招标数额标准，因特殊情况需要采用公开招标以外采购方式，已依法获得批准。</w:t>
      </w:r>
    </w:p>
    <w:p w14:paraId="16DA179D">
      <w:pPr>
        <w:pStyle w:val="6"/>
        <w:spacing w:line="360" w:lineRule="auto"/>
        <w:ind w:firstLine="562"/>
        <w:rPr>
          <w:rFonts w:ascii="仿宋_GB2312" w:hAnsi="宋体" w:eastAsia="仿宋_GB2312"/>
          <w:b/>
          <w:bCs/>
          <w:sz w:val="28"/>
          <w:szCs w:val="24"/>
        </w:rPr>
      </w:pPr>
      <w:r>
        <w:rPr>
          <w:rFonts w:hint="eastAsia" w:ascii="仿宋_GB2312" w:hAnsi="宋体" w:eastAsia="仿宋_GB2312"/>
          <w:b/>
          <w:bCs/>
          <w:sz w:val="28"/>
          <w:szCs w:val="24"/>
        </w:rPr>
        <w:t>（七）竞争范围</w:t>
      </w:r>
      <w:bookmarkEnd w:id="6"/>
    </w:p>
    <w:p w14:paraId="7AA3E143">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□公开邀请</w:t>
      </w:r>
    </w:p>
    <w:p w14:paraId="67F5B58B">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□有限邀请（随机抽取或书面推荐）</w:t>
      </w:r>
    </w:p>
    <w:p w14:paraId="696EFF8D">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□唯一供应商采购</w:t>
      </w:r>
    </w:p>
    <w:p w14:paraId="02AD9FC7">
      <w:pPr>
        <w:pStyle w:val="6"/>
        <w:spacing w:line="360" w:lineRule="auto"/>
        <w:ind w:firstLine="562"/>
        <w:rPr>
          <w:rFonts w:ascii="仿宋_GB2312" w:hAnsi="宋体" w:eastAsia="仿宋_GB2312"/>
          <w:b/>
          <w:bCs/>
          <w:sz w:val="28"/>
          <w:szCs w:val="24"/>
        </w:rPr>
      </w:pPr>
      <w:bookmarkStart w:id="8" w:name="_Toc6783"/>
      <w:r>
        <w:rPr>
          <w:rFonts w:hint="eastAsia" w:ascii="仿宋_GB2312" w:hAnsi="宋体" w:eastAsia="仿宋_GB2312"/>
          <w:b/>
          <w:bCs/>
          <w:sz w:val="28"/>
          <w:szCs w:val="24"/>
        </w:rPr>
        <w:t>（八）评审规则</w:t>
      </w:r>
      <w:bookmarkEnd w:id="8"/>
    </w:p>
    <w:p w14:paraId="7BE4ED84">
      <w:pPr>
        <w:widowControl/>
        <w:spacing w:line="360" w:lineRule="auto"/>
        <w:ind w:firstLine="600"/>
        <w:jc w:val="left"/>
        <w:rPr>
          <w:rFonts w:ascii="仿宋_GB2312" w:hAnsi="宋体" w:eastAsia="仿宋_GB2312" w:cs="仿宋"/>
          <w:i/>
          <w:sz w:val="24"/>
          <w:szCs w:val="24"/>
        </w:rPr>
      </w:pPr>
      <w:bookmarkStart w:id="9" w:name="_Toc7678"/>
      <w:r>
        <w:rPr>
          <w:rFonts w:hint="eastAsia" w:ascii="仿宋_GB2312" w:hAnsi="宋体" w:eastAsia="仿宋_GB2312" w:cs="仿宋"/>
          <w:sz w:val="24"/>
          <w:szCs w:val="24"/>
        </w:rPr>
        <w:t>□综合评分法</w:t>
      </w:r>
      <w:r>
        <w:rPr>
          <w:rFonts w:hint="eastAsia" w:ascii="仿宋_GB2312" w:hAnsi="宋体" w:eastAsia="仿宋_GB2312" w:cs="仿宋"/>
          <w:i/>
          <w:sz w:val="24"/>
          <w:szCs w:val="24"/>
          <w:u w:val="single"/>
        </w:rPr>
        <w:t>（选择此评审方法原因）</w:t>
      </w:r>
    </w:p>
    <w:p w14:paraId="4C50C1D4">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（附评分细则）</w:t>
      </w:r>
    </w:p>
    <w:p w14:paraId="5D059E91">
      <w:pPr>
        <w:widowControl/>
        <w:spacing w:line="360" w:lineRule="auto"/>
        <w:ind w:firstLine="600"/>
        <w:jc w:val="left"/>
        <w:rPr>
          <w:rFonts w:ascii="仿宋_GB2312" w:hAnsi="宋体" w:eastAsia="仿宋_GB2312" w:cs="仿宋"/>
          <w:i/>
          <w:sz w:val="24"/>
          <w:szCs w:val="24"/>
        </w:rPr>
      </w:pPr>
      <w:r>
        <w:rPr>
          <w:rFonts w:hint="eastAsia" w:ascii="仿宋_GB2312" w:hAnsi="宋体" w:eastAsia="仿宋_GB2312" w:cs="仿宋"/>
          <w:sz w:val="24"/>
          <w:szCs w:val="24"/>
        </w:rPr>
        <w:t>□最低评标价法</w:t>
      </w:r>
      <w:r>
        <w:rPr>
          <w:rFonts w:hint="eastAsia" w:ascii="仿宋_GB2312" w:hAnsi="宋体" w:eastAsia="仿宋_GB2312" w:cs="仿宋"/>
          <w:i/>
          <w:sz w:val="24"/>
          <w:szCs w:val="24"/>
          <w:u w:val="single"/>
        </w:rPr>
        <w:t>（选择此评审方法原因）</w:t>
      </w:r>
    </w:p>
    <w:p w14:paraId="6CD52996">
      <w:pPr>
        <w:ind w:firstLine="161" w:firstLineChars="50"/>
        <w:rPr>
          <w:rFonts w:ascii="仿宋_GB2312" w:hAnsi="黑体" w:eastAsia="仿宋_GB2312"/>
          <w:b/>
          <w:bCs/>
          <w:sz w:val="32"/>
          <w:szCs w:val="32"/>
        </w:rPr>
      </w:pPr>
      <w:r>
        <w:rPr>
          <w:rFonts w:hint="eastAsia" w:ascii="仿宋_GB2312" w:hAnsi="黑体" w:eastAsia="仿宋_GB2312"/>
          <w:b/>
          <w:bCs/>
          <w:sz w:val="32"/>
          <w:szCs w:val="32"/>
        </w:rPr>
        <w:t>二、合同管理安排</w:t>
      </w:r>
      <w:bookmarkEnd w:id="9"/>
    </w:p>
    <w:p w14:paraId="29A2DFC9">
      <w:pPr>
        <w:pStyle w:val="6"/>
        <w:spacing w:line="360" w:lineRule="auto"/>
        <w:ind w:firstLine="562"/>
        <w:rPr>
          <w:rFonts w:ascii="仿宋_GB2312" w:hAnsi="宋体" w:eastAsia="仿宋_GB2312"/>
          <w:b/>
          <w:bCs/>
          <w:sz w:val="28"/>
          <w:szCs w:val="24"/>
        </w:rPr>
      </w:pPr>
      <w:bookmarkStart w:id="10" w:name="_Toc21661"/>
      <w:r>
        <w:rPr>
          <w:rFonts w:hint="eastAsia" w:ascii="仿宋_GB2312" w:hAnsi="宋体" w:eastAsia="仿宋_GB2312"/>
          <w:b/>
          <w:bCs/>
          <w:sz w:val="28"/>
          <w:szCs w:val="24"/>
        </w:rPr>
        <w:t>（一）合同类型</w:t>
      </w:r>
      <w:bookmarkEnd w:id="10"/>
    </w:p>
    <w:p w14:paraId="49B43FE7">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按照民法典第九章规定的典型合同。</w:t>
      </w:r>
    </w:p>
    <w:p w14:paraId="5D9B6230">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□买卖合同</w:t>
      </w:r>
    </w:p>
    <w:p w14:paraId="5F990C78">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□供用电、水、气、热力合同</w:t>
      </w:r>
    </w:p>
    <w:p w14:paraId="03B90697">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□租赁合同</w:t>
      </w:r>
    </w:p>
    <w:p w14:paraId="7D7AF68E">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□建设工程合同</w:t>
      </w:r>
    </w:p>
    <w:p w14:paraId="570B14A3">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□技术合同</w:t>
      </w:r>
    </w:p>
    <w:p w14:paraId="40DC5669">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□委托合同</w:t>
      </w:r>
    </w:p>
    <w:p w14:paraId="42E557C2">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□物业服务合同</w:t>
      </w:r>
    </w:p>
    <w:p w14:paraId="645D2AF5">
      <w:pPr>
        <w:pStyle w:val="6"/>
        <w:spacing w:line="360" w:lineRule="auto"/>
        <w:ind w:firstLine="562"/>
        <w:rPr>
          <w:rFonts w:ascii="仿宋_GB2312" w:hAnsi="宋体" w:eastAsia="仿宋_GB2312"/>
          <w:b/>
          <w:bCs/>
          <w:sz w:val="28"/>
          <w:szCs w:val="24"/>
        </w:rPr>
      </w:pPr>
      <w:bookmarkStart w:id="11" w:name="_Toc30617"/>
      <w:r>
        <w:rPr>
          <w:rFonts w:hint="eastAsia" w:ascii="仿宋_GB2312" w:hAnsi="宋体" w:eastAsia="仿宋_GB2312"/>
          <w:b/>
          <w:bCs/>
          <w:sz w:val="28"/>
          <w:szCs w:val="24"/>
        </w:rPr>
        <w:t>（二）定价方式</w:t>
      </w:r>
      <w:bookmarkEnd w:id="11"/>
    </w:p>
    <w:p w14:paraId="5B5330A6">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□固定总价</w:t>
      </w:r>
    </w:p>
    <w:p w14:paraId="2D479290">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□固定单价</w:t>
      </w:r>
    </w:p>
    <w:p w14:paraId="22668A52">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□成本补偿</w:t>
      </w:r>
    </w:p>
    <w:p w14:paraId="2BEA5CD2">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□绩效激励</w:t>
      </w:r>
    </w:p>
    <w:p w14:paraId="67979261">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□多种方式组合定价</w:t>
      </w:r>
    </w:p>
    <w:p w14:paraId="30BC013A">
      <w:pPr>
        <w:pStyle w:val="6"/>
        <w:spacing w:line="360" w:lineRule="auto"/>
        <w:ind w:firstLine="562"/>
        <w:rPr>
          <w:rFonts w:ascii="仿宋_GB2312" w:hAnsi="宋体" w:eastAsia="仿宋_GB2312"/>
          <w:b/>
          <w:bCs/>
          <w:sz w:val="28"/>
          <w:szCs w:val="24"/>
        </w:rPr>
      </w:pPr>
      <w:bookmarkStart w:id="12" w:name="_Toc23433"/>
      <w:r>
        <w:rPr>
          <w:rFonts w:hint="eastAsia" w:ascii="仿宋_GB2312" w:hAnsi="宋体" w:eastAsia="仿宋_GB2312"/>
          <w:b/>
          <w:bCs/>
          <w:sz w:val="28"/>
          <w:szCs w:val="24"/>
        </w:rPr>
        <w:t>（三）合同</w:t>
      </w:r>
      <w:bookmarkEnd w:id="12"/>
      <w:r>
        <w:rPr>
          <w:rFonts w:hint="eastAsia" w:ascii="仿宋_GB2312" w:hAnsi="宋体" w:eastAsia="仿宋_GB2312"/>
          <w:b/>
          <w:bCs/>
          <w:sz w:val="28"/>
          <w:szCs w:val="24"/>
        </w:rPr>
        <w:t>范本</w:t>
      </w:r>
    </w:p>
    <w:p w14:paraId="3492A44B">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□设备采购供货合同（适用于中标产品为国产产品）</w:t>
      </w:r>
    </w:p>
    <w:p w14:paraId="7DB58296">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□设备供货及技术服务协议（适用于中标产品为进口产品）</w:t>
      </w:r>
    </w:p>
    <w:p w14:paraId="7847E91A">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□施工合同</w:t>
      </w:r>
    </w:p>
    <w:p w14:paraId="49748113">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□设计合同</w:t>
      </w:r>
    </w:p>
    <w:p w14:paraId="1E055C8E">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□服务合同</w:t>
      </w:r>
    </w:p>
    <w:p w14:paraId="0E4EC9E8">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□家具采购合同</w:t>
      </w:r>
    </w:p>
    <w:p w14:paraId="0123F77C">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□药品销售合同</w:t>
      </w:r>
    </w:p>
    <w:p w14:paraId="5EC38E4C">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□大宗生活物资采购合同</w:t>
      </w:r>
    </w:p>
    <w:p w14:paraId="2E3C519F">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□技术服务合同</w:t>
      </w:r>
    </w:p>
    <w:p w14:paraId="788532B2">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□信息化建设项目合同</w:t>
      </w:r>
    </w:p>
    <w:p w14:paraId="02BF7610">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□其他（学校有关归口管理部门拟定的其他合同范本）</w:t>
      </w:r>
    </w:p>
    <w:p w14:paraId="39EE5FED">
      <w:pPr>
        <w:pStyle w:val="6"/>
        <w:spacing w:line="360" w:lineRule="auto"/>
        <w:ind w:firstLine="562"/>
        <w:rPr>
          <w:rFonts w:ascii="仿宋_GB2312" w:hAnsi="宋体" w:eastAsia="仿宋_GB2312"/>
          <w:b/>
          <w:bCs/>
          <w:sz w:val="28"/>
          <w:szCs w:val="24"/>
        </w:rPr>
      </w:pPr>
      <w:r>
        <w:rPr>
          <w:rFonts w:hint="eastAsia" w:ascii="仿宋_GB2312" w:hAnsi="宋体" w:eastAsia="仿宋_GB2312"/>
          <w:b/>
          <w:bCs/>
          <w:sz w:val="28"/>
          <w:szCs w:val="24"/>
        </w:rPr>
        <w:t>（四）履约验收方案</w:t>
      </w:r>
    </w:p>
    <w:p w14:paraId="5A07361D">
      <w:pPr>
        <w:pStyle w:val="6"/>
        <w:spacing w:line="360" w:lineRule="auto"/>
        <w:ind w:firstLine="480"/>
        <w:rPr>
          <w:rFonts w:ascii="仿宋_GB2312" w:hAnsi="宋体" w:eastAsia="仿宋_GB2312" w:cs="仿宋"/>
          <w:sz w:val="24"/>
          <w:szCs w:val="24"/>
        </w:rPr>
      </w:pPr>
      <w:r>
        <w:rPr>
          <w:rFonts w:hint="eastAsia" w:ascii="仿宋_GB2312" w:hAnsi="宋体" w:eastAsia="仿宋_GB2312" w:cs="仿宋"/>
          <w:sz w:val="24"/>
          <w:szCs w:val="24"/>
        </w:rPr>
        <w:t>1.验收的主体及拟安排参与验收的成员</w:t>
      </w:r>
    </w:p>
    <w:p w14:paraId="57586941">
      <w:pPr>
        <w:pStyle w:val="6"/>
        <w:spacing w:line="360" w:lineRule="auto"/>
        <w:ind w:firstLine="480"/>
        <w:rPr>
          <w:rFonts w:ascii="仿宋_GB2312" w:hAnsi="宋体" w:eastAsia="仿宋_GB2312" w:cs="仿宋"/>
          <w:sz w:val="24"/>
          <w:szCs w:val="24"/>
        </w:rPr>
      </w:pPr>
      <w:r>
        <w:rPr>
          <w:rFonts w:hint="eastAsia" w:ascii="仿宋_GB2312" w:hAnsi="宋体" w:eastAsia="仿宋_GB2312" w:cs="仿宋"/>
          <w:sz w:val="24"/>
          <w:szCs w:val="24"/>
        </w:rPr>
        <w:t>2.验收时间及地点</w:t>
      </w:r>
    </w:p>
    <w:p w14:paraId="25E50EE3">
      <w:pPr>
        <w:pStyle w:val="6"/>
        <w:spacing w:line="360" w:lineRule="auto"/>
        <w:ind w:firstLine="480"/>
        <w:rPr>
          <w:rFonts w:ascii="仿宋_GB2312" w:hAnsi="宋体" w:eastAsia="仿宋_GB2312" w:cs="仿宋"/>
          <w:sz w:val="24"/>
          <w:szCs w:val="24"/>
        </w:rPr>
      </w:pPr>
      <w:r>
        <w:rPr>
          <w:rFonts w:hint="eastAsia" w:ascii="仿宋_GB2312" w:hAnsi="宋体" w:eastAsia="仿宋_GB2312" w:cs="仿宋"/>
          <w:sz w:val="24"/>
          <w:szCs w:val="24"/>
        </w:rPr>
        <w:t>（1）验收时间</w:t>
      </w:r>
    </w:p>
    <w:p w14:paraId="3C4C734A">
      <w:pPr>
        <w:pStyle w:val="6"/>
        <w:spacing w:line="360" w:lineRule="auto"/>
        <w:ind w:firstLine="480"/>
        <w:rPr>
          <w:rFonts w:ascii="仿宋_GB2312" w:hAnsi="宋体" w:eastAsia="仿宋_GB2312" w:cs="仿宋"/>
          <w:sz w:val="24"/>
          <w:szCs w:val="24"/>
        </w:rPr>
      </w:pPr>
      <w:r>
        <w:rPr>
          <w:rFonts w:hint="eastAsia" w:ascii="仿宋_GB2312" w:hAnsi="宋体" w:eastAsia="仿宋_GB2312" w:cs="仿宋"/>
          <w:sz w:val="24"/>
          <w:szCs w:val="24"/>
        </w:rPr>
        <w:t>（2）验收地点</w:t>
      </w:r>
    </w:p>
    <w:p w14:paraId="128D37E3">
      <w:pPr>
        <w:pStyle w:val="6"/>
        <w:spacing w:line="360" w:lineRule="auto"/>
        <w:ind w:firstLine="480"/>
        <w:rPr>
          <w:rFonts w:ascii="仿宋_GB2312" w:hAnsi="宋体" w:eastAsia="仿宋_GB2312" w:cs="仿宋"/>
          <w:sz w:val="24"/>
          <w:szCs w:val="24"/>
        </w:rPr>
      </w:pPr>
      <w:r>
        <w:rPr>
          <w:rFonts w:hint="eastAsia" w:ascii="仿宋_GB2312" w:hAnsi="宋体" w:eastAsia="仿宋_GB2312" w:cs="仿宋"/>
          <w:sz w:val="24"/>
          <w:szCs w:val="24"/>
        </w:rPr>
        <w:t>3.验收方式、程序及内容</w:t>
      </w:r>
    </w:p>
    <w:p w14:paraId="2149E333">
      <w:pPr>
        <w:pStyle w:val="6"/>
        <w:spacing w:line="360" w:lineRule="auto"/>
        <w:ind w:firstLine="480"/>
        <w:rPr>
          <w:rFonts w:ascii="仿宋_GB2312" w:hAnsi="宋体" w:eastAsia="仿宋_GB2312" w:cs="仿宋"/>
          <w:sz w:val="24"/>
          <w:szCs w:val="24"/>
        </w:rPr>
      </w:pPr>
      <w:r>
        <w:rPr>
          <w:rFonts w:hint="eastAsia" w:ascii="仿宋_GB2312" w:hAnsi="宋体" w:eastAsia="仿宋_GB2312" w:cs="仿宋"/>
          <w:sz w:val="24"/>
          <w:szCs w:val="24"/>
        </w:rPr>
        <w:t>4.验收标准</w:t>
      </w:r>
    </w:p>
    <w:p w14:paraId="1E59D404">
      <w:pPr>
        <w:pStyle w:val="6"/>
        <w:spacing w:line="360" w:lineRule="auto"/>
        <w:ind w:firstLine="562"/>
        <w:rPr>
          <w:rFonts w:ascii="仿宋_GB2312" w:hAnsi="宋体" w:eastAsia="仿宋_GB2312"/>
          <w:b/>
          <w:bCs/>
          <w:sz w:val="28"/>
          <w:szCs w:val="24"/>
        </w:rPr>
      </w:pPr>
      <w:bookmarkStart w:id="13" w:name="_Toc5882"/>
      <w:r>
        <w:rPr>
          <w:rFonts w:hint="eastAsia" w:ascii="仿宋_GB2312" w:hAnsi="宋体" w:eastAsia="仿宋_GB2312"/>
          <w:b/>
          <w:bCs/>
          <w:sz w:val="28"/>
          <w:szCs w:val="24"/>
        </w:rPr>
        <w:t>（五）风险管控措施</w:t>
      </w:r>
      <w:bookmarkEnd w:id="13"/>
    </w:p>
    <w:p w14:paraId="11FCDBED">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1.主要风险因素的识别</w:t>
      </w:r>
    </w:p>
    <w:p w14:paraId="139CF5DE">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（1）国家政策变化风险</w:t>
      </w:r>
    </w:p>
    <w:p w14:paraId="47AD3759">
      <w:pPr>
        <w:widowControl/>
        <w:spacing w:line="360" w:lineRule="auto"/>
        <w:ind w:firstLine="600"/>
        <w:jc w:val="left"/>
        <w:rPr>
          <w:rFonts w:ascii="仿宋_GB2312" w:hAnsi="宋体" w:eastAsia="仿宋_GB2312" w:cs="仿宋"/>
          <w:sz w:val="24"/>
          <w:szCs w:val="24"/>
        </w:rPr>
      </w:pPr>
      <w:bookmarkStart w:id="14" w:name="_Hlk76974208"/>
      <w:r>
        <w:rPr>
          <w:rFonts w:hint="eastAsia" w:ascii="仿宋_GB2312" w:hAnsi="宋体" w:eastAsia="仿宋_GB2312" w:cs="仿宋"/>
          <w:sz w:val="24"/>
          <w:szCs w:val="24"/>
        </w:rPr>
        <w:t>□有□无</w:t>
      </w:r>
      <w:bookmarkEnd w:id="14"/>
    </w:p>
    <w:p w14:paraId="7A687CC8">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（2）实施环境变化风险</w:t>
      </w:r>
    </w:p>
    <w:p w14:paraId="68E82CD5">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□有□无</w:t>
      </w:r>
    </w:p>
    <w:p w14:paraId="0E9A592B">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（3）重大技术变化风险</w:t>
      </w:r>
    </w:p>
    <w:p w14:paraId="6205BC3F">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□有□无</w:t>
      </w:r>
    </w:p>
    <w:p w14:paraId="1DA1616E">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（4）预算项目调整风险</w:t>
      </w:r>
    </w:p>
    <w:p w14:paraId="31435BE7">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□有□无</w:t>
      </w:r>
    </w:p>
    <w:p w14:paraId="32E7F682">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（5）质疑投诉影响采购进度风险</w:t>
      </w:r>
    </w:p>
    <w:p w14:paraId="25C4C3F9">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□有□无</w:t>
      </w:r>
    </w:p>
    <w:p w14:paraId="23AA2B81">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（6）采购失败风险、不按规定签订或者履行合同风险</w:t>
      </w:r>
    </w:p>
    <w:p w14:paraId="5F8B089C">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□有□无</w:t>
      </w:r>
    </w:p>
    <w:p w14:paraId="5277C885">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（7）损害国家利益和社会公共利益的风险等</w:t>
      </w:r>
    </w:p>
    <w:p w14:paraId="58751F9E">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□有□无</w:t>
      </w:r>
    </w:p>
    <w:p w14:paraId="4919731C">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2.存在风险事项的处置措施（根据风险情况选择）</w:t>
      </w:r>
    </w:p>
    <w:p w14:paraId="62F34392">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（1）国家政策变化风险处置措施</w:t>
      </w:r>
    </w:p>
    <w:p w14:paraId="2152834D">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（2）实施环境变化风险处置措施</w:t>
      </w:r>
    </w:p>
    <w:p w14:paraId="23880CFD">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（3）重大技术变化风险处置措施</w:t>
      </w:r>
    </w:p>
    <w:p w14:paraId="041F72C5">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（4）预算项目调整风险处置措施</w:t>
      </w:r>
    </w:p>
    <w:p w14:paraId="571BD469">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（5）质疑投诉影响采购进度风险处置措施</w:t>
      </w:r>
    </w:p>
    <w:p w14:paraId="4C493CF9">
      <w:pPr>
        <w:widowControl/>
        <w:spacing w:line="360" w:lineRule="auto"/>
        <w:ind w:firstLine="600"/>
        <w:jc w:val="left"/>
        <w:rPr>
          <w:rFonts w:ascii="仿宋_GB2312" w:hAnsi="宋体" w:eastAsia="仿宋_GB2312" w:cs="仿宋"/>
          <w:sz w:val="24"/>
          <w:szCs w:val="24"/>
        </w:rPr>
      </w:pPr>
      <w:r>
        <w:rPr>
          <w:rFonts w:hint="eastAsia" w:ascii="仿宋_GB2312" w:hAnsi="宋体" w:eastAsia="仿宋_GB2312" w:cs="仿宋"/>
          <w:sz w:val="24"/>
          <w:szCs w:val="24"/>
        </w:rPr>
        <w:t>（6）采购失败风险、不按规定签订或者履行合同风险处置措施</w:t>
      </w:r>
    </w:p>
    <w:p w14:paraId="7F1517F3">
      <w:pPr>
        <w:widowControl/>
        <w:spacing w:line="360" w:lineRule="auto"/>
        <w:ind w:firstLine="600"/>
        <w:jc w:val="left"/>
        <w:rPr>
          <w:rFonts w:ascii="宋体" w:hAnsi="宋体"/>
          <w:sz w:val="24"/>
          <w:szCs w:val="24"/>
        </w:rPr>
      </w:pPr>
      <w:r>
        <w:rPr>
          <w:rFonts w:hint="eastAsia" w:ascii="仿宋_GB2312" w:hAnsi="宋体" w:eastAsia="仿宋_GB2312" w:cs="仿宋"/>
          <w:sz w:val="24"/>
          <w:szCs w:val="24"/>
        </w:rPr>
        <w:t>（7）损害国家利益和社会公共利益的风险处置措施</w:t>
      </w:r>
    </w:p>
    <w:p w14:paraId="2A6B45B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F118B5"/>
    <w:multiLevelType w:val="multilevel"/>
    <w:tmpl w:val="2AF118B5"/>
    <w:lvl w:ilvl="0" w:tentative="0">
      <w:start w:val="1"/>
      <w:numFmt w:val="decimal"/>
      <w:suff w:val="nothing"/>
      <w:lvlText w:val="%1"/>
      <w:lvlJc w:val="center"/>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8CB1BA8"/>
    <w:rsid w:val="58CB1B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6">
    <w:name w:val="样式1"/>
    <w:basedOn w:val="1"/>
    <w:qFormat/>
    <w:uiPriority w:val="0"/>
    <w:pPr>
      <w:ind w:firstLine="883" w:firstLineChars="200"/>
    </w:pPr>
    <w:rPr>
      <w:rFonts w:ascii="Calibri" w:hAnsi="Calibri" w:eastAsia="宋体" w:cs="Times New Roman"/>
      <w:sz w:val="30"/>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2024-12-13T01:11:00Z</dcterms:created>
  <dc:creator>姜忠保</dc:creator>
  <cp:lastModifiedBy>姜忠保</cp:lastModifiedBy>
  <dcterms:modified xsi:type="dcterms:W3CDTF">2024-12-13T01:12:44Z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6892DA88AC5D49B7BB785F8187F92D9F_11</vt:lpwstr>
  </property>
</Properties>
</file>