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E31A25">
      <w:pPr>
        <w:widowControl/>
        <w:adjustRightInd w:val="0"/>
        <w:snapToGrid w:val="0"/>
        <w:spacing w:line="600" w:lineRule="exact"/>
        <w:jc w:val="left"/>
        <w:outlineLvl w:val="1"/>
        <w:rPr>
          <w:rFonts w:hint="eastAsia" w:ascii="仿宋_GB2312" w:hAnsi="方正小标宋简体" w:eastAsia="仿宋_GB2312" w:cs="宋体"/>
          <w:b/>
          <w:bCs/>
          <w:kern w:val="36"/>
          <w:sz w:val="32"/>
          <w:szCs w:val="32"/>
        </w:rPr>
      </w:pPr>
      <w:r>
        <w:rPr>
          <w:rFonts w:hint="eastAsia" w:ascii="仿宋_GB2312" w:hAnsi="方正小标宋简体" w:eastAsia="仿宋_GB2312" w:cs="宋体"/>
          <w:b/>
          <w:bCs/>
          <w:kern w:val="36"/>
          <w:sz w:val="32"/>
          <w:szCs w:val="32"/>
        </w:rPr>
        <w:t>附件1：</w:t>
      </w:r>
    </w:p>
    <w:p w14:paraId="456EBACF">
      <w:pPr>
        <w:pStyle w:val="3"/>
        <w:spacing w:before="0" w:after="0" w:line="360" w:lineRule="auto"/>
        <w:rPr>
          <w:rFonts w:hint="eastAsia" w:ascii="宋体" w:hAnsi="宋体"/>
          <w:szCs w:val="28"/>
        </w:rPr>
      </w:pPr>
      <w:r>
        <w:rPr>
          <w:rFonts w:hint="eastAsia" w:ascii="宋体" w:hAnsi="宋体"/>
          <w:szCs w:val="28"/>
        </w:rPr>
        <w:drawing>
          <wp:inline distT="0" distB="0" distL="114300" distR="114300">
            <wp:extent cx="2712085" cy="636270"/>
            <wp:effectExtent l="0" t="0" r="635" b="3810"/>
            <wp:docPr id="6"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668069378632"/>
                    <pic:cNvPicPr>
                      <a:picLocks noChangeAspect="1"/>
                    </pic:cNvPicPr>
                  </pic:nvPicPr>
                  <pic:blipFill>
                    <a:blip r:embed="rId4"/>
                    <a:stretch>
                      <a:fillRect/>
                    </a:stretch>
                  </pic:blipFill>
                  <pic:spPr>
                    <a:xfrm>
                      <a:off x="0" y="0"/>
                      <a:ext cx="2712085" cy="636270"/>
                    </a:xfrm>
                    <a:prstGeom prst="rect">
                      <a:avLst/>
                    </a:prstGeom>
                    <a:noFill/>
                    <a:ln>
                      <a:noFill/>
                    </a:ln>
                  </pic:spPr>
                </pic:pic>
              </a:graphicData>
            </a:graphic>
          </wp:inline>
        </w:drawing>
      </w:r>
    </w:p>
    <w:p w14:paraId="440167F9">
      <w:pPr>
        <w:pStyle w:val="3"/>
        <w:spacing w:before="0" w:after="0" w:line="360" w:lineRule="auto"/>
        <w:jc w:val="center"/>
        <w:rPr>
          <w:rFonts w:hint="eastAsia" w:ascii="宋体" w:hAnsi="宋体"/>
          <w:szCs w:val="28"/>
        </w:rPr>
      </w:pPr>
    </w:p>
    <w:p w14:paraId="04FE8DF5">
      <w:pPr>
        <w:pStyle w:val="3"/>
        <w:spacing w:before="0" w:after="0" w:line="360" w:lineRule="auto"/>
        <w:jc w:val="center"/>
        <w:rPr>
          <w:rFonts w:hint="eastAsia" w:ascii="宋体" w:hAnsi="宋体"/>
          <w:szCs w:val="28"/>
        </w:rPr>
      </w:pPr>
    </w:p>
    <w:p w14:paraId="3498A2F5"/>
    <w:p w14:paraId="5EB05842">
      <w:pPr>
        <w:rPr>
          <w:rFonts w:hint="eastAsia" w:ascii="宋体" w:hAnsi="宋体"/>
          <w:szCs w:val="28"/>
        </w:rPr>
      </w:pPr>
    </w:p>
    <w:p w14:paraId="2E36D237">
      <w:pPr>
        <w:jc w:val="center"/>
        <w:rPr>
          <w:rFonts w:hint="eastAsia" w:ascii="方正小标宋简体" w:hAnsi="方正小标宋简体" w:eastAsia="方正小标宋简体"/>
          <w:sz w:val="48"/>
          <w:szCs w:val="48"/>
        </w:rPr>
      </w:pPr>
      <w:r>
        <w:rPr>
          <w:rFonts w:hint="eastAsia" w:ascii="方正小标宋简体" w:hAnsi="方正小标宋简体" w:eastAsia="方正小标宋简体"/>
          <w:sz w:val="48"/>
          <w:szCs w:val="48"/>
        </w:rPr>
        <w:t>采 购 需 求 书</w:t>
      </w:r>
    </w:p>
    <w:p w14:paraId="082B5396"/>
    <w:p w14:paraId="01325F89">
      <w:pPr>
        <w:ind w:firstLine="1044" w:firstLineChars="400"/>
        <w:rPr>
          <w:rFonts w:hint="eastAsia" w:ascii="仿宋" w:hAnsi="仿宋" w:eastAsia="仿宋" w:cs="仿宋"/>
          <w:b/>
          <w:bCs/>
          <w:color w:val="000000"/>
          <w:kern w:val="0"/>
          <w:sz w:val="26"/>
          <w:szCs w:val="26"/>
          <w:shd w:val="clear" w:color="auto" w:fill="FFFFFF"/>
        </w:rPr>
      </w:pPr>
    </w:p>
    <w:p w14:paraId="0487CD89">
      <w:pPr>
        <w:ind w:firstLine="1044" w:firstLineChars="400"/>
        <w:rPr>
          <w:rFonts w:hint="eastAsia" w:ascii="仿宋" w:hAnsi="仿宋" w:eastAsia="仿宋" w:cs="仿宋"/>
          <w:b/>
          <w:bCs/>
          <w:color w:val="000000"/>
          <w:kern w:val="0"/>
          <w:sz w:val="26"/>
          <w:szCs w:val="26"/>
          <w:shd w:val="clear" w:color="auto" w:fill="FFFFFF"/>
        </w:rPr>
      </w:pPr>
    </w:p>
    <w:p w14:paraId="68E4AE2D">
      <w:pPr>
        <w:ind w:firstLine="1044" w:firstLineChars="400"/>
        <w:rPr>
          <w:rFonts w:hint="eastAsia" w:ascii="仿宋" w:hAnsi="仿宋" w:eastAsia="仿宋" w:cs="仿宋"/>
          <w:b/>
          <w:bCs/>
          <w:color w:val="000000"/>
          <w:kern w:val="0"/>
          <w:sz w:val="26"/>
          <w:szCs w:val="26"/>
          <w:shd w:val="clear" w:color="auto" w:fill="FFFFFF"/>
        </w:rPr>
      </w:pPr>
    </w:p>
    <w:p w14:paraId="7DD1FF6A">
      <w:pPr>
        <w:spacing w:line="720" w:lineRule="auto"/>
        <w:ind w:firstLine="2108" w:firstLineChars="659"/>
        <w:rPr>
          <w:rFonts w:hint="eastAsia" w:cs="Cambria" w:asciiTheme="minorEastAsia" w:hAnsiTheme="minorEastAsia"/>
          <w:color w:val="000000"/>
          <w:kern w:val="0"/>
          <w:sz w:val="24"/>
          <w:szCs w:val="24"/>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项目名称：</w:t>
      </w:r>
      <w:r>
        <w:rPr>
          <w:rFonts w:ascii="Cambria" w:hAnsi="Cambria" w:eastAsia="方正小标宋简体" w:cs="Cambria"/>
          <w:color w:val="000000"/>
          <w:kern w:val="0"/>
          <w:sz w:val="32"/>
          <w:szCs w:val="32"/>
          <w:u w:val="single"/>
          <w:shd w:val="clear" w:color="auto" w:fill="FFFFFF"/>
        </w:rPr>
        <w:t>  </w:t>
      </w:r>
      <w:r>
        <w:rPr>
          <w:rFonts w:hint="eastAsia" w:cs="Cambria" w:asciiTheme="minorEastAsia" w:hAnsiTheme="minorEastAsia"/>
          <w:color w:val="000000"/>
          <w:kern w:val="0"/>
          <w:sz w:val="24"/>
          <w:szCs w:val="24"/>
          <w:u w:val="single"/>
          <w:shd w:val="clear" w:color="auto" w:fill="FFFFFF"/>
          <w:lang w:val="en-US" w:eastAsia="zh-CN"/>
        </w:rPr>
        <w:t>中国地质大学（武汉）</w:t>
      </w:r>
      <w:r>
        <w:rPr>
          <w:rFonts w:hint="eastAsia" w:cs="Cambria" w:asciiTheme="minorEastAsia" w:hAnsiTheme="minorEastAsia"/>
          <w:color w:val="000000"/>
          <w:kern w:val="0"/>
          <w:sz w:val="24"/>
          <w:szCs w:val="24"/>
          <w:u w:val="single"/>
          <w:shd w:val="clear" w:color="auto" w:fill="FFFFFF"/>
        </w:rPr>
        <w:t>成分检测类</w:t>
      </w:r>
    </w:p>
    <w:p w14:paraId="27FADC88">
      <w:pPr>
        <w:spacing w:line="720" w:lineRule="auto"/>
        <w:ind w:firstLine="3600" w:firstLineChars="1500"/>
        <w:rPr>
          <w:rFonts w:hint="eastAsia" w:cs="Calibri" w:asciiTheme="minorEastAsia" w:hAnsiTheme="minorEastAsia"/>
          <w:color w:val="000000"/>
          <w:kern w:val="0"/>
          <w:sz w:val="24"/>
          <w:szCs w:val="24"/>
          <w:u w:val="single"/>
          <w:shd w:val="clear" w:color="auto" w:fill="FFFFFF"/>
        </w:rPr>
      </w:pPr>
      <w:r>
        <w:rPr>
          <w:rFonts w:hint="eastAsia" w:cs="Cambria" w:asciiTheme="minorEastAsia" w:hAnsiTheme="minorEastAsia"/>
          <w:color w:val="000000"/>
          <w:kern w:val="0"/>
          <w:sz w:val="24"/>
          <w:szCs w:val="24"/>
          <w:u w:val="single"/>
          <w:shd w:val="clear" w:color="auto" w:fill="FFFFFF"/>
        </w:rPr>
        <w:t xml:space="preserve">设备购置   </w:t>
      </w:r>
      <w:r>
        <w:rPr>
          <w:rFonts w:hint="eastAsia" w:cs="Cambria" w:asciiTheme="minorEastAsia" w:hAnsiTheme="minorEastAsia"/>
          <w:color w:val="000000"/>
          <w:kern w:val="0"/>
          <w:sz w:val="24"/>
          <w:szCs w:val="24"/>
          <w:u w:val="single"/>
          <w:shd w:val="clear" w:color="auto" w:fill="FFFFFF"/>
          <w:lang w:val="en-US" w:eastAsia="zh-CN"/>
        </w:rPr>
        <w:t xml:space="preserve">                </w:t>
      </w:r>
      <w:r>
        <w:rPr>
          <w:rFonts w:hint="eastAsia" w:cs="Cambria" w:asciiTheme="minorEastAsia" w:hAnsiTheme="minorEastAsia"/>
          <w:color w:val="000000"/>
          <w:kern w:val="0"/>
          <w:sz w:val="24"/>
          <w:szCs w:val="24"/>
          <w:u w:val="single"/>
          <w:shd w:val="clear" w:color="auto" w:fill="FFFFFF"/>
        </w:rPr>
        <w:t xml:space="preserve">    </w:t>
      </w:r>
    </w:p>
    <w:p w14:paraId="5DEB2260">
      <w:pPr>
        <w:spacing w:line="720" w:lineRule="auto"/>
        <w:ind w:firstLine="2108" w:firstLineChars="659"/>
        <w:rPr>
          <w:rFonts w:hint="eastAsia" w:cs="Cambria" w:asciiTheme="minorEastAsia" w:hAnsiTheme="minorEastAsia"/>
          <w:color w:val="000000"/>
          <w:kern w:val="0"/>
          <w:sz w:val="24"/>
          <w:szCs w:val="24"/>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用户单位：</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rPr>
        <w:t xml:space="preserve">  </w:t>
      </w:r>
      <w:r>
        <w:rPr>
          <w:rFonts w:hint="eastAsia" w:cs="Cambria" w:asciiTheme="minorEastAsia" w:hAnsiTheme="minorEastAsia"/>
          <w:color w:val="000000"/>
          <w:kern w:val="0"/>
          <w:sz w:val="24"/>
          <w:szCs w:val="24"/>
          <w:u w:val="single"/>
          <w:shd w:val="clear" w:color="auto" w:fill="FFFFFF"/>
        </w:rPr>
        <w:t xml:space="preserve">地球与行星科学学院        </w:t>
      </w:r>
    </w:p>
    <w:p w14:paraId="209295F8">
      <w:pPr>
        <w:spacing w:line="720" w:lineRule="auto"/>
        <w:ind w:firstLine="2108" w:firstLineChars="659"/>
        <w:rPr>
          <w:rFonts w:hint="eastAsia" w:ascii="方正小标宋简体" w:hAnsi="方正小标宋简体" w:eastAsia="方正小标宋简体" w:cs="Calibri"/>
          <w:color w:val="000000"/>
          <w:kern w:val="0"/>
          <w:sz w:val="24"/>
          <w:szCs w:val="24"/>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编制时间：</w:t>
      </w:r>
      <w:r>
        <w:rPr>
          <w:rFonts w:ascii="Cambria" w:hAnsi="Cambria" w:eastAsia="方正小标宋简体" w:cs="Cambria"/>
          <w:color w:val="000000"/>
          <w:kern w:val="0"/>
          <w:sz w:val="24"/>
          <w:szCs w:val="24"/>
          <w:u w:val="single"/>
          <w:shd w:val="clear" w:color="auto" w:fill="FFFFFF"/>
        </w:rPr>
        <w:t>     </w:t>
      </w:r>
      <w:r>
        <w:rPr>
          <w:rFonts w:hint="eastAsia" w:ascii="Cambria" w:hAnsi="Cambria" w:eastAsia="方正小标宋简体" w:cs="Cambria"/>
          <w:color w:val="000000"/>
          <w:kern w:val="0"/>
          <w:sz w:val="24"/>
          <w:szCs w:val="24"/>
          <w:u w:val="single"/>
          <w:shd w:val="clear" w:color="auto" w:fill="FFFFFF"/>
        </w:rPr>
        <w:t xml:space="preserve">      </w:t>
      </w:r>
      <w:r>
        <w:rPr>
          <w:rFonts w:ascii="Times New Roman" w:hAnsi="Times New Roman" w:eastAsia="方正小标宋简体" w:cs="Times New Roman"/>
          <w:color w:val="000000"/>
          <w:kern w:val="0"/>
          <w:sz w:val="24"/>
          <w:szCs w:val="24"/>
          <w:u w:val="single"/>
          <w:shd w:val="clear" w:color="auto" w:fill="FFFFFF"/>
        </w:rPr>
        <w:t>2026.0</w:t>
      </w:r>
      <w:r>
        <w:rPr>
          <w:rFonts w:hint="eastAsia" w:ascii="Times New Roman" w:hAnsi="Times New Roman" w:eastAsia="方正小标宋简体" w:cs="Times New Roman"/>
          <w:color w:val="000000"/>
          <w:kern w:val="0"/>
          <w:sz w:val="24"/>
          <w:szCs w:val="24"/>
          <w:u w:val="single"/>
          <w:shd w:val="clear" w:color="auto" w:fill="FFFFFF"/>
        </w:rPr>
        <w:t>8</w:t>
      </w:r>
      <w:r>
        <w:rPr>
          <w:rFonts w:ascii="Times New Roman" w:hAnsi="Times New Roman" w:eastAsia="方正小标宋简体" w:cs="Times New Roman"/>
          <w:color w:val="000000"/>
          <w:kern w:val="0"/>
          <w:sz w:val="24"/>
          <w:szCs w:val="24"/>
          <w:u w:val="single"/>
          <w:shd w:val="clear" w:color="auto" w:fill="FFFFFF"/>
        </w:rPr>
        <w:t>.</w:t>
      </w:r>
      <w:r>
        <w:rPr>
          <w:rFonts w:hint="eastAsia" w:ascii="Times New Roman" w:hAnsi="Times New Roman" w:eastAsia="方正小标宋简体" w:cs="Times New Roman"/>
          <w:color w:val="000000"/>
          <w:kern w:val="0"/>
          <w:sz w:val="24"/>
          <w:szCs w:val="24"/>
          <w:u w:val="single"/>
          <w:shd w:val="clear" w:color="auto" w:fill="FFFFFF"/>
        </w:rPr>
        <w:t>18</w:t>
      </w:r>
      <w:r>
        <w:rPr>
          <w:rFonts w:ascii="Cambria" w:hAnsi="Cambria" w:eastAsia="方正小标宋简体" w:cs="Cambria"/>
          <w:color w:val="000000"/>
          <w:kern w:val="0"/>
          <w:sz w:val="24"/>
          <w:szCs w:val="24"/>
          <w:u w:val="single"/>
          <w:shd w:val="clear" w:color="auto" w:fill="FFFFFF"/>
        </w:rPr>
        <w:t>   </w:t>
      </w:r>
      <w:r>
        <w:rPr>
          <w:rFonts w:hint="eastAsia" w:ascii="Cambria" w:hAnsi="Cambria" w:eastAsia="方正小标宋简体" w:cs="Cambria"/>
          <w:color w:val="000000"/>
          <w:kern w:val="0"/>
          <w:sz w:val="24"/>
          <w:szCs w:val="24"/>
          <w:u w:val="single"/>
          <w:shd w:val="clear" w:color="auto" w:fill="FFFFFF"/>
        </w:rPr>
        <w:t xml:space="preserve">      </w:t>
      </w:r>
      <w:r>
        <w:rPr>
          <w:rFonts w:ascii="Cambria" w:hAnsi="Cambria" w:eastAsia="方正小标宋简体" w:cs="Cambria"/>
          <w:color w:val="000000"/>
          <w:kern w:val="0"/>
          <w:sz w:val="24"/>
          <w:szCs w:val="24"/>
          <w:u w:val="single"/>
          <w:shd w:val="clear" w:color="auto" w:fill="FFFFFF"/>
        </w:rPr>
        <w:t>           </w:t>
      </w:r>
      <w:r>
        <w:rPr>
          <w:rFonts w:hint="eastAsia" w:ascii="Cambria" w:hAnsi="Cambria" w:eastAsia="方正小标宋简体" w:cs="Cambria"/>
          <w:color w:val="000000"/>
          <w:kern w:val="0"/>
          <w:sz w:val="24"/>
          <w:szCs w:val="24"/>
          <w:u w:val="single"/>
          <w:shd w:val="clear" w:color="auto" w:fill="FFFFFF"/>
        </w:rPr>
        <w:t xml:space="preserve"> </w:t>
      </w:r>
    </w:p>
    <w:p w14:paraId="328FFD72">
      <w:pPr>
        <w:rPr>
          <w:rFonts w:hint="eastAsia" w:ascii="宋体" w:hAnsi="宋体"/>
          <w:color w:val="FF0000"/>
          <w:sz w:val="28"/>
          <w:szCs w:val="28"/>
        </w:rPr>
      </w:pPr>
    </w:p>
    <w:p w14:paraId="58FADAA6">
      <w:pPr>
        <w:rPr>
          <w:rFonts w:hint="eastAsia" w:ascii="宋体" w:hAnsi="宋体"/>
          <w:color w:val="FF0000"/>
          <w:sz w:val="28"/>
          <w:szCs w:val="28"/>
        </w:rPr>
      </w:pPr>
    </w:p>
    <w:p w14:paraId="2AA30326">
      <w:pPr>
        <w:rPr>
          <w:rFonts w:hint="eastAsia" w:ascii="宋体" w:hAnsi="宋体"/>
          <w:color w:val="FF0000"/>
          <w:sz w:val="28"/>
          <w:szCs w:val="28"/>
        </w:rPr>
      </w:pPr>
    </w:p>
    <w:p w14:paraId="4ABC9169">
      <w:pPr>
        <w:rPr>
          <w:rFonts w:hint="eastAsia" w:ascii="宋体" w:hAnsi="宋体"/>
          <w:color w:val="FF0000"/>
          <w:sz w:val="28"/>
          <w:szCs w:val="28"/>
        </w:rPr>
      </w:pPr>
    </w:p>
    <w:p w14:paraId="3F23435C">
      <w:pPr>
        <w:jc w:val="center"/>
        <w:rPr>
          <w:rFonts w:hint="eastAsia" w:ascii="方正小标宋简体" w:hAnsi="方正小标宋简体" w:eastAsia="方正小标宋简体" w:cs="仿宋"/>
          <w:color w:val="000000"/>
          <w:kern w:val="0"/>
          <w:sz w:val="32"/>
          <w:szCs w:val="32"/>
          <w:shd w:val="clear" w:color="auto" w:fill="FFFFFF"/>
        </w:rPr>
      </w:pPr>
    </w:p>
    <w:p w14:paraId="46DBEE92">
      <w:pPr>
        <w:widowControl/>
        <w:jc w:val="left"/>
        <w:rPr>
          <w:rFonts w:hint="eastAsia" w:ascii="方正小标宋简体" w:hAnsi="方正小标宋简体" w:eastAsia="方正小标宋简体" w:cs="仿宋"/>
          <w:color w:val="000000"/>
          <w:kern w:val="0"/>
          <w:sz w:val="32"/>
          <w:szCs w:val="32"/>
          <w:shd w:val="clear" w:color="auto" w:fill="FFFFFF"/>
        </w:rPr>
      </w:pPr>
      <w:r>
        <w:rPr>
          <w:rFonts w:ascii="方正小标宋简体" w:hAnsi="方正小标宋简体" w:eastAsia="方正小标宋简体" w:cs="仿宋"/>
          <w:color w:val="000000"/>
          <w:kern w:val="0"/>
          <w:sz w:val="32"/>
          <w:szCs w:val="32"/>
          <w:shd w:val="clear" w:color="auto" w:fill="FFFFFF"/>
        </w:rPr>
        <w:br w:type="page"/>
      </w:r>
    </w:p>
    <w:p w14:paraId="7E5C422F">
      <w:pPr>
        <w:jc w:val="center"/>
        <w:rPr>
          <w:rFonts w:hint="eastAsia" w:ascii="方正小标宋简体" w:hAnsi="方正小标宋简体" w:eastAsia="方正小标宋简体" w:cs="仿宋"/>
          <w:color w:val="000000"/>
          <w:kern w:val="0"/>
          <w:sz w:val="32"/>
          <w:szCs w:val="32"/>
          <w:shd w:val="clear" w:color="auto" w:fill="FFFFFF"/>
        </w:rPr>
      </w:pPr>
      <w:r>
        <w:rPr>
          <w:rFonts w:hint="eastAsia" w:ascii="方正小标宋简体" w:hAnsi="方正小标宋简体" w:eastAsia="方正小标宋简体" w:cs="仿宋"/>
          <w:color w:val="000000"/>
          <w:kern w:val="0"/>
          <w:sz w:val="32"/>
          <w:szCs w:val="32"/>
          <w:shd w:val="clear" w:color="auto" w:fill="FFFFFF"/>
        </w:rPr>
        <w:t>编制说明</w:t>
      </w:r>
    </w:p>
    <w:p w14:paraId="3463FB89">
      <w:pPr>
        <w:widowControl/>
        <w:spacing w:line="560" w:lineRule="atLeast"/>
        <w:ind w:firstLine="640"/>
        <w:jc w:val="left"/>
        <w:rPr>
          <w:rFonts w:hint="eastAsia" w:ascii="宋体" w:hAnsi="宋体" w:cs="仿宋"/>
          <w:color w:val="000000"/>
          <w:kern w:val="0"/>
          <w:sz w:val="28"/>
          <w:szCs w:val="28"/>
          <w:shd w:val="clear" w:color="auto" w:fill="FFFFFF"/>
        </w:rPr>
      </w:pPr>
    </w:p>
    <w:p w14:paraId="7AB59759">
      <w:pPr>
        <w:widowControl/>
        <w:spacing w:line="560" w:lineRule="atLeast"/>
        <w:ind w:firstLine="640"/>
        <w:jc w:val="left"/>
        <w:rPr>
          <w:rFonts w:hint="eastAsia"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一、用户单位依据咨询、论证、问卷等方式调查的具体情况自行编制采购需求书。</w:t>
      </w:r>
    </w:p>
    <w:p w14:paraId="237C36B5">
      <w:pPr>
        <w:widowControl/>
        <w:spacing w:line="560" w:lineRule="atLeast"/>
        <w:ind w:firstLine="640"/>
        <w:jc w:val="left"/>
        <w:rPr>
          <w:rFonts w:hint="eastAsia"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二、编制的采购需求书应当符合《财政部关于印发政府采购需求管理办法的通知》（财库〔2021〕22号）要求及政府采购的相关规定。除单一来源采购外，标的物名称、指标要求等不能指向单一供应商。</w:t>
      </w:r>
    </w:p>
    <w:p w14:paraId="6F4B7D84">
      <w:pPr>
        <w:widowControl/>
        <w:spacing w:line="560" w:lineRule="atLeast"/>
        <w:ind w:firstLine="640"/>
        <w:jc w:val="left"/>
        <w:rPr>
          <w:rFonts w:hint="eastAsia"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三、斜体字部分属于提醒内容，编制时应删除。</w:t>
      </w:r>
    </w:p>
    <w:p w14:paraId="3E1B20E5">
      <w:pPr>
        <w:widowControl/>
        <w:spacing w:line="560" w:lineRule="atLeast"/>
        <w:ind w:firstLine="640"/>
        <w:jc w:val="left"/>
        <w:rPr>
          <w:rFonts w:hint="eastAsia"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四、对不适用的内容应删除，并调整相应序号。</w:t>
      </w:r>
    </w:p>
    <w:p w14:paraId="31C9D96B"/>
    <w:p w14:paraId="27A6AAC0">
      <w:pPr>
        <w:spacing w:line="360" w:lineRule="auto"/>
      </w:pPr>
    </w:p>
    <w:p w14:paraId="3FF1492A">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269099B0">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1464CF14">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7A68F972">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283679AF">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4CE6FE5F">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54B96D82">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68AAFCC0">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02AF3A81">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176417CB">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75F191AC">
      <w:pPr>
        <w:widowControl/>
        <w:shd w:val="clear" w:color="auto" w:fill="FFFFFF"/>
        <w:spacing w:line="360" w:lineRule="auto"/>
        <w:jc w:val="left"/>
        <w:rPr>
          <w:rFonts w:hint="eastAsia" w:ascii="宋体" w:hAnsi="宋体" w:cs="Arial"/>
          <w:b/>
          <w:color w:val="333333"/>
          <w:kern w:val="0"/>
          <w:sz w:val="28"/>
          <w:szCs w:val="28"/>
        </w:rPr>
      </w:pPr>
    </w:p>
    <w:p w14:paraId="4F6E7CE7">
      <w:pPr>
        <w:pStyle w:val="13"/>
        <w:widowControl/>
        <w:numPr>
          <w:ilvl w:val="0"/>
          <w:numId w:val="1"/>
        </w:numPr>
        <w:ind w:firstLineChars="0"/>
        <w:jc w:val="left"/>
        <w:rPr>
          <w:rFonts w:hint="eastAsia" w:ascii="仿宋_GB2312" w:hAnsi="宋体" w:eastAsia="仿宋_GB2312" w:cs="仿宋"/>
          <w:b/>
          <w:color w:val="000000"/>
          <w:kern w:val="0"/>
          <w:sz w:val="32"/>
          <w:szCs w:val="28"/>
          <w:shd w:val="clear" w:color="auto" w:fill="FFFFFF"/>
        </w:rPr>
      </w:pPr>
      <w:r>
        <w:rPr>
          <w:rFonts w:ascii="宋体" w:hAnsi="宋体" w:cs="Arial"/>
          <w:b/>
          <w:color w:val="333333"/>
          <w:kern w:val="0"/>
          <w:sz w:val="24"/>
          <w:szCs w:val="24"/>
        </w:rPr>
        <w:br w:type="page"/>
      </w:r>
      <w:r>
        <w:rPr>
          <w:rFonts w:hint="eastAsia" w:ascii="仿宋_GB2312" w:hAnsi="宋体" w:eastAsia="仿宋_GB2312" w:cs="仿宋"/>
          <w:b/>
          <w:color w:val="000000"/>
          <w:kern w:val="0"/>
          <w:sz w:val="32"/>
          <w:szCs w:val="28"/>
          <w:shd w:val="clear" w:color="auto" w:fill="FFFFFF"/>
        </w:rPr>
        <w:t>项目概况</w:t>
      </w:r>
    </w:p>
    <w:p w14:paraId="5CBA88DA">
      <w:pPr>
        <w:widowControl/>
        <w:spacing w:line="360" w:lineRule="auto"/>
        <w:jc w:val="left"/>
        <w:rPr>
          <w:rFonts w:hint="eastAsia" w:ascii="仿宋_GB2312" w:hAnsi="宋体" w:eastAsia="仿宋_GB2312" w:cs="仿宋"/>
          <w:bCs/>
          <w:color w:val="000000"/>
          <w:kern w:val="0"/>
          <w:sz w:val="24"/>
          <w:szCs w:val="24"/>
          <w:shd w:val="clear" w:color="auto" w:fill="FFFFFF"/>
        </w:rPr>
      </w:pPr>
      <w:r>
        <w:rPr>
          <w:rFonts w:hint="eastAsia" w:ascii="仿宋_GB2312" w:hAnsi="宋体" w:eastAsia="仿宋_GB2312" w:cs="仿宋"/>
          <w:bCs/>
          <w:color w:val="000000"/>
          <w:kern w:val="0"/>
          <w:sz w:val="24"/>
          <w:szCs w:val="24"/>
          <w:shd w:val="clear" w:color="auto" w:fill="FFFFFF"/>
        </w:rPr>
        <w:t>（一）、项目背景</w:t>
      </w:r>
    </w:p>
    <w:p w14:paraId="7B20F25A">
      <w:pPr>
        <w:widowControl/>
        <w:spacing w:line="360" w:lineRule="auto"/>
        <w:ind w:firstLine="480" w:firstLineChars="200"/>
        <w:jc w:val="left"/>
        <w:rPr>
          <w:rFonts w:hint="eastAsia" w:ascii="仿宋_GB2312" w:hAnsi="宋体" w:eastAsia="仿宋_GB2312" w:cs="仿宋"/>
          <w:bCs/>
          <w:color w:val="000000"/>
          <w:kern w:val="0"/>
          <w:sz w:val="24"/>
          <w:szCs w:val="24"/>
          <w:shd w:val="clear" w:color="auto" w:fill="FFFFFF"/>
        </w:rPr>
      </w:pPr>
      <w:r>
        <w:rPr>
          <w:rFonts w:ascii="仿宋_GB2312" w:hAnsi="宋体" w:eastAsia="仿宋_GB2312" w:cs="仿宋"/>
          <w:bCs/>
          <w:color w:val="000000"/>
          <w:kern w:val="0"/>
          <w:sz w:val="24"/>
          <w:szCs w:val="24"/>
          <w:shd w:val="clear" w:color="auto" w:fill="FFFFFF"/>
        </w:rPr>
        <w:t>本项目为“面向地球系统科学的地质学类拔尖人才培养实训基地设备更新项目”的重要组成部分。面向国家资源安全保障、生态文明建设、“双碳”战略及深地、深海、深空探测等重大需求，地球科学研究与教学正由传统单学科模式向多圈层、多尺度、多过程交叉融合的地球系统科学范式转变。</w:t>
      </w:r>
    </w:p>
    <w:p w14:paraId="39FE5AC3">
      <w:pPr>
        <w:widowControl/>
        <w:spacing w:line="360" w:lineRule="auto"/>
        <w:ind w:firstLine="480" w:firstLineChars="200"/>
        <w:jc w:val="left"/>
        <w:rPr>
          <w:rFonts w:hint="eastAsia" w:ascii="仿宋_GB2312" w:hAnsi="宋体" w:eastAsia="仿宋_GB2312" w:cs="仿宋"/>
          <w:bCs/>
          <w:color w:val="000000"/>
          <w:kern w:val="0"/>
          <w:sz w:val="24"/>
          <w:szCs w:val="24"/>
          <w:shd w:val="clear" w:color="auto" w:fill="FFFFFF"/>
        </w:rPr>
      </w:pPr>
      <w:r>
        <w:rPr>
          <w:rFonts w:ascii="仿宋_GB2312" w:hAnsi="宋体" w:eastAsia="仿宋_GB2312" w:cs="仿宋"/>
          <w:bCs/>
          <w:color w:val="000000"/>
          <w:kern w:val="0"/>
          <w:sz w:val="24"/>
          <w:szCs w:val="24"/>
          <w:shd w:val="clear" w:color="auto" w:fill="FFFFFF"/>
        </w:rPr>
        <w:t>学院承担地质学（国家基础学科拔尖学生培养计划2.0基地）、环境科学</w:t>
      </w:r>
      <w:r>
        <w:rPr>
          <w:rFonts w:hint="eastAsia" w:ascii="仿宋_GB2312" w:hAnsi="宋体" w:eastAsia="仿宋_GB2312" w:cs="仿宋"/>
          <w:bCs/>
          <w:color w:val="000000"/>
          <w:kern w:val="0"/>
          <w:sz w:val="24"/>
          <w:szCs w:val="24"/>
          <w:shd w:val="clear" w:color="auto" w:fill="FFFFFF"/>
        </w:rPr>
        <w:t>、海洋科学</w:t>
      </w:r>
      <w:r>
        <w:rPr>
          <w:rFonts w:ascii="仿宋_GB2312" w:hAnsi="宋体" w:eastAsia="仿宋_GB2312" w:cs="仿宋"/>
          <w:bCs/>
          <w:color w:val="000000"/>
          <w:kern w:val="0"/>
          <w:sz w:val="24"/>
          <w:szCs w:val="24"/>
          <w:shd w:val="clear" w:color="auto" w:fill="FFFFFF"/>
        </w:rPr>
        <w:t>等专业的本科及研究生实验教学、野外实习和科研育人任务。学院现有部分分析测试设备服役年限较长、技术性能落后、故障率高，已难以支撑新时代地质学拔尖创新人才培养对高精度、多元素、多介质及现场原位分析的实践教学要求，亦无法满足高水平科研反哺教学的需求。</w:t>
      </w:r>
    </w:p>
    <w:p w14:paraId="6DECAC40">
      <w:pPr>
        <w:widowControl/>
        <w:spacing w:line="360" w:lineRule="auto"/>
        <w:ind w:firstLine="480" w:firstLineChars="200"/>
        <w:jc w:val="left"/>
        <w:rPr>
          <w:rFonts w:hint="eastAsia" w:ascii="仿宋_GB2312" w:hAnsi="宋体" w:eastAsia="仿宋_GB2312" w:cs="仿宋"/>
          <w:bCs/>
          <w:color w:val="000000"/>
          <w:kern w:val="0"/>
          <w:sz w:val="24"/>
          <w:szCs w:val="24"/>
          <w:shd w:val="clear" w:color="auto" w:fill="FFFFFF"/>
        </w:rPr>
      </w:pPr>
      <w:r>
        <w:rPr>
          <w:rFonts w:ascii="仿宋_GB2312" w:hAnsi="宋体" w:eastAsia="仿宋_GB2312" w:cs="仿宋"/>
          <w:bCs/>
          <w:color w:val="000000"/>
          <w:kern w:val="0"/>
          <w:sz w:val="24"/>
          <w:szCs w:val="24"/>
          <w:shd w:val="clear" w:color="auto" w:fill="FFFFFF"/>
        </w:rPr>
        <w:t>根据国家关于推动大规模设备更新和深化科教融合的政策部署，学院拟对现有一批老化设备实施“以旧换新”与迭代升级，采购先进分析测试仪器，打造集“实验教学—前沿创新—综合应用”于一体的现代化实践教学与科研支撑平台。</w:t>
      </w:r>
    </w:p>
    <w:p w14:paraId="2B99030B">
      <w:pPr>
        <w:widowControl/>
        <w:spacing w:line="360" w:lineRule="auto"/>
        <w:jc w:val="left"/>
        <w:rPr>
          <w:rFonts w:hint="eastAsia" w:ascii="仿宋_GB2312" w:hAnsi="宋体" w:eastAsia="仿宋_GB2312" w:cs="仿宋"/>
          <w:bCs/>
          <w:color w:val="000000"/>
          <w:kern w:val="0"/>
          <w:sz w:val="24"/>
          <w:szCs w:val="24"/>
          <w:shd w:val="clear" w:color="auto" w:fill="FFFFFF"/>
        </w:rPr>
      </w:pPr>
      <w:r>
        <w:rPr>
          <w:rFonts w:hint="eastAsia" w:ascii="仿宋_GB2312" w:hAnsi="宋体" w:eastAsia="仿宋_GB2312" w:cs="仿宋"/>
          <w:bCs/>
          <w:color w:val="000000"/>
          <w:kern w:val="0"/>
          <w:sz w:val="24"/>
          <w:szCs w:val="24"/>
          <w:shd w:val="clear" w:color="auto" w:fill="FFFFFF"/>
        </w:rPr>
        <w:t>（二）、立项目的</w:t>
      </w:r>
    </w:p>
    <w:p w14:paraId="28169723">
      <w:pPr>
        <w:widowControl/>
        <w:spacing w:line="360" w:lineRule="auto"/>
        <w:ind w:firstLine="480" w:firstLineChars="200"/>
        <w:jc w:val="left"/>
        <w:rPr>
          <w:rFonts w:hint="eastAsia" w:ascii="仿宋_GB2312" w:hAnsi="宋体" w:eastAsia="仿宋_GB2312" w:cs="仿宋"/>
          <w:bCs/>
          <w:color w:val="000000"/>
          <w:kern w:val="0"/>
          <w:sz w:val="24"/>
          <w:szCs w:val="24"/>
          <w:shd w:val="clear" w:color="auto" w:fill="FFFFFF"/>
        </w:rPr>
      </w:pPr>
      <w:r>
        <w:rPr>
          <w:rFonts w:ascii="仿宋_GB2312" w:hAnsi="宋体" w:eastAsia="仿宋_GB2312" w:cs="仿宋"/>
          <w:bCs/>
          <w:color w:val="000000"/>
          <w:kern w:val="0"/>
          <w:sz w:val="24"/>
          <w:szCs w:val="24"/>
          <w:shd w:val="clear" w:color="auto" w:fill="FFFFFF"/>
        </w:rPr>
        <w:t>项目以</w:t>
      </w:r>
      <w:r>
        <w:rPr>
          <w:rFonts w:ascii="仿宋_GB2312" w:hAnsi="宋体" w:eastAsia="仿宋_GB2312" w:cs="仿宋"/>
          <w:b/>
          <w:bCs/>
          <w:color w:val="000000"/>
          <w:kern w:val="0"/>
          <w:sz w:val="24"/>
          <w:szCs w:val="24"/>
          <w:shd w:val="clear" w:color="auto" w:fill="FFFFFF"/>
        </w:rPr>
        <w:t>教学设备更新升级</w:t>
      </w:r>
      <w:r>
        <w:rPr>
          <w:rFonts w:ascii="仿宋_GB2312" w:hAnsi="宋体" w:eastAsia="仿宋_GB2312" w:cs="仿宋"/>
          <w:bCs/>
          <w:color w:val="000000"/>
          <w:kern w:val="0"/>
          <w:sz w:val="24"/>
          <w:szCs w:val="24"/>
          <w:shd w:val="clear" w:color="auto" w:fill="FFFFFF"/>
        </w:rPr>
        <w:t>为核心，兼顾前沿科研与学生创新能力培养，重点实现以下目标：</w:t>
      </w:r>
    </w:p>
    <w:p w14:paraId="05B0E0E7">
      <w:pPr>
        <w:widowControl/>
        <w:numPr>
          <w:ilvl w:val="0"/>
          <w:numId w:val="2"/>
        </w:numPr>
        <w:spacing w:line="360" w:lineRule="auto"/>
        <w:ind w:left="0" w:firstLine="482" w:firstLineChars="200"/>
        <w:jc w:val="left"/>
        <w:rPr>
          <w:rFonts w:hint="eastAsia" w:ascii="仿宋_GB2312" w:hAnsi="宋体" w:eastAsia="仿宋_GB2312" w:cs="仿宋"/>
          <w:bCs/>
          <w:color w:val="000000"/>
          <w:kern w:val="0"/>
          <w:sz w:val="24"/>
          <w:szCs w:val="24"/>
          <w:shd w:val="clear" w:color="auto" w:fill="FFFFFF"/>
        </w:rPr>
      </w:pPr>
      <w:r>
        <w:rPr>
          <w:rFonts w:ascii="仿宋_GB2312" w:hAnsi="宋体" w:eastAsia="仿宋_GB2312" w:cs="仿宋"/>
          <w:b/>
          <w:bCs/>
          <w:color w:val="000000"/>
          <w:kern w:val="0"/>
          <w:sz w:val="24"/>
          <w:szCs w:val="24"/>
          <w:shd w:val="clear" w:color="auto" w:fill="FFFFFF"/>
        </w:rPr>
        <w:t>服务拔尖人才培养与实践教学改革：</w:t>
      </w:r>
      <w:r>
        <w:rPr>
          <w:rFonts w:ascii="仿宋_GB2312" w:hAnsi="宋体" w:eastAsia="仿宋_GB2312" w:cs="仿宋"/>
          <w:bCs/>
          <w:color w:val="000000"/>
          <w:kern w:val="0"/>
          <w:sz w:val="24"/>
          <w:szCs w:val="24"/>
          <w:shd w:val="clear" w:color="auto" w:fill="FFFFFF"/>
        </w:rPr>
        <w:t> 构建覆盖“前处理—常量/痕量元素分析—快速同位素分析—离子与有机组分—汞形态—温室气体通量”的全流程实践教学支撑体系。依托新设备开发探究性实验模块、前沿技术实训课程与综合实践项目，实现学生对尖端仪器的直接操作与深度应用。</w:t>
      </w:r>
    </w:p>
    <w:p w14:paraId="6DB0A075">
      <w:pPr>
        <w:widowControl/>
        <w:numPr>
          <w:ilvl w:val="0"/>
          <w:numId w:val="2"/>
        </w:numPr>
        <w:spacing w:line="360" w:lineRule="auto"/>
        <w:ind w:left="0" w:firstLine="482" w:firstLineChars="200"/>
        <w:jc w:val="left"/>
        <w:rPr>
          <w:rFonts w:hint="eastAsia" w:ascii="仿宋_GB2312" w:hAnsi="宋体" w:eastAsia="仿宋_GB2312" w:cs="仿宋"/>
          <w:bCs/>
          <w:color w:val="000000"/>
          <w:kern w:val="0"/>
          <w:sz w:val="24"/>
          <w:szCs w:val="24"/>
          <w:shd w:val="clear" w:color="auto" w:fill="FFFFFF"/>
        </w:rPr>
      </w:pPr>
      <w:r>
        <w:rPr>
          <w:rFonts w:ascii="仿宋_GB2312" w:hAnsi="宋体" w:eastAsia="仿宋_GB2312" w:cs="仿宋"/>
          <w:b/>
          <w:bCs/>
          <w:color w:val="000000"/>
          <w:kern w:val="0"/>
          <w:sz w:val="24"/>
          <w:szCs w:val="24"/>
          <w:shd w:val="clear" w:color="auto" w:fill="FFFFFF"/>
        </w:rPr>
        <w:t>推动科教融合与科研反哺教学：</w:t>
      </w:r>
      <w:r>
        <w:rPr>
          <w:rFonts w:ascii="仿宋_GB2312" w:hAnsi="宋体" w:eastAsia="仿宋_GB2312" w:cs="仿宋"/>
          <w:bCs/>
          <w:color w:val="000000"/>
          <w:kern w:val="0"/>
          <w:sz w:val="24"/>
          <w:szCs w:val="24"/>
          <w:shd w:val="clear" w:color="auto" w:fill="FFFFFF"/>
        </w:rPr>
        <w:t> 提升学院在岩石圈、水圈、大气圈及生物圈等多介质样品中的高精度分析测试能力，强力支撑地球化学、生态地质、资源环境、海洋与行星科学等前沿科研，同时将高水平科研成果转化为高水平教学资源。</w:t>
      </w:r>
    </w:p>
    <w:p w14:paraId="2C089E98">
      <w:pPr>
        <w:widowControl/>
        <w:numPr>
          <w:ilvl w:val="0"/>
          <w:numId w:val="2"/>
        </w:numPr>
        <w:spacing w:line="360" w:lineRule="auto"/>
        <w:ind w:left="0" w:firstLine="482" w:firstLineChars="200"/>
        <w:jc w:val="left"/>
        <w:rPr>
          <w:rFonts w:hint="eastAsia" w:ascii="仿宋_GB2312" w:hAnsi="宋体" w:eastAsia="仿宋_GB2312" w:cs="仿宋"/>
          <w:bCs/>
          <w:color w:val="000000"/>
          <w:kern w:val="0"/>
          <w:sz w:val="24"/>
          <w:szCs w:val="24"/>
          <w:shd w:val="clear" w:color="auto" w:fill="FFFFFF"/>
        </w:rPr>
      </w:pPr>
      <w:r>
        <w:rPr>
          <w:rFonts w:ascii="仿宋_GB2312" w:hAnsi="宋体" w:eastAsia="仿宋_GB2312" w:cs="仿宋"/>
          <w:b/>
          <w:bCs/>
          <w:color w:val="000000"/>
          <w:kern w:val="0"/>
          <w:sz w:val="24"/>
          <w:szCs w:val="24"/>
          <w:shd w:val="clear" w:color="auto" w:fill="FFFFFF"/>
        </w:rPr>
        <w:t>提高实验教学与测试效率：</w:t>
      </w:r>
      <w:r>
        <w:rPr>
          <w:rFonts w:ascii="仿宋_GB2312" w:hAnsi="宋体" w:eastAsia="仿宋_GB2312" w:cs="仿宋"/>
          <w:bCs/>
          <w:color w:val="000000"/>
          <w:kern w:val="0"/>
          <w:sz w:val="24"/>
          <w:szCs w:val="24"/>
          <w:shd w:val="clear" w:color="auto" w:fill="FFFFFF"/>
        </w:rPr>
        <w:t> 彻底解决现有设备超期服役、高通量测试能力不足的问题，大幅提升教学实验与科研样品的自动化分析水平及数据准确度。</w:t>
      </w:r>
    </w:p>
    <w:p w14:paraId="61B8EAE2">
      <w:pPr>
        <w:widowControl/>
        <w:numPr>
          <w:ilvl w:val="0"/>
          <w:numId w:val="2"/>
        </w:numPr>
        <w:spacing w:line="360" w:lineRule="auto"/>
        <w:ind w:left="0" w:firstLine="482" w:firstLineChars="200"/>
        <w:jc w:val="left"/>
        <w:rPr>
          <w:rFonts w:hint="eastAsia" w:ascii="仿宋_GB2312" w:hAnsi="宋体" w:eastAsia="仿宋_GB2312" w:cs="仿宋"/>
          <w:bCs/>
          <w:color w:val="000000"/>
          <w:kern w:val="0"/>
          <w:sz w:val="24"/>
          <w:szCs w:val="24"/>
          <w:shd w:val="clear" w:color="auto" w:fill="FFFFFF"/>
        </w:rPr>
      </w:pPr>
      <w:r>
        <w:rPr>
          <w:rFonts w:ascii="仿宋_GB2312" w:hAnsi="宋体" w:eastAsia="仿宋_GB2312" w:cs="仿宋"/>
          <w:b/>
          <w:bCs/>
          <w:color w:val="000000"/>
          <w:kern w:val="0"/>
          <w:sz w:val="24"/>
          <w:szCs w:val="24"/>
          <w:shd w:val="clear" w:color="auto" w:fill="FFFFFF"/>
        </w:rPr>
        <w:t>建设高水平开放共享平台：</w:t>
      </w:r>
      <w:r>
        <w:rPr>
          <w:rFonts w:ascii="仿宋_GB2312" w:hAnsi="宋体" w:eastAsia="仿宋_GB2312" w:cs="仿宋"/>
          <w:bCs/>
          <w:color w:val="000000"/>
          <w:kern w:val="0"/>
          <w:sz w:val="24"/>
          <w:szCs w:val="24"/>
          <w:shd w:val="clear" w:color="auto" w:fill="FFFFFF"/>
        </w:rPr>
        <w:t> 推动设备纳入学校大型仪器共享平台管理，建立“基础必修—综合选修—项目专享”的分层开放机制，提高设备利用率与育人辐射效益。</w:t>
      </w:r>
    </w:p>
    <w:p w14:paraId="0E17CCC0">
      <w:pPr>
        <w:widowControl/>
        <w:spacing w:line="360" w:lineRule="auto"/>
        <w:jc w:val="left"/>
        <w:rPr>
          <w:rFonts w:hint="eastAsia" w:ascii="仿宋_GB2312" w:hAnsi="宋体" w:eastAsia="仿宋_GB2312" w:cs="仿宋"/>
          <w:bCs/>
          <w:color w:val="000000"/>
          <w:kern w:val="0"/>
          <w:sz w:val="24"/>
          <w:szCs w:val="24"/>
          <w:shd w:val="clear" w:color="auto" w:fill="FFFFFF"/>
        </w:rPr>
      </w:pPr>
      <w:r>
        <w:rPr>
          <w:rFonts w:hint="eastAsia" w:ascii="仿宋_GB2312" w:hAnsi="宋体" w:eastAsia="仿宋_GB2312" w:cs="仿宋"/>
          <w:bCs/>
          <w:color w:val="000000"/>
          <w:kern w:val="0"/>
          <w:sz w:val="24"/>
          <w:szCs w:val="24"/>
          <w:shd w:val="clear" w:color="auto" w:fill="FFFFFF"/>
        </w:rPr>
        <w:t>（三）、现有环境和条件</w:t>
      </w:r>
    </w:p>
    <w:p w14:paraId="4216A3C3">
      <w:pPr>
        <w:widowControl/>
        <w:numPr>
          <w:ilvl w:val="0"/>
          <w:numId w:val="3"/>
        </w:numPr>
        <w:spacing w:line="360" w:lineRule="auto"/>
        <w:ind w:left="0" w:firstLine="482" w:firstLineChars="200"/>
        <w:jc w:val="left"/>
        <w:rPr>
          <w:rFonts w:hint="eastAsia" w:ascii="仿宋_GB2312" w:hAnsi="宋体" w:eastAsia="仿宋_GB2312" w:cs="仿宋"/>
          <w:bCs/>
          <w:color w:val="000000"/>
          <w:kern w:val="0"/>
          <w:sz w:val="24"/>
          <w:szCs w:val="24"/>
          <w:shd w:val="clear" w:color="auto" w:fill="FFFFFF"/>
        </w:rPr>
      </w:pPr>
      <w:r>
        <w:rPr>
          <w:rFonts w:ascii="仿宋_GB2312" w:hAnsi="宋体" w:eastAsia="仿宋_GB2312" w:cs="仿宋"/>
          <w:b/>
          <w:bCs/>
          <w:color w:val="000000"/>
          <w:kern w:val="0"/>
          <w:sz w:val="24"/>
          <w:szCs w:val="24"/>
          <w:shd w:val="clear" w:color="auto" w:fill="FFFFFF"/>
        </w:rPr>
        <w:t>学科与教学科研基础：</w:t>
      </w:r>
      <w:r>
        <w:rPr>
          <w:rFonts w:ascii="仿宋_GB2312" w:hAnsi="宋体" w:eastAsia="仿宋_GB2312" w:cs="仿宋"/>
          <w:bCs/>
          <w:color w:val="000000"/>
          <w:kern w:val="0"/>
          <w:sz w:val="24"/>
          <w:szCs w:val="24"/>
          <w:shd w:val="clear" w:color="auto" w:fill="FFFFFF"/>
        </w:rPr>
        <w:t> 学院拥有雄厚的地质学与地球科学学科基础，具备完善的本科及研究生培养体系、稳定的实验技术支撑团队和丰富的实验教学经验，为新设备的运行与教学化开发提供了坚实保障。</w:t>
      </w:r>
    </w:p>
    <w:p w14:paraId="79954AA6">
      <w:pPr>
        <w:widowControl/>
        <w:numPr>
          <w:ilvl w:val="0"/>
          <w:numId w:val="3"/>
        </w:numPr>
        <w:spacing w:line="360" w:lineRule="auto"/>
        <w:ind w:left="0" w:firstLine="482" w:firstLineChars="200"/>
        <w:jc w:val="left"/>
        <w:rPr>
          <w:rFonts w:hint="eastAsia" w:ascii="仿宋_GB2312" w:hAnsi="宋体" w:eastAsia="仿宋_GB2312" w:cs="仿宋"/>
          <w:bCs/>
          <w:color w:val="000000"/>
          <w:kern w:val="0"/>
          <w:sz w:val="24"/>
          <w:szCs w:val="24"/>
          <w:shd w:val="clear" w:color="auto" w:fill="FFFFFF"/>
        </w:rPr>
      </w:pPr>
      <w:r>
        <w:rPr>
          <w:rFonts w:ascii="仿宋_GB2312" w:hAnsi="宋体" w:eastAsia="仿宋_GB2312" w:cs="仿宋"/>
          <w:b/>
          <w:bCs/>
          <w:color w:val="000000"/>
          <w:kern w:val="0"/>
          <w:sz w:val="24"/>
          <w:szCs w:val="24"/>
          <w:shd w:val="clear" w:color="auto" w:fill="FFFFFF"/>
        </w:rPr>
        <w:t>实验室与公用工程条件：</w:t>
      </w:r>
      <w:r>
        <w:rPr>
          <w:rFonts w:ascii="仿宋_GB2312" w:hAnsi="宋体" w:eastAsia="仿宋_GB2312" w:cs="仿宋"/>
          <w:bCs/>
          <w:color w:val="000000"/>
          <w:kern w:val="0"/>
          <w:sz w:val="24"/>
          <w:szCs w:val="24"/>
          <w:shd w:val="clear" w:color="auto" w:fill="FFFFFF"/>
        </w:rPr>
        <w:t> 项目设备拟安装于学院现有教学实验楼宇内（南望山校区地勘楼等）。拟安装场地已具备基本的供电、给排水、网络通信及消防安全条件。</w:t>
      </w:r>
    </w:p>
    <w:p w14:paraId="6F5DC833">
      <w:pPr>
        <w:widowControl/>
        <w:numPr>
          <w:ilvl w:val="0"/>
          <w:numId w:val="3"/>
        </w:numPr>
        <w:spacing w:line="360" w:lineRule="auto"/>
        <w:ind w:left="0" w:firstLine="482" w:firstLineChars="200"/>
        <w:jc w:val="left"/>
        <w:rPr>
          <w:rFonts w:hint="eastAsia" w:ascii="仿宋_GB2312" w:hAnsi="宋体" w:eastAsia="仿宋_GB2312" w:cs="仿宋"/>
          <w:bCs/>
          <w:color w:val="000000"/>
          <w:kern w:val="0"/>
          <w:sz w:val="24"/>
          <w:szCs w:val="24"/>
          <w:shd w:val="clear" w:color="auto" w:fill="FFFFFF"/>
        </w:rPr>
      </w:pPr>
      <w:r>
        <w:rPr>
          <w:rFonts w:ascii="仿宋_GB2312" w:hAnsi="宋体" w:eastAsia="仿宋_GB2312" w:cs="仿宋"/>
          <w:b/>
          <w:bCs/>
          <w:color w:val="000000"/>
          <w:kern w:val="0"/>
          <w:sz w:val="24"/>
          <w:szCs w:val="24"/>
          <w:shd w:val="clear" w:color="auto" w:fill="FFFFFF"/>
        </w:rPr>
        <w:t>专项配套改造能力：</w:t>
      </w:r>
      <w:r>
        <w:rPr>
          <w:rFonts w:ascii="仿宋_GB2312" w:hAnsi="宋体" w:eastAsia="仿宋_GB2312" w:cs="仿宋"/>
          <w:bCs/>
          <w:color w:val="000000"/>
          <w:kern w:val="0"/>
          <w:sz w:val="24"/>
          <w:szCs w:val="24"/>
          <w:shd w:val="clear" w:color="auto" w:fill="FFFFFF"/>
        </w:rPr>
        <w:t> </w:t>
      </w:r>
      <w:r>
        <w:rPr>
          <w:rFonts w:ascii="Times New Roman" w:hAnsi="Times New Roman" w:eastAsia="仿宋_GB2312" w:cs="Times New Roman"/>
          <w:bCs/>
          <w:color w:val="000000"/>
          <w:kern w:val="0"/>
          <w:sz w:val="24"/>
          <w:szCs w:val="24"/>
          <w:shd w:val="clear" w:color="auto" w:fill="FFFFFF"/>
        </w:rPr>
        <w:t xml:space="preserve">针对 ICP-MS/MS、ICP-TOF-MS、ICP-OES </w:t>
      </w:r>
      <w:r>
        <w:rPr>
          <w:rFonts w:ascii="仿宋_GB2312" w:hAnsi="宋体" w:eastAsia="仿宋_GB2312" w:cs="仿宋"/>
          <w:bCs/>
          <w:color w:val="000000"/>
          <w:kern w:val="0"/>
          <w:sz w:val="24"/>
          <w:szCs w:val="24"/>
          <w:shd w:val="clear" w:color="auto" w:fill="FFFFFF"/>
        </w:rPr>
        <w:t>等大型精密仪器，学院将统一按标准实施实验室排风、高纯气体管道、超纯水系统、废液暂存、防腐蚀及温湿度/电磁环境等专项改造；离子色谱、液相色谱和测汞仪配置标准化试剂存储与安全防护设施；超便携温室气体通量分析仪可直接对接学院现有的野外实习实践基地与生态观测点。</w:t>
      </w:r>
    </w:p>
    <w:p w14:paraId="7BD63D24">
      <w:pPr>
        <w:widowControl/>
        <w:numPr>
          <w:ilvl w:val="0"/>
          <w:numId w:val="3"/>
        </w:numPr>
        <w:spacing w:line="360" w:lineRule="auto"/>
        <w:ind w:left="0" w:firstLine="482" w:firstLineChars="200"/>
        <w:jc w:val="left"/>
        <w:rPr>
          <w:rFonts w:hint="eastAsia" w:ascii="仿宋_GB2312" w:hAnsi="宋体" w:eastAsia="仿宋_GB2312" w:cs="仿宋"/>
          <w:bCs/>
          <w:color w:val="000000"/>
          <w:kern w:val="0"/>
          <w:sz w:val="24"/>
          <w:szCs w:val="24"/>
          <w:shd w:val="clear" w:color="auto" w:fill="FFFFFF"/>
        </w:rPr>
      </w:pPr>
      <w:r>
        <w:rPr>
          <w:rFonts w:ascii="仿宋_GB2312" w:hAnsi="宋体" w:eastAsia="仿宋_GB2312" w:cs="仿宋"/>
          <w:b/>
          <w:bCs/>
          <w:color w:val="000000"/>
          <w:kern w:val="0"/>
          <w:sz w:val="24"/>
          <w:szCs w:val="24"/>
          <w:shd w:val="clear" w:color="auto" w:fill="FFFFFF"/>
        </w:rPr>
        <w:t>管理与运行制度：</w:t>
      </w:r>
      <w:r>
        <w:rPr>
          <w:rFonts w:ascii="仿宋_GB2312" w:hAnsi="宋体" w:eastAsia="仿宋_GB2312" w:cs="仿宋"/>
          <w:bCs/>
          <w:color w:val="000000"/>
          <w:kern w:val="0"/>
          <w:sz w:val="24"/>
          <w:szCs w:val="24"/>
          <w:shd w:val="clear" w:color="auto" w:fill="FFFFFF"/>
        </w:rPr>
        <w:t> 学院已建立健全的实验室安全管理、大型仪器开放共享、试剂危化品管理及仪器维护制度，能确保设备入场后快速投入教学科研运行。</w:t>
      </w:r>
    </w:p>
    <w:p w14:paraId="64F48E94">
      <w:pPr>
        <w:widowControl/>
        <w:spacing w:line="360" w:lineRule="auto"/>
        <w:jc w:val="left"/>
        <w:rPr>
          <w:rFonts w:hint="eastAsia" w:ascii="仿宋_GB2312" w:hAnsi="宋体" w:eastAsia="仿宋_GB2312" w:cs="仿宋"/>
          <w:bCs/>
          <w:color w:val="000000"/>
          <w:kern w:val="0"/>
          <w:sz w:val="24"/>
          <w:szCs w:val="24"/>
          <w:shd w:val="clear" w:color="auto" w:fill="FFFFFF"/>
        </w:rPr>
      </w:pPr>
      <w:r>
        <w:rPr>
          <w:rFonts w:hint="eastAsia" w:ascii="仿宋_GB2312" w:hAnsi="宋体" w:eastAsia="仿宋_GB2312" w:cs="仿宋"/>
          <w:bCs/>
          <w:color w:val="000000"/>
          <w:kern w:val="0"/>
          <w:sz w:val="24"/>
          <w:szCs w:val="24"/>
          <w:shd w:val="clear" w:color="auto" w:fill="FFFFFF"/>
        </w:rPr>
        <w:t>（四）、需要与其他项目配合情况</w:t>
      </w:r>
    </w:p>
    <w:p w14:paraId="150EB163">
      <w:pPr>
        <w:widowControl/>
        <w:numPr>
          <w:ilvl w:val="0"/>
          <w:numId w:val="4"/>
        </w:numPr>
        <w:spacing w:line="360" w:lineRule="auto"/>
        <w:ind w:left="0" w:firstLine="482" w:firstLineChars="200"/>
        <w:jc w:val="left"/>
        <w:rPr>
          <w:rFonts w:hint="eastAsia" w:ascii="仿宋_GB2312" w:hAnsi="宋体" w:eastAsia="仿宋_GB2312" w:cs="仿宋"/>
          <w:bCs/>
          <w:color w:val="000000"/>
          <w:kern w:val="0"/>
          <w:sz w:val="24"/>
          <w:szCs w:val="24"/>
          <w:shd w:val="clear" w:color="auto" w:fill="FFFFFF"/>
        </w:rPr>
      </w:pPr>
      <w:r>
        <w:rPr>
          <w:rFonts w:ascii="仿宋_GB2312" w:hAnsi="宋体" w:eastAsia="仿宋_GB2312" w:cs="仿宋"/>
          <w:b/>
          <w:bCs/>
          <w:color w:val="000000"/>
          <w:kern w:val="0"/>
          <w:sz w:val="24"/>
          <w:szCs w:val="24"/>
          <w:shd w:val="clear" w:color="auto" w:fill="FFFFFF"/>
        </w:rPr>
        <w:t>与实验室场地改造及公用工程项目配合：</w:t>
      </w:r>
      <w:r>
        <w:rPr>
          <w:rFonts w:ascii="仿宋_GB2312" w:hAnsi="宋体" w:eastAsia="仿宋_GB2312" w:cs="仿宋"/>
          <w:bCs/>
          <w:color w:val="000000"/>
          <w:kern w:val="0"/>
          <w:sz w:val="24"/>
          <w:szCs w:val="24"/>
          <w:shd w:val="clear" w:color="auto" w:fill="FFFFFF"/>
        </w:rPr>
        <w:t>需紧密配合学校实验室硬件提升工程，确保水、电、气、风、温湿度及安全防护等安装配套条件在设备交付前按标完成验收。</w:t>
      </w:r>
    </w:p>
    <w:p w14:paraId="6FB7F2D6">
      <w:pPr>
        <w:widowControl/>
        <w:numPr>
          <w:ilvl w:val="0"/>
          <w:numId w:val="4"/>
        </w:numPr>
        <w:spacing w:line="360" w:lineRule="auto"/>
        <w:ind w:left="0" w:firstLine="482" w:firstLineChars="200"/>
        <w:jc w:val="left"/>
        <w:rPr>
          <w:rFonts w:hint="eastAsia" w:ascii="仿宋_GB2312" w:hAnsi="宋体" w:eastAsia="仿宋_GB2312" w:cs="仿宋"/>
          <w:bCs/>
          <w:color w:val="000000"/>
          <w:kern w:val="0"/>
          <w:sz w:val="24"/>
          <w:szCs w:val="24"/>
          <w:shd w:val="clear" w:color="auto" w:fill="FFFFFF"/>
        </w:rPr>
      </w:pPr>
      <w:r>
        <w:rPr>
          <w:rFonts w:ascii="仿宋_GB2312" w:hAnsi="宋体" w:eastAsia="仿宋_GB2312" w:cs="仿宋"/>
          <w:b/>
          <w:bCs/>
          <w:color w:val="000000"/>
          <w:kern w:val="0"/>
          <w:sz w:val="24"/>
          <w:szCs w:val="24"/>
          <w:shd w:val="clear" w:color="auto" w:fill="FFFFFF"/>
        </w:rPr>
        <w:t>与课程建设及实践教学改革项目配合：</w:t>
      </w:r>
      <w:r>
        <w:rPr>
          <w:rFonts w:ascii="仿宋_GB2312" w:hAnsi="宋体" w:eastAsia="仿宋_GB2312" w:cs="仿宋"/>
          <w:bCs/>
          <w:color w:val="000000"/>
          <w:kern w:val="0"/>
          <w:sz w:val="24"/>
          <w:szCs w:val="24"/>
          <w:shd w:val="clear" w:color="auto" w:fill="FFFFFF"/>
        </w:rPr>
        <w:t>需与地质学拔尖基地课程建设、实验教学大纲修订及虚拟仿真教学项目统筹推进，及时将新设备的技术原理和操作实操融入实验教学课程体系。</w:t>
      </w:r>
    </w:p>
    <w:p w14:paraId="7EEBEDB4">
      <w:pPr>
        <w:widowControl/>
        <w:numPr>
          <w:ilvl w:val="0"/>
          <w:numId w:val="4"/>
        </w:numPr>
        <w:spacing w:line="360" w:lineRule="auto"/>
        <w:ind w:left="0" w:firstLine="482" w:firstLineChars="200"/>
        <w:jc w:val="left"/>
        <w:rPr>
          <w:rFonts w:hint="eastAsia" w:ascii="仿宋_GB2312" w:hAnsi="宋体" w:eastAsia="仿宋_GB2312" w:cs="仿宋"/>
          <w:bCs/>
          <w:color w:val="000000"/>
          <w:kern w:val="0"/>
          <w:sz w:val="24"/>
          <w:szCs w:val="24"/>
          <w:shd w:val="clear" w:color="auto" w:fill="FFFFFF"/>
        </w:rPr>
      </w:pPr>
      <w:r>
        <w:rPr>
          <w:rFonts w:ascii="仿宋_GB2312" w:hAnsi="宋体" w:eastAsia="仿宋_GB2312" w:cs="仿宋"/>
          <w:b/>
          <w:bCs/>
          <w:color w:val="000000"/>
          <w:kern w:val="0"/>
          <w:sz w:val="24"/>
          <w:szCs w:val="24"/>
          <w:shd w:val="clear" w:color="auto" w:fill="FFFFFF"/>
        </w:rPr>
        <w:t>与学校大型仪器共享及信息化平台配合：</w:t>
      </w:r>
      <w:r>
        <w:rPr>
          <w:rFonts w:ascii="仿宋_GB2312" w:hAnsi="宋体" w:eastAsia="仿宋_GB2312" w:cs="仿宋"/>
          <w:bCs/>
          <w:color w:val="000000"/>
          <w:kern w:val="0"/>
          <w:sz w:val="24"/>
          <w:szCs w:val="24"/>
          <w:shd w:val="clear" w:color="auto" w:fill="FFFFFF"/>
        </w:rPr>
        <w:t>需接入学校大型仪器设备在线预约与共享管理平台，落实“统管、统维、统评”机制，实现机时透明、数据可追溯与跨学科共享。</w:t>
      </w:r>
    </w:p>
    <w:p w14:paraId="3C0B1D3C">
      <w:pPr>
        <w:widowControl/>
        <w:numPr>
          <w:ilvl w:val="0"/>
          <w:numId w:val="4"/>
        </w:numPr>
        <w:spacing w:line="360" w:lineRule="auto"/>
        <w:ind w:left="0" w:firstLine="482" w:firstLineChars="200"/>
        <w:jc w:val="left"/>
        <w:rPr>
          <w:rFonts w:hint="eastAsia" w:ascii="仿宋_GB2312" w:hAnsi="宋体" w:eastAsia="仿宋_GB2312" w:cs="仿宋"/>
          <w:bCs/>
          <w:color w:val="000000"/>
          <w:kern w:val="0"/>
          <w:sz w:val="24"/>
          <w:szCs w:val="24"/>
          <w:shd w:val="clear" w:color="auto" w:fill="FFFFFF"/>
        </w:rPr>
      </w:pPr>
      <w:r>
        <w:rPr>
          <w:rFonts w:ascii="仿宋_GB2312" w:hAnsi="宋体" w:eastAsia="仿宋_GB2312" w:cs="仿宋"/>
          <w:b/>
          <w:bCs/>
          <w:color w:val="000000"/>
          <w:kern w:val="0"/>
          <w:sz w:val="24"/>
          <w:szCs w:val="24"/>
          <w:shd w:val="clear" w:color="auto" w:fill="FFFFFF"/>
        </w:rPr>
        <w:t>与前沿科研项目及创新训练项目配合：</w:t>
      </w:r>
      <w:r>
        <w:rPr>
          <w:rFonts w:ascii="仿宋_GB2312" w:hAnsi="宋体" w:eastAsia="仿宋_GB2312" w:cs="仿宋"/>
          <w:bCs/>
          <w:color w:val="000000"/>
          <w:kern w:val="0"/>
          <w:sz w:val="24"/>
          <w:szCs w:val="24"/>
          <w:shd w:val="clear" w:color="auto" w:fill="FFFFFF"/>
        </w:rPr>
        <w:t>配合国家自然科学基金、重点研发计划以及大学生创新创业训练计划（大创）、“挑战杯”等项目，建立“科研反哺教学”机制，鼓励学生依托新设备开展自主探索性研究。</w:t>
      </w:r>
    </w:p>
    <w:p w14:paraId="116D509B">
      <w:pPr>
        <w:widowControl/>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二、主要标的</w:t>
      </w:r>
    </w:p>
    <w:p w14:paraId="29B9FA90">
      <w:pPr>
        <w:spacing w:after="156" w:afterLines="50"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货物：</w:t>
      </w:r>
      <w:r>
        <w:rPr>
          <w:rFonts w:hint="eastAsia" w:ascii="仿宋_GB2312" w:hAnsi="宋体" w:eastAsia="仿宋_GB2312"/>
          <w:b/>
          <w:sz w:val="24"/>
          <w:szCs w:val="24"/>
        </w:rPr>
        <w:t xml:space="preserve">是否属于科研活动相关采购 </w:t>
      </w:r>
      <w:r>
        <w:rPr>
          <w:rFonts w:hint="eastAsia" w:ascii="仿宋_GB2312" w:hAnsi="宋体" w:eastAsia="仿宋_GB2312"/>
          <w:b/>
          <w:sz w:val="24"/>
          <w:szCs w:val="24"/>
        </w:rPr>
        <w:sym w:font="Wingdings 2" w:char="00A3"/>
      </w:r>
      <w:r>
        <w:rPr>
          <w:rFonts w:hint="eastAsia" w:ascii="仿宋_GB2312" w:hAnsi="宋体" w:eastAsia="仿宋_GB2312"/>
          <w:b/>
          <w:sz w:val="24"/>
          <w:szCs w:val="24"/>
        </w:rPr>
        <w:t xml:space="preserve">是 </w:t>
      </w:r>
      <w:r>
        <w:rPr>
          <w:rFonts w:hint="eastAsia" w:ascii="仿宋_GB2312" w:hAnsi="宋体" w:eastAsia="仿宋_GB2312"/>
          <w:b/>
          <w:sz w:val="24"/>
          <w:szCs w:val="24"/>
        </w:rPr>
        <w:sym w:font="Wingdings 2" w:char="0052"/>
      </w:r>
      <w:r>
        <w:rPr>
          <w:rFonts w:hint="eastAsia" w:ascii="仿宋_GB2312" w:hAnsi="宋体" w:eastAsia="仿宋_GB2312"/>
          <w:b/>
          <w:sz w:val="24"/>
          <w:szCs w:val="24"/>
        </w:rPr>
        <w:t>否</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
        <w:gridCol w:w="2289"/>
        <w:gridCol w:w="1300"/>
        <w:gridCol w:w="552"/>
        <w:gridCol w:w="552"/>
        <w:gridCol w:w="2476"/>
        <w:gridCol w:w="801"/>
      </w:tblGrid>
      <w:tr w14:paraId="35222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0" w:type="auto"/>
            <w:vAlign w:val="center"/>
          </w:tcPr>
          <w:p w14:paraId="5ECE3F40">
            <w:pPr>
              <w:jc w:val="center"/>
              <w:rPr>
                <w:rFonts w:ascii="Times New Roman" w:hAnsi="Times New Roman" w:eastAsia="仿宋_GB2312" w:cs="Times New Roman"/>
                <w:b/>
                <w:szCs w:val="21"/>
              </w:rPr>
            </w:pPr>
            <w:r>
              <w:rPr>
                <w:rFonts w:ascii="Times New Roman" w:hAnsi="Times New Roman" w:eastAsia="仿宋_GB2312" w:cs="Times New Roman"/>
                <w:b/>
                <w:szCs w:val="21"/>
              </w:rPr>
              <w:t>序号</w:t>
            </w:r>
          </w:p>
        </w:tc>
        <w:tc>
          <w:tcPr>
            <w:tcW w:w="0" w:type="auto"/>
            <w:vAlign w:val="center"/>
          </w:tcPr>
          <w:p w14:paraId="295D6B65">
            <w:pPr>
              <w:widowControl/>
              <w:jc w:val="center"/>
              <w:rPr>
                <w:rFonts w:ascii="Times New Roman" w:hAnsi="Times New Roman" w:eastAsia="仿宋_GB2312" w:cs="Times New Roman"/>
                <w:b/>
                <w:szCs w:val="21"/>
              </w:rPr>
            </w:pPr>
            <w:r>
              <w:rPr>
                <w:rFonts w:ascii="Times New Roman" w:hAnsi="Times New Roman" w:eastAsia="仿宋_GB2312" w:cs="Times New Roman"/>
                <w:b/>
                <w:szCs w:val="21"/>
              </w:rPr>
              <w:t>货物</w:t>
            </w:r>
          </w:p>
          <w:p w14:paraId="7FEDBFCE">
            <w:pPr>
              <w:widowControl/>
              <w:jc w:val="center"/>
              <w:rPr>
                <w:rFonts w:ascii="Times New Roman" w:hAnsi="Times New Roman" w:eastAsia="仿宋_GB2312" w:cs="Times New Roman"/>
                <w:b/>
                <w:szCs w:val="21"/>
              </w:rPr>
            </w:pPr>
            <w:r>
              <w:rPr>
                <w:rFonts w:ascii="Times New Roman" w:hAnsi="Times New Roman" w:eastAsia="仿宋_GB2312" w:cs="Times New Roman"/>
                <w:b/>
                <w:szCs w:val="21"/>
              </w:rPr>
              <w:t>名称</w:t>
            </w:r>
          </w:p>
        </w:tc>
        <w:tc>
          <w:tcPr>
            <w:tcW w:w="0" w:type="auto"/>
            <w:vAlign w:val="center"/>
          </w:tcPr>
          <w:p w14:paraId="5EE431ED">
            <w:pPr>
              <w:widowControl/>
              <w:jc w:val="center"/>
              <w:rPr>
                <w:rFonts w:ascii="Times New Roman" w:hAnsi="Times New Roman" w:eastAsia="仿宋_GB2312" w:cs="Times New Roman"/>
                <w:b/>
                <w:szCs w:val="21"/>
              </w:rPr>
            </w:pPr>
            <w:r>
              <w:rPr>
                <w:rFonts w:ascii="Times New Roman" w:hAnsi="Times New Roman" w:eastAsia="仿宋_GB2312" w:cs="Times New Roman"/>
                <w:b/>
                <w:szCs w:val="21"/>
              </w:rPr>
              <w:t>是否接受进口产品</w:t>
            </w:r>
          </w:p>
        </w:tc>
        <w:tc>
          <w:tcPr>
            <w:tcW w:w="0" w:type="auto"/>
            <w:vAlign w:val="center"/>
          </w:tcPr>
          <w:p w14:paraId="735C471B">
            <w:pPr>
              <w:widowControl/>
              <w:jc w:val="center"/>
              <w:rPr>
                <w:rFonts w:ascii="Times New Roman" w:hAnsi="Times New Roman" w:eastAsia="仿宋_GB2312" w:cs="Times New Roman"/>
                <w:b/>
                <w:szCs w:val="21"/>
              </w:rPr>
            </w:pPr>
            <w:r>
              <w:rPr>
                <w:rFonts w:ascii="Times New Roman" w:hAnsi="Times New Roman" w:eastAsia="仿宋_GB2312" w:cs="Times New Roman"/>
                <w:b/>
                <w:szCs w:val="21"/>
              </w:rPr>
              <w:t>单位</w:t>
            </w:r>
          </w:p>
        </w:tc>
        <w:tc>
          <w:tcPr>
            <w:tcW w:w="0" w:type="auto"/>
            <w:vAlign w:val="center"/>
          </w:tcPr>
          <w:p w14:paraId="3620DA3C">
            <w:pPr>
              <w:widowControl/>
              <w:jc w:val="center"/>
              <w:rPr>
                <w:rFonts w:ascii="Times New Roman" w:hAnsi="Times New Roman" w:eastAsia="仿宋_GB2312" w:cs="Times New Roman"/>
                <w:b/>
                <w:szCs w:val="21"/>
              </w:rPr>
            </w:pPr>
            <w:r>
              <w:rPr>
                <w:rFonts w:ascii="Times New Roman" w:hAnsi="Times New Roman" w:eastAsia="仿宋_GB2312" w:cs="Times New Roman"/>
                <w:b/>
                <w:szCs w:val="21"/>
              </w:rPr>
              <w:t>数量</w:t>
            </w:r>
          </w:p>
        </w:tc>
        <w:tc>
          <w:tcPr>
            <w:tcW w:w="0" w:type="auto"/>
            <w:vAlign w:val="center"/>
          </w:tcPr>
          <w:p w14:paraId="14711E46">
            <w:pPr>
              <w:widowControl/>
              <w:jc w:val="center"/>
              <w:rPr>
                <w:rFonts w:ascii="Times New Roman" w:hAnsi="Times New Roman" w:eastAsia="仿宋_GB2312" w:cs="Times New Roman"/>
                <w:b/>
                <w:szCs w:val="21"/>
              </w:rPr>
            </w:pPr>
            <w:r>
              <w:rPr>
                <w:rFonts w:ascii="Times New Roman" w:hAnsi="Times New Roman" w:eastAsia="仿宋_GB2312" w:cs="Times New Roman"/>
                <w:b/>
                <w:szCs w:val="21"/>
              </w:rPr>
              <w:t>交货期</w:t>
            </w:r>
          </w:p>
        </w:tc>
        <w:tc>
          <w:tcPr>
            <w:tcW w:w="0" w:type="auto"/>
            <w:vAlign w:val="center"/>
          </w:tcPr>
          <w:p w14:paraId="52A31328">
            <w:pPr>
              <w:widowControl/>
              <w:jc w:val="center"/>
              <w:rPr>
                <w:rFonts w:ascii="Times New Roman" w:hAnsi="Times New Roman" w:eastAsia="仿宋_GB2312" w:cs="Times New Roman"/>
                <w:b/>
                <w:szCs w:val="21"/>
              </w:rPr>
            </w:pPr>
            <w:r>
              <w:rPr>
                <w:rFonts w:ascii="Times New Roman" w:hAnsi="Times New Roman" w:eastAsia="仿宋_GB2312" w:cs="Times New Roman"/>
                <w:b/>
                <w:szCs w:val="21"/>
              </w:rPr>
              <w:t>是否为</w:t>
            </w:r>
          </w:p>
          <w:p w14:paraId="5522DA6B">
            <w:pPr>
              <w:widowControl/>
              <w:jc w:val="center"/>
              <w:rPr>
                <w:rFonts w:ascii="Times New Roman" w:hAnsi="Times New Roman" w:eastAsia="仿宋_GB2312" w:cs="Times New Roman"/>
                <w:b/>
                <w:szCs w:val="21"/>
              </w:rPr>
            </w:pPr>
            <w:r>
              <w:rPr>
                <w:rFonts w:ascii="Times New Roman" w:hAnsi="Times New Roman" w:eastAsia="仿宋_GB2312" w:cs="Times New Roman"/>
                <w:b/>
                <w:szCs w:val="21"/>
              </w:rPr>
              <w:t>核心产品</w:t>
            </w:r>
          </w:p>
        </w:tc>
      </w:tr>
      <w:tr w14:paraId="1E485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0" w:type="auto"/>
            <w:vAlign w:val="center"/>
          </w:tcPr>
          <w:p w14:paraId="799243FD">
            <w:pPr>
              <w:jc w:val="center"/>
              <w:rPr>
                <w:rFonts w:ascii="Times New Roman" w:hAnsi="Times New Roman" w:eastAsia="仿宋_GB2312" w:cs="Times New Roman"/>
                <w:szCs w:val="21"/>
              </w:rPr>
            </w:pPr>
            <w:r>
              <w:rPr>
                <w:rFonts w:ascii="Times New Roman" w:hAnsi="Times New Roman" w:eastAsia="仿宋_GB2312" w:cs="Times New Roman"/>
                <w:szCs w:val="21"/>
              </w:rPr>
              <w:t>1</w:t>
            </w:r>
          </w:p>
        </w:tc>
        <w:tc>
          <w:tcPr>
            <w:tcW w:w="0" w:type="auto"/>
            <w:vAlign w:val="center"/>
          </w:tcPr>
          <w:p w14:paraId="7B4749A7">
            <w:pPr>
              <w:widowControl/>
              <w:jc w:val="center"/>
              <w:rPr>
                <w:rFonts w:ascii="Times New Roman" w:hAnsi="Times New Roman" w:eastAsia="仿宋_GB2312" w:cs="Times New Roman"/>
                <w:szCs w:val="21"/>
              </w:rPr>
            </w:pPr>
            <w:r>
              <w:rPr>
                <w:rFonts w:ascii="Times New Roman" w:hAnsi="Times New Roman" w:eastAsia="仿宋_GB2312" w:cs="Times New Roman"/>
                <w:szCs w:val="21"/>
              </w:rPr>
              <w:t>等离子体串联质谱仪</w:t>
            </w:r>
          </w:p>
        </w:tc>
        <w:tc>
          <w:tcPr>
            <w:tcW w:w="0" w:type="auto"/>
            <w:vAlign w:val="center"/>
          </w:tcPr>
          <w:p w14:paraId="78E17889">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否</w:t>
            </w:r>
          </w:p>
        </w:tc>
        <w:tc>
          <w:tcPr>
            <w:tcW w:w="0" w:type="auto"/>
            <w:vAlign w:val="center"/>
          </w:tcPr>
          <w:p w14:paraId="7CDA1D1F">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台</w:t>
            </w:r>
          </w:p>
        </w:tc>
        <w:tc>
          <w:tcPr>
            <w:tcW w:w="0" w:type="auto"/>
            <w:vAlign w:val="center"/>
          </w:tcPr>
          <w:p w14:paraId="569C2A1E">
            <w:pPr>
              <w:widowControl/>
              <w:jc w:val="center"/>
              <w:rPr>
                <w:rFonts w:ascii="Times New Roman" w:hAnsi="Times New Roman" w:eastAsia="仿宋_GB2312" w:cs="Times New Roman"/>
                <w:szCs w:val="21"/>
              </w:rPr>
            </w:pPr>
            <w:r>
              <w:rPr>
                <w:rFonts w:ascii="Times New Roman" w:hAnsi="Times New Roman" w:eastAsia="仿宋_GB2312" w:cs="Times New Roman"/>
                <w:szCs w:val="21"/>
              </w:rPr>
              <w:t>1</w:t>
            </w:r>
          </w:p>
        </w:tc>
        <w:tc>
          <w:tcPr>
            <w:tcW w:w="0" w:type="auto"/>
          </w:tcPr>
          <w:p w14:paraId="256345A3">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合同签订后90天内交货并完成安装调试</w:t>
            </w:r>
          </w:p>
        </w:tc>
        <w:tc>
          <w:tcPr>
            <w:tcW w:w="0" w:type="auto"/>
            <w:vAlign w:val="center"/>
          </w:tcPr>
          <w:p w14:paraId="6C734C70">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09374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0" w:type="auto"/>
            <w:vAlign w:val="center"/>
          </w:tcPr>
          <w:p w14:paraId="5836E8E3">
            <w:pPr>
              <w:jc w:val="center"/>
              <w:rPr>
                <w:rFonts w:ascii="Times New Roman" w:hAnsi="Times New Roman" w:eastAsia="仿宋_GB2312" w:cs="Times New Roman"/>
                <w:szCs w:val="21"/>
              </w:rPr>
            </w:pPr>
            <w:r>
              <w:rPr>
                <w:rFonts w:ascii="Times New Roman" w:hAnsi="Times New Roman" w:eastAsia="仿宋_GB2312" w:cs="Times New Roman"/>
                <w:szCs w:val="21"/>
              </w:rPr>
              <w:t>2</w:t>
            </w:r>
          </w:p>
        </w:tc>
        <w:tc>
          <w:tcPr>
            <w:tcW w:w="0" w:type="auto"/>
            <w:vAlign w:val="center"/>
          </w:tcPr>
          <w:p w14:paraId="4D913451">
            <w:pPr>
              <w:widowControl/>
              <w:jc w:val="center"/>
              <w:rPr>
                <w:rFonts w:ascii="Times New Roman" w:hAnsi="Times New Roman" w:eastAsia="仿宋_GB2312" w:cs="Times New Roman"/>
                <w:szCs w:val="21"/>
              </w:rPr>
            </w:pPr>
            <w:r>
              <w:rPr>
                <w:rFonts w:ascii="Times New Roman" w:hAnsi="Times New Roman" w:eastAsia="仿宋_GB2312" w:cs="Times New Roman"/>
                <w:szCs w:val="21"/>
              </w:rPr>
              <w:t>电感耦合等离子体飞行时间质谱仪</w:t>
            </w:r>
          </w:p>
        </w:tc>
        <w:tc>
          <w:tcPr>
            <w:tcW w:w="0" w:type="auto"/>
            <w:vAlign w:val="center"/>
          </w:tcPr>
          <w:p w14:paraId="5690D7D3">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否</w:t>
            </w:r>
          </w:p>
        </w:tc>
        <w:tc>
          <w:tcPr>
            <w:tcW w:w="0" w:type="auto"/>
            <w:vAlign w:val="center"/>
          </w:tcPr>
          <w:p w14:paraId="0DB48FAC">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台</w:t>
            </w:r>
          </w:p>
        </w:tc>
        <w:tc>
          <w:tcPr>
            <w:tcW w:w="0" w:type="auto"/>
            <w:vAlign w:val="center"/>
          </w:tcPr>
          <w:p w14:paraId="62F8810A">
            <w:pPr>
              <w:widowControl/>
              <w:jc w:val="center"/>
              <w:rPr>
                <w:rFonts w:ascii="Times New Roman" w:hAnsi="Times New Roman" w:eastAsia="仿宋_GB2312" w:cs="Times New Roman"/>
                <w:szCs w:val="21"/>
              </w:rPr>
            </w:pPr>
            <w:r>
              <w:rPr>
                <w:rFonts w:ascii="Times New Roman" w:hAnsi="Times New Roman" w:eastAsia="仿宋_GB2312" w:cs="Times New Roman"/>
                <w:szCs w:val="21"/>
              </w:rPr>
              <w:t>1</w:t>
            </w:r>
          </w:p>
        </w:tc>
        <w:tc>
          <w:tcPr>
            <w:tcW w:w="0" w:type="auto"/>
          </w:tcPr>
          <w:p w14:paraId="4273AE50">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合同签订后90天内交货并完成安装调试</w:t>
            </w:r>
          </w:p>
        </w:tc>
        <w:tc>
          <w:tcPr>
            <w:tcW w:w="0" w:type="auto"/>
            <w:vAlign w:val="center"/>
          </w:tcPr>
          <w:p w14:paraId="6AF30C99">
            <w:pPr>
              <w:widowControl/>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7B0E9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0" w:type="auto"/>
            <w:vAlign w:val="center"/>
          </w:tcPr>
          <w:p w14:paraId="296F91D5">
            <w:pPr>
              <w:jc w:val="center"/>
              <w:rPr>
                <w:rFonts w:ascii="Times New Roman" w:hAnsi="Times New Roman" w:eastAsia="仿宋_GB2312" w:cs="Times New Roman"/>
                <w:szCs w:val="21"/>
              </w:rPr>
            </w:pPr>
            <w:r>
              <w:rPr>
                <w:rFonts w:ascii="Times New Roman" w:hAnsi="Times New Roman" w:eastAsia="仿宋_GB2312" w:cs="Times New Roman"/>
                <w:szCs w:val="21"/>
              </w:rPr>
              <w:t>3</w:t>
            </w:r>
          </w:p>
        </w:tc>
        <w:tc>
          <w:tcPr>
            <w:tcW w:w="0" w:type="auto"/>
            <w:vAlign w:val="center"/>
          </w:tcPr>
          <w:p w14:paraId="383A730B">
            <w:pPr>
              <w:widowControl/>
              <w:jc w:val="center"/>
              <w:rPr>
                <w:rFonts w:ascii="Times New Roman" w:hAnsi="Times New Roman" w:eastAsia="仿宋_GB2312" w:cs="Times New Roman"/>
                <w:szCs w:val="21"/>
              </w:rPr>
            </w:pPr>
            <w:r>
              <w:rPr>
                <w:rFonts w:ascii="Times New Roman" w:hAnsi="Times New Roman" w:eastAsia="仿宋_GB2312" w:cs="Times New Roman"/>
                <w:szCs w:val="21"/>
              </w:rPr>
              <w:t>电感耦合等离子体质谱仪</w:t>
            </w:r>
          </w:p>
        </w:tc>
        <w:tc>
          <w:tcPr>
            <w:tcW w:w="0" w:type="auto"/>
            <w:vAlign w:val="center"/>
          </w:tcPr>
          <w:p w14:paraId="355C3E98">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否</w:t>
            </w:r>
          </w:p>
        </w:tc>
        <w:tc>
          <w:tcPr>
            <w:tcW w:w="0" w:type="auto"/>
            <w:vAlign w:val="center"/>
          </w:tcPr>
          <w:p w14:paraId="2EDA1FA4">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台</w:t>
            </w:r>
          </w:p>
        </w:tc>
        <w:tc>
          <w:tcPr>
            <w:tcW w:w="0" w:type="auto"/>
            <w:vAlign w:val="center"/>
          </w:tcPr>
          <w:p w14:paraId="00FCA8EE">
            <w:pPr>
              <w:widowControl/>
              <w:jc w:val="center"/>
              <w:rPr>
                <w:rFonts w:ascii="Times New Roman" w:hAnsi="Times New Roman" w:eastAsia="仿宋_GB2312" w:cs="Times New Roman"/>
                <w:szCs w:val="21"/>
              </w:rPr>
            </w:pPr>
            <w:r>
              <w:rPr>
                <w:rFonts w:ascii="Times New Roman" w:hAnsi="Times New Roman" w:eastAsia="仿宋_GB2312" w:cs="Times New Roman"/>
                <w:szCs w:val="21"/>
              </w:rPr>
              <w:t>1</w:t>
            </w:r>
          </w:p>
        </w:tc>
        <w:tc>
          <w:tcPr>
            <w:tcW w:w="0" w:type="auto"/>
          </w:tcPr>
          <w:p w14:paraId="7FF0AFF1">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合同签订后90天内交货并完成安装调试</w:t>
            </w:r>
          </w:p>
        </w:tc>
        <w:tc>
          <w:tcPr>
            <w:tcW w:w="0" w:type="auto"/>
            <w:vAlign w:val="center"/>
          </w:tcPr>
          <w:p w14:paraId="4F9AA73D">
            <w:pPr>
              <w:widowControl/>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76AB5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0" w:type="auto"/>
            <w:vAlign w:val="center"/>
          </w:tcPr>
          <w:p w14:paraId="7AD8494B">
            <w:pPr>
              <w:jc w:val="center"/>
              <w:rPr>
                <w:rFonts w:ascii="Times New Roman" w:hAnsi="Times New Roman" w:eastAsia="仿宋_GB2312" w:cs="Times New Roman"/>
                <w:szCs w:val="21"/>
              </w:rPr>
            </w:pPr>
            <w:r>
              <w:rPr>
                <w:rFonts w:ascii="Times New Roman" w:hAnsi="Times New Roman" w:eastAsia="仿宋_GB2312" w:cs="Times New Roman"/>
                <w:szCs w:val="21"/>
              </w:rPr>
              <w:t>4</w:t>
            </w:r>
          </w:p>
        </w:tc>
        <w:tc>
          <w:tcPr>
            <w:tcW w:w="0" w:type="auto"/>
            <w:vAlign w:val="center"/>
          </w:tcPr>
          <w:p w14:paraId="5680ADC4">
            <w:pPr>
              <w:widowControl/>
              <w:jc w:val="center"/>
              <w:rPr>
                <w:rFonts w:ascii="Times New Roman" w:hAnsi="Times New Roman" w:eastAsia="仿宋_GB2312" w:cs="Times New Roman"/>
                <w:szCs w:val="21"/>
              </w:rPr>
            </w:pPr>
            <w:r>
              <w:rPr>
                <w:rFonts w:ascii="Times New Roman" w:hAnsi="Times New Roman" w:eastAsia="仿宋_GB2312" w:cs="Times New Roman"/>
                <w:szCs w:val="21"/>
              </w:rPr>
              <w:t>三重四极杆电感耦合等离子体质谱仪</w:t>
            </w:r>
          </w:p>
        </w:tc>
        <w:tc>
          <w:tcPr>
            <w:tcW w:w="0" w:type="auto"/>
            <w:vAlign w:val="center"/>
          </w:tcPr>
          <w:p w14:paraId="21972B38">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否</w:t>
            </w:r>
          </w:p>
        </w:tc>
        <w:tc>
          <w:tcPr>
            <w:tcW w:w="0" w:type="auto"/>
            <w:vAlign w:val="center"/>
          </w:tcPr>
          <w:p w14:paraId="3F61D637">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台</w:t>
            </w:r>
          </w:p>
        </w:tc>
        <w:tc>
          <w:tcPr>
            <w:tcW w:w="0" w:type="auto"/>
            <w:vAlign w:val="center"/>
          </w:tcPr>
          <w:p w14:paraId="2763D1C6">
            <w:pPr>
              <w:widowControl/>
              <w:jc w:val="center"/>
              <w:rPr>
                <w:rFonts w:ascii="Times New Roman" w:hAnsi="Times New Roman" w:eastAsia="仿宋_GB2312" w:cs="Times New Roman"/>
                <w:szCs w:val="21"/>
              </w:rPr>
            </w:pPr>
            <w:r>
              <w:rPr>
                <w:rFonts w:ascii="Times New Roman" w:hAnsi="Times New Roman" w:eastAsia="仿宋_GB2312" w:cs="Times New Roman"/>
                <w:szCs w:val="21"/>
              </w:rPr>
              <w:t>1</w:t>
            </w:r>
          </w:p>
        </w:tc>
        <w:tc>
          <w:tcPr>
            <w:tcW w:w="0" w:type="auto"/>
          </w:tcPr>
          <w:p w14:paraId="545EF9C7">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合同签订后90天内交货并完成安装调试</w:t>
            </w:r>
          </w:p>
        </w:tc>
        <w:tc>
          <w:tcPr>
            <w:tcW w:w="0" w:type="auto"/>
            <w:vAlign w:val="center"/>
          </w:tcPr>
          <w:p w14:paraId="5AA13CEE">
            <w:pPr>
              <w:widowControl/>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589C7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0" w:type="auto"/>
            <w:vAlign w:val="center"/>
          </w:tcPr>
          <w:p w14:paraId="26372002">
            <w:pPr>
              <w:jc w:val="center"/>
              <w:rPr>
                <w:rFonts w:ascii="Times New Roman" w:hAnsi="Times New Roman" w:eastAsia="仿宋_GB2312" w:cs="Times New Roman"/>
                <w:szCs w:val="21"/>
              </w:rPr>
            </w:pPr>
            <w:r>
              <w:rPr>
                <w:rFonts w:ascii="Times New Roman" w:hAnsi="Times New Roman" w:eastAsia="仿宋_GB2312" w:cs="Times New Roman"/>
                <w:szCs w:val="21"/>
              </w:rPr>
              <w:t>5</w:t>
            </w:r>
          </w:p>
        </w:tc>
        <w:tc>
          <w:tcPr>
            <w:tcW w:w="0" w:type="auto"/>
            <w:vAlign w:val="center"/>
          </w:tcPr>
          <w:p w14:paraId="2BD3AC7E">
            <w:pPr>
              <w:widowControl/>
              <w:jc w:val="center"/>
              <w:rPr>
                <w:rFonts w:ascii="Times New Roman" w:hAnsi="Times New Roman" w:eastAsia="仿宋_GB2312" w:cs="Times New Roman"/>
                <w:szCs w:val="21"/>
              </w:rPr>
            </w:pPr>
            <w:r>
              <w:rPr>
                <w:rFonts w:ascii="Times New Roman" w:hAnsi="Times New Roman" w:eastAsia="仿宋_GB2312" w:cs="Times New Roman"/>
                <w:szCs w:val="21"/>
              </w:rPr>
              <w:t>离子色谱仪</w:t>
            </w:r>
          </w:p>
        </w:tc>
        <w:tc>
          <w:tcPr>
            <w:tcW w:w="0" w:type="auto"/>
            <w:vAlign w:val="center"/>
          </w:tcPr>
          <w:p w14:paraId="728D275A">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否</w:t>
            </w:r>
          </w:p>
        </w:tc>
        <w:tc>
          <w:tcPr>
            <w:tcW w:w="0" w:type="auto"/>
            <w:vAlign w:val="center"/>
          </w:tcPr>
          <w:p w14:paraId="2C2B8FC6">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台</w:t>
            </w:r>
          </w:p>
        </w:tc>
        <w:tc>
          <w:tcPr>
            <w:tcW w:w="0" w:type="auto"/>
            <w:vAlign w:val="center"/>
          </w:tcPr>
          <w:p w14:paraId="1E375DF2">
            <w:pPr>
              <w:widowControl/>
              <w:jc w:val="center"/>
              <w:rPr>
                <w:rFonts w:ascii="Times New Roman" w:hAnsi="Times New Roman" w:eastAsia="仿宋_GB2312" w:cs="Times New Roman"/>
                <w:szCs w:val="21"/>
              </w:rPr>
            </w:pPr>
            <w:r>
              <w:rPr>
                <w:rFonts w:ascii="Times New Roman" w:hAnsi="Times New Roman" w:eastAsia="仿宋_GB2312" w:cs="Times New Roman"/>
                <w:szCs w:val="21"/>
              </w:rPr>
              <w:t>1</w:t>
            </w:r>
          </w:p>
        </w:tc>
        <w:tc>
          <w:tcPr>
            <w:tcW w:w="0" w:type="auto"/>
          </w:tcPr>
          <w:p w14:paraId="6F4BDEF3">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合同签订后90天内交货并完成安装调试</w:t>
            </w:r>
          </w:p>
        </w:tc>
        <w:tc>
          <w:tcPr>
            <w:tcW w:w="0" w:type="auto"/>
            <w:vAlign w:val="center"/>
          </w:tcPr>
          <w:p w14:paraId="4CB50C0F">
            <w:pPr>
              <w:widowControl/>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7CBB6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0" w:type="auto"/>
            <w:vAlign w:val="center"/>
          </w:tcPr>
          <w:p w14:paraId="05B3E4E7">
            <w:pPr>
              <w:jc w:val="center"/>
              <w:rPr>
                <w:rFonts w:ascii="Times New Roman" w:hAnsi="Times New Roman" w:eastAsia="仿宋_GB2312" w:cs="Times New Roman"/>
                <w:szCs w:val="21"/>
              </w:rPr>
            </w:pPr>
            <w:r>
              <w:rPr>
                <w:rFonts w:ascii="Times New Roman" w:hAnsi="Times New Roman" w:eastAsia="仿宋_GB2312" w:cs="Times New Roman"/>
                <w:szCs w:val="21"/>
              </w:rPr>
              <w:t>6</w:t>
            </w:r>
          </w:p>
        </w:tc>
        <w:tc>
          <w:tcPr>
            <w:tcW w:w="0" w:type="auto"/>
            <w:vAlign w:val="center"/>
          </w:tcPr>
          <w:p w14:paraId="61612A0A">
            <w:pPr>
              <w:widowControl/>
              <w:jc w:val="center"/>
              <w:rPr>
                <w:rFonts w:ascii="Times New Roman" w:hAnsi="Times New Roman" w:eastAsia="仿宋_GB2312" w:cs="Times New Roman"/>
                <w:szCs w:val="21"/>
              </w:rPr>
            </w:pPr>
            <w:r>
              <w:rPr>
                <w:rFonts w:ascii="Times New Roman" w:hAnsi="Times New Roman" w:eastAsia="仿宋_GB2312" w:cs="Times New Roman"/>
                <w:szCs w:val="21"/>
              </w:rPr>
              <w:t>高效液相色谱仪</w:t>
            </w:r>
          </w:p>
        </w:tc>
        <w:tc>
          <w:tcPr>
            <w:tcW w:w="0" w:type="auto"/>
            <w:vAlign w:val="center"/>
          </w:tcPr>
          <w:p w14:paraId="67969D58">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否</w:t>
            </w:r>
          </w:p>
        </w:tc>
        <w:tc>
          <w:tcPr>
            <w:tcW w:w="0" w:type="auto"/>
            <w:vAlign w:val="center"/>
          </w:tcPr>
          <w:p w14:paraId="181F1F66">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台</w:t>
            </w:r>
          </w:p>
        </w:tc>
        <w:tc>
          <w:tcPr>
            <w:tcW w:w="0" w:type="auto"/>
            <w:vAlign w:val="center"/>
          </w:tcPr>
          <w:p w14:paraId="7D044B24">
            <w:pPr>
              <w:widowControl/>
              <w:jc w:val="center"/>
              <w:rPr>
                <w:rFonts w:ascii="Times New Roman" w:hAnsi="Times New Roman" w:eastAsia="仿宋_GB2312" w:cs="Times New Roman"/>
                <w:szCs w:val="21"/>
              </w:rPr>
            </w:pPr>
            <w:r>
              <w:rPr>
                <w:rFonts w:ascii="Times New Roman" w:hAnsi="Times New Roman" w:eastAsia="仿宋_GB2312" w:cs="Times New Roman"/>
                <w:szCs w:val="21"/>
              </w:rPr>
              <w:t>1</w:t>
            </w:r>
          </w:p>
        </w:tc>
        <w:tc>
          <w:tcPr>
            <w:tcW w:w="0" w:type="auto"/>
          </w:tcPr>
          <w:p w14:paraId="362FD205">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合同签订后90天内交货并完成安装调试</w:t>
            </w:r>
          </w:p>
        </w:tc>
        <w:tc>
          <w:tcPr>
            <w:tcW w:w="0" w:type="auto"/>
            <w:vAlign w:val="center"/>
          </w:tcPr>
          <w:p w14:paraId="6398ECA5">
            <w:pPr>
              <w:widowControl/>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3398F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0" w:type="auto"/>
            <w:vAlign w:val="center"/>
          </w:tcPr>
          <w:p w14:paraId="3C4BF6A9">
            <w:pPr>
              <w:jc w:val="center"/>
              <w:rPr>
                <w:rFonts w:ascii="Times New Roman" w:hAnsi="Times New Roman" w:eastAsia="仿宋_GB2312" w:cs="Times New Roman"/>
                <w:szCs w:val="21"/>
              </w:rPr>
            </w:pPr>
            <w:r>
              <w:rPr>
                <w:rFonts w:ascii="Times New Roman" w:hAnsi="Times New Roman" w:eastAsia="仿宋_GB2312" w:cs="Times New Roman"/>
                <w:szCs w:val="21"/>
              </w:rPr>
              <w:t>7</w:t>
            </w:r>
          </w:p>
        </w:tc>
        <w:tc>
          <w:tcPr>
            <w:tcW w:w="0" w:type="auto"/>
            <w:vAlign w:val="center"/>
          </w:tcPr>
          <w:p w14:paraId="4942864A">
            <w:pPr>
              <w:widowControl/>
              <w:jc w:val="center"/>
              <w:rPr>
                <w:rFonts w:ascii="Times New Roman" w:hAnsi="Times New Roman" w:eastAsia="仿宋_GB2312" w:cs="Times New Roman"/>
                <w:szCs w:val="21"/>
              </w:rPr>
            </w:pPr>
            <w:r>
              <w:rPr>
                <w:rFonts w:ascii="Times New Roman" w:hAnsi="Times New Roman" w:eastAsia="仿宋_GB2312" w:cs="Times New Roman"/>
                <w:szCs w:val="21"/>
              </w:rPr>
              <w:t>碳硫分析仪</w:t>
            </w:r>
          </w:p>
        </w:tc>
        <w:tc>
          <w:tcPr>
            <w:tcW w:w="0" w:type="auto"/>
            <w:vAlign w:val="center"/>
          </w:tcPr>
          <w:p w14:paraId="18269702">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否</w:t>
            </w:r>
          </w:p>
        </w:tc>
        <w:tc>
          <w:tcPr>
            <w:tcW w:w="0" w:type="auto"/>
            <w:vAlign w:val="center"/>
          </w:tcPr>
          <w:p w14:paraId="1B7BDE34">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台</w:t>
            </w:r>
          </w:p>
        </w:tc>
        <w:tc>
          <w:tcPr>
            <w:tcW w:w="0" w:type="auto"/>
            <w:vAlign w:val="center"/>
          </w:tcPr>
          <w:p w14:paraId="7A082663">
            <w:pPr>
              <w:widowControl/>
              <w:jc w:val="center"/>
              <w:rPr>
                <w:rFonts w:ascii="Times New Roman" w:hAnsi="Times New Roman" w:eastAsia="仿宋_GB2312" w:cs="Times New Roman"/>
                <w:szCs w:val="21"/>
              </w:rPr>
            </w:pPr>
            <w:r>
              <w:rPr>
                <w:rFonts w:ascii="Times New Roman" w:hAnsi="Times New Roman" w:eastAsia="仿宋_GB2312" w:cs="Times New Roman"/>
                <w:szCs w:val="21"/>
              </w:rPr>
              <w:t>1</w:t>
            </w:r>
          </w:p>
        </w:tc>
        <w:tc>
          <w:tcPr>
            <w:tcW w:w="0" w:type="auto"/>
          </w:tcPr>
          <w:p w14:paraId="42A1ABCD">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合同签订后90天内交货并完成安装调试</w:t>
            </w:r>
          </w:p>
        </w:tc>
        <w:tc>
          <w:tcPr>
            <w:tcW w:w="0" w:type="auto"/>
            <w:vAlign w:val="center"/>
          </w:tcPr>
          <w:p w14:paraId="4F48B6C8">
            <w:pPr>
              <w:widowControl/>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59F0F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0" w:type="auto"/>
            <w:vAlign w:val="center"/>
          </w:tcPr>
          <w:p w14:paraId="0D9406B5">
            <w:pPr>
              <w:jc w:val="center"/>
              <w:rPr>
                <w:rFonts w:ascii="Times New Roman" w:hAnsi="Times New Roman" w:eastAsia="仿宋_GB2312" w:cs="Times New Roman"/>
                <w:szCs w:val="21"/>
              </w:rPr>
            </w:pPr>
            <w:r>
              <w:rPr>
                <w:rFonts w:ascii="Times New Roman" w:hAnsi="Times New Roman" w:eastAsia="仿宋_GB2312" w:cs="Times New Roman"/>
                <w:szCs w:val="21"/>
              </w:rPr>
              <w:t>8</w:t>
            </w:r>
          </w:p>
        </w:tc>
        <w:tc>
          <w:tcPr>
            <w:tcW w:w="0" w:type="auto"/>
            <w:vAlign w:val="center"/>
          </w:tcPr>
          <w:p w14:paraId="02D210F8">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多形态汞检测仪</w:t>
            </w:r>
          </w:p>
        </w:tc>
        <w:tc>
          <w:tcPr>
            <w:tcW w:w="0" w:type="auto"/>
            <w:vAlign w:val="center"/>
          </w:tcPr>
          <w:p w14:paraId="4FE1AAF2">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否</w:t>
            </w:r>
          </w:p>
        </w:tc>
        <w:tc>
          <w:tcPr>
            <w:tcW w:w="0" w:type="auto"/>
            <w:vAlign w:val="center"/>
          </w:tcPr>
          <w:p w14:paraId="1F67F03E">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台</w:t>
            </w:r>
          </w:p>
        </w:tc>
        <w:tc>
          <w:tcPr>
            <w:tcW w:w="0" w:type="auto"/>
            <w:vAlign w:val="center"/>
          </w:tcPr>
          <w:p w14:paraId="71783B55">
            <w:pPr>
              <w:widowControl/>
              <w:jc w:val="center"/>
              <w:rPr>
                <w:rFonts w:ascii="Times New Roman" w:hAnsi="Times New Roman" w:eastAsia="仿宋_GB2312" w:cs="Times New Roman"/>
                <w:szCs w:val="21"/>
              </w:rPr>
            </w:pPr>
            <w:r>
              <w:rPr>
                <w:rFonts w:ascii="Times New Roman" w:hAnsi="Times New Roman" w:eastAsia="仿宋_GB2312" w:cs="Times New Roman"/>
                <w:szCs w:val="21"/>
              </w:rPr>
              <w:t>1</w:t>
            </w:r>
          </w:p>
        </w:tc>
        <w:tc>
          <w:tcPr>
            <w:tcW w:w="0" w:type="auto"/>
          </w:tcPr>
          <w:p w14:paraId="6FE42FB7">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合同签订后90天内交货并完成安装调试</w:t>
            </w:r>
          </w:p>
        </w:tc>
        <w:tc>
          <w:tcPr>
            <w:tcW w:w="0" w:type="auto"/>
            <w:vAlign w:val="center"/>
          </w:tcPr>
          <w:p w14:paraId="20077A71">
            <w:pPr>
              <w:widowControl/>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2567A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0" w:type="auto"/>
            <w:vAlign w:val="center"/>
          </w:tcPr>
          <w:p w14:paraId="0C4EEBCE">
            <w:pPr>
              <w:jc w:val="center"/>
              <w:rPr>
                <w:rFonts w:ascii="Times New Roman" w:hAnsi="Times New Roman" w:eastAsia="仿宋_GB2312" w:cs="Times New Roman"/>
                <w:szCs w:val="21"/>
              </w:rPr>
            </w:pPr>
            <w:r>
              <w:rPr>
                <w:rFonts w:ascii="Times New Roman" w:hAnsi="Times New Roman" w:eastAsia="仿宋_GB2312" w:cs="Times New Roman"/>
                <w:szCs w:val="21"/>
              </w:rPr>
              <w:t>9</w:t>
            </w:r>
          </w:p>
        </w:tc>
        <w:tc>
          <w:tcPr>
            <w:tcW w:w="0" w:type="auto"/>
            <w:vAlign w:val="center"/>
          </w:tcPr>
          <w:p w14:paraId="4AB8EDB7">
            <w:pPr>
              <w:widowControl/>
              <w:jc w:val="center"/>
              <w:rPr>
                <w:rFonts w:ascii="Times New Roman" w:hAnsi="Times New Roman" w:eastAsia="仿宋_GB2312" w:cs="Times New Roman"/>
                <w:szCs w:val="21"/>
              </w:rPr>
            </w:pPr>
            <w:r>
              <w:rPr>
                <w:rFonts w:ascii="Times New Roman" w:hAnsi="Times New Roman" w:eastAsia="仿宋_GB2312" w:cs="Times New Roman"/>
                <w:szCs w:val="21"/>
              </w:rPr>
              <w:t>等离子体光谱测汞仪</w:t>
            </w:r>
          </w:p>
        </w:tc>
        <w:tc>
          <w:tcPr>
            <w:tcW w:w="0" w:type="auto"/>
            <w:vAlign w:val="center"/>
          </w:tcPr>
          <w:p w14:paraId="338461F1">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否</w:t>
            </w:r>
          </w:p>
        </w:tc>
        <w:tc>
          <w:tcPr>
            <w:tcW w:w="0" w:type="auto"/>
            <w:vAlign w:val="center"/>
          </w:tcPr>
          <w:p w14:paraId="78AE39EE">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台</w:t>
            </w:r>
          </w:p>
        </w:tc>
        <w:tc>
          <w:tcPr>
            <w:tcW w:w="0" w:type="auto"/>
            <w:vAlign w:val="center"/>
          </w:tcPr>
          <w:p w14:paraId="4EF1686E">
            <w:pPr>
              <w:widowControl/>
              <w:jc w:val="center"/>
              <w:rPr>
                <w:rFonts w:ascii="Times New Roman" w:hAnsi="Times New Roman" w:eastAsia="仿宋_GB2312" w:cs="Times New Roman"/>
                <w:szCs w:val="21"/>
              </w:rPr>
            </w:pPr>
            <w:r>
              <w:rPr>
                <w:rFonts w:ascii="Times New Roman" w:hAnsi="Times New Roman" w:eastAsia="仿宋_GB2312" w:cs="Times New Roman"/>
                <w:szCs w:val="21"/>
              </w:rPr>
              <w:t>1</w:t>
            </w:r>
          </w:p>
        </w:tc>
        <w:tc>
          <w:tcPr>
            <w:tcW w:w="0" w:type="auto"/>
          </w:tcPr>
          <w:p w14:paraId="6AED51FE">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合同签订后90天内交货并完成安装调试</w:t>
            </w:r>
          </w:p>
        </w:tc>
        <w:tc>
          <w:tcPr>
            <w:tcW w:w="0" w:type="auto"/>
            <w:vAlign w:val="center"/>
          </w:tcPr>
          <w:p w14:paraId="2D6F644D">
            <w:pPr>
              <w:widowControl/>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3A5F8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0" w:type="auto"/>
            <w:vAlign w:val="center"/>
          </w:tcPr>
          <w:p w14:paraId="159F0846">
            <w:pPr>
              <w:jc w:val="center"/>
              <w:rPr>
                <w:rFonts w:ascii="Times New Roman" w:hAnsi="Times New Roman" w:eastAsia="仿宋_GB2312" w:cs="Times New Roman"/>
                <w:szCs w:val="21"/>
              </w:rPr>
            </w:pPr>
            <w:r>
              <w:rPr>
                <w:rFonts w:ascii="Times New Roman" w:hAnsi="Times New Roman" w:eastAsia="仿宋_GB2312" w:cs="Times New Roman"/>
                <w:szCs w:val="21"/>
              </w:rPr>
              <w:t>10</w:t>
            </w:r>
          </w:p>
        </w:tc>
        <w:tc>
          <w:tcPr>
            <w:tcW w:w="0" w:type="auto"/>
            <w:vAlign w:val="center"/>
          </w:tcPr>
          <w:p w14:paraId="110D24BF">
            <w:pPr>
              <w:widowControl/>
              <w:jc w:val="center"/>
              <w:rPr>
                <w:rFonts w:ascii="Times New Roman" w:hAnsi="Times New Roman" w:eastAsia="仿宋_GB2312" w:cs="Times New Roman"/>
                <w:szCs w:val="21"/>
              </w:rPr>
            </w:pPr>
            <w:r>
              <w:rPr>
                <w:rFonts w:ascii="Times New Roman" w:hAnsi="Times New Roman" w:eastAsia="仿宋_GB2312" w:cs="Times New Roman"/>
                <w:szCs w:val="21"/>
              </w:rPr>
              <w:t>超便携多通道温室气体通量分析仪</w:t>
            </w:r>
          </w:p>
        </w:tc>
        <w:tc>
          <w:tcPr>
            <w:tcW w:w="0" w:type="auto"/>
            <w:vAlign w:val="center"/>
          </w:tcPr>
          <w:p w14:paraId="40477985">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否</w:t>
            </w:r>
          </w:p>
        </w:tc>
        <w:tc>
          <w:tcPr>
            <w:tcW w:w="0" w:type="auto"/>
            <w:vAlign w:val="center"/>
          </w:tcPr>
          <w:p w14:paraId="110DBDC2">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台</w:t>
            </w:r>
          </w:p>
        </w:tc>
        <w:tc>
          <w:tcPr>
            <w:tcW w:w="0" w:type="auto"/>
            <w:vAlign w:val="center"/>
          </w:tcPr>
          <w:p w14:paraId="5735782B">
            <w:pPr>
              <w:widowControl/>
              <w:jc w:val="center"/>
              <w:rPr>
                <w:rFonts w:ascii="Times New Roman" w:hAnsi="Times New Roman" w:eastAsia="仿宋_GB2312" w:cs="Times New Roman"/>
                <w:szCs w:val="21"/>
              </w:rPr>
            </w:pPr>
            <w:r>
              <w:rPr>
                <w:rFonts w:ascii="Times New Roman" w:hAnsi="Times New Roman" w:eastAsia="仿宋_GB2312" w:cs="Times New Roman"/>
                <w:szCs w:val="21"/>
              </w:rPr>
              <w:t>1</w:t>
            </w:r>
          </w:p>
        </w:tc>
        <w:tc>
          <w:tcPr>
            <w:tcW w:w="0" w:type="auto"/>
          </w:tcPr>
          <w:p w14:paraId="4993AF01">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合同签订后90天内交货并完成安装调试</w:t>
            </w:r>
          </w:p>
        </w:tc>
        <w:tc>
          <w:tcPr>
            <w:tcW w:w="0" w:type="auto"/>
            <w:vAlign w:val="center"/>
          </w:tcPr>
          <w:p w14:paraId="41AD8F4E">
            <w:pPr>
              <w:widowControl/>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bl>
    <w:p w14:paraId="29B79B43">
      <w:pPr>
        <w:widowControl/>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三、技术要求</w:t>
      </w:r>
    </w:p>
    <w:p w14:paraId="03CC1895">
      <w:pPr>
        <w:widowControl/>
        <w:shd w:val="clear" w:color="auto" w:fill="FFFFFF"/>
        <w:spacing w:line="360" w:lineRule="auto"/>
        <w:jc w:val="center"/>
        <w:rPr>
          <w:rFonts w:hint="eastAsia"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w:t>
      </w:r>
      <w:r>
        <w:rPr>
          <w:rFonts w:ascii="仿宋_GB2312" w:hAnsi="宋体" w:eastAsia="仿宋_GB2312" w:cs="仿宋"/>
          <w:color w:val="000000"/>
          <w:kern w:val="0"/>
          <w:sz w:val="28"/>
          <w:szCs w:val="28"/>
          <w:shd w:val="clear" w:color="auto" w:fill="FFFFFF"/>
        </w:rPr>
        <w:t>等离子体串联质谱仪</w:t>
      </w:r>
      <w:r>
        <w:rPr>
          <w:rFonts w:hint="eastAsia" w:ascii="仿宋_GB2312" w:hAnsi="宋体" w:eastAsia="仿宋_GB2312" w:cs="仿宋"/>
          <w:color w:val="000000"/>
          <w:kern w:val="0"/>
          <w:sz w:val="28"/>
          <w:szCs w:val="28"/>
          <w:shd w:val="clear" w:color="auto" w:fill="FFFFFF"/>
        </w:rPr>
        <w:t>（1台）</w:t>
      </w:r>
    </w:p>
    <w:p w14:paraId="47D7CB4B">
      <w:pPr>
        <w:widowControl/>
        <w:shd w:val="clear" w:color="auto" w:fill="FFFFFF"/>
        <w:spacing w:line="360" w:lineRule="auto"/>
        <w:ind w:firstLine="482" w:firstLineChars="200"/>
        <w:jc w:val="left"/>
        <w:rPr>
          <w:rFonts w:hint="eastAsia" w:ascii="仿宋_GB2312" w:hAnsi="宋体" w:eastAsia="仿宋_GB2312"/>
          <w:b/>
          <w:bCs/>
          <w:i/>
          <w:iCs/>
          <w:sz w:val="24"/>
          <w:szCs w:val="24"/>
        </w:rPr>
      </w:pPr>
      <w:r>
        <w:rPr>
          <w:rFonts w:hint="eastAsia" w:ascii="仿宋_GB2312" w:hAnsi="宋体" w:eastAsia="仿宋_GB2312"/>
          <w:b/>
          <w:bCs/>
          <w:sz w:val="24"/>
          <w:szCs w:val="24"/>
        </w:rPr>
        <w:t>1.功能要求：</w:t>
      </w:r>
      <w:r>
        <w:rPr>
          <w:rFonts w:hint="eastAsia" w:ascii="仿宋_GB2312" w:hAnsi="宋体" w:eastAsia="仿宋_GB2312"/>
          <w:b/>
          <w:bCs/>
          <w:i/>
          <w:iCs/>
          <w:sz w:val="24"/>
          <w:szCs w:val="24"/>
        </w:rPr>
        <w:t xml:space="preserve"> </w:t>
      </w:r>
    </w:p>
    <w:p w14:paraId="3C9EDACE">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痕量与超痕量元素分析是地球科学及相关交叉学科的重要技术基础，尤其在复杂基体地质样品条件下，对仪器的抗干扰能力和数据可靠性提出了更高要求。ICP-MS/MS通过串联质量分析器与碰撞/反应池技术的结合，可针对特定干扰实现精准消除，相较传统单四极杆质谱，在复杂基体条件下对关键痕量元素的检测能力有质的提升，并具备单颗粒/单细胞分析等前沿拓展功能。</w:t>
      </w:r>
    </w:p>
    <w:p w14:paraId="353CF384">
      <w:pPr>
        <w:widowControl/>
        <w:shd w:val="clear" w:color="auto" w:fill="FFFFFF"/>
        <w:spacing w:line="360" w:lineRule="auto"/>
        <w:ind w:firstLine="480" w:firstLineChars="200"/>
        <w:rPr>
          <w:rFonts w:ascii="Times New Roman" w:hAnsi="Times New Roman" w:eastAsia="仿宋_GB2312" w:cs="Times New Roman"/>
          <w:color w:val="EE0000"/>
          <w:sz w:val="24"/>
          <w:szCs w:val="24"/>
        </w:rPr>
      </w:pPr>
      <w:r>
        <w:rPr>
          <w:rFonts w:ascii="Times New Roman" w:hAnsi="Times New Roman" w:eastAsia="仿宋_GB2312" w:cs="Times New Roman"/>
          <w:sz w:val="24"/>
          <w:szCs w:val="24"/>
        </w:rPr>
        <w:t>本设备主要用于地球与行星科学领域的微量/超微量元素及同位素分析，重点服务于《分析地球化学》、《地学现代测试技术》、《大型仪器分析基础与实践》、等本科课程实验，满足本科生、研究生论文研究的测试需求。同时，为成矿作用、大陆演化、地表环境过程及行星物质成分等研究提供精准的分析数据。</w:t>
      </w:r>
    </w:p>
    <w:p w14:paraId="7E56F141">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该设备应具备高灵敏度、高分辨干扰去除能力、宽线性动态范围和稳定性。主要能够实现以下功能：</w:t>
      </w:r>
    </w:p>
    <w:p w14:paraId="687256CD">
      <w:pPr>
        <w:widowControl/>
        <w:numPr>
          <w:ilvl w:val="0"/>
          <w:numId w:val="5"/>
        </w:numPr>
        <w:shd w:val="clear" w:color="auto" w:fill="FFFFFF"/>
        <w:spacing w:line="360" w:lineRule="auto"/>
        <w:ind w:left="0"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地质与行星样品分析：岩石、矿物、陨石及月球样品中微量/稀土元素定量分析。</w:t>
      </w:r>
    </w:p>
    <w:p w14:paraId="0578F0FC">
      <w:pPr>
        <w:widowControl/>
        <w:numPr>
          <w:ilvl w:val="0"/>
          <w:numId w:val="5"/>
        </w:numPr>
        <w:shd w:val="clear" w:color="auto" w:fill="FFFFFF"/>
        <w:spacing w:line="360" w:lineRule="auto"/>
        <w:ind w:left="0"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同位素比值测定：如 Rb-Sr、U-Pb 等地质年代学与同位素地球化学研究。</w:t>
      </w:r>
    </w:p>
    <w:p w14:paraId="0BC1A65A">
      <w:pPr>
        <w:widowControl/>
        <w:numPr>
          <w:ilvl w:val="0"/>
          <w:numId w:val="5"/>
        </w:numPr>
        <w:shd w:val="clear" w:color="auto" w:fill="FFFFFF"/>
        <w:spacing w:line="360" w:lineRule="auto"/>
        <w:ind w:left="0"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高基体/复杂干扰元素分析：有效消除地质样品中复杂基质（Fe、Ca、Mg 等）及同质异位素干扰（如</w:t>
      </w:r>
      <w:r>
        <w:rPr>
          <w:rFonts w:ascii="Times New Roman" w:hAnsi="Times New Roman" w:eastAsia="仿宋_GB2312" w:cs="Times New Roman"/>
          <w:sz w:val="24"/>
          <w:szCs w:val="24"/>
          <w:vertAlign w:val="superscript"/>
        </w:rPr>
        <w:t>87</w:t>
      </w:r>
      <w:r>
        <w:rPr>
          <w:rFonts w:ascii="Times New Roman" w:hAnsi="Times New Roman" w:eastAsia="仿宋_GB2312" w:cs="Times New Roman"/>
          <w:sz w:val="24"/>
          <w:szCs w:val="24"/>
        </w:rPr>
        <w:t>Rb对</w:t>
      </w:r>
      <w:r>
        <w:rPr>
          <w:rFonts w:ascii="Times New Roman" w:hAnsi="Times New Roman" w:eastAsia="仿宋_GB2312" w:cs="Times New Roman"/>
          <w:sz w:val="24"/>
          <w:szCs w:val="24"/>
          <w:vertAlign w:val="superscript"/>
        </w:rPr>
        <w:t>87</w:t>
      </w:r>
      <w:r>
        <w:rPr>
          <w:rFonts w:ascii="Times New Roman" w:hAnsi="Times New Roman" w:eastAsia="仿宋_GB2312" w:cs="Times New Roman"/>
          <w:sz w:val="24"/>
          <w:szCs w:val="24"/>
        </w:rPr>
        <w:t>Sr的干扰）。</w:t>
      </w:r>
    </w:p>
    <w:p w14:paraId="1F178405">
      <w:pPr>
        <w:widowControl/>
        <w:numPr>
          <w:ilvl w:val="0"/>
          <w:numId w:val="5"/>
        </w:numPr>
        <w:shd w:val="clear" w:color="auto" w:fill="FFFFFF"/>
        <w:spacing w:line="360" w:lineRule="auto"/>
        <w:ind w:left="0"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扩展联用：</w:t>
      </w:r>
      <w:r>
        <w:rPr>
          <w:rFonts w:hint="eastAsia" w:ascii="Times New Roman" w:hAnsi="Times New Roman" w:eastAsia="仿宋_GB2312" w:cs="Times New Roman"/>
          <w:sz w:val="24"/>
          <w:szCs w:val="24"/>
        </w:rPr>
        <w:t>具</w:t>
      </w:r>
      <w:r>
        <w:rPr>
          <w:rFonts w:ascii="Times New Roman" w:hAnsi="Times New Roman" w:eastAsia="仿宋_GB2312" w:cs="Times New Roman"/>
          <w:sz w:val="24"/>
          <w:szCs w:val="24"/>
        </w:rPr>
        <w:t>备与激光剥蚀系统（LA）联用的能力，实现矿物微区原位定量及定年分析。</w:t>
      </w:r>
    </w:p>
    <w:p w14:paraId="2FB55CE5">
      <w:pPr>
        <w:widowControl/>
        <w:shd w:val="clear" w:color="auto" w:fill="FFFFFF"/>
        <w:spacing w:line="360" w:lineRule="auto"/>
        <w:ind w:left="482"/>
        <w:jc w:val="left"/>
        <w:rPr>
          <w:rFonts w:hint="eastAsia" w:ascii="仿宋_GB2312" w:hAnsi="宋体" w:eastAsia="仿宋_GB2312"/>
          <w:b/>
          <w:bCs/>
          <w:sz w:val="24"/>
          <w:szCs w:val="24"/>
        </w:rPr>
      </w:pPr>
      <w:r>
        <w:rPr>
          <w:rFonts w:hint="eastAsia" w:ascii="仿宋_GB2312" w:hAnsi="宋体" w:eastAsia="仿宋_GB2312"/>
          <w:b/>
          <w:bCs/>
          <w:sz w:val="24"/>
          <w:szCs w:val="24"/>
        </w:rPr>
        <w:t>2.应遵循的相关国家标准、行业标准、地方标准等标准、规范：</w:t>
      </w:r>
    </w:p>
    <w:p w14:paraId="5BB98246">
      <w:pPr>
        <w:widowControl/>
        <w:shd w:val="clear" w:color="auto" w:fill="FFFFFF"/>
        <w:spacing w:line="360" w:lineRule="auto"/>
        <w:ind w:firstLine="480" w:firstLineChars="200"/>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主要参考国家标准：GB/T 39486-2020《化学试剂 电感耦合等离子体质谱分析方法通则》，GB/T 6041《质谱分析方法通则》，《水质 65种元素的测定 电感耦合等离子体质谱法》，《土壤和沉积物 12种金属元素的测定 王水提取-电感耦合等离子体质谱法》</w:t>
      </w:r>
      <w:r>
        <w:rPr>
          <w:rFonts w:hint="eastAsia" w:ascii="Times New Roman" w:hAnsi="Times New Roman" w:eastAsia="仿宋_GB2312" w:cs="Times New Roman"/>
          <w:sz w:val="24"/>
          <w:szCs w:val="24"/>
        </w:rPr>
        <w:t>及</w:t>
      </w:r>
      <w:r>
        <w:rPr>
          <w:rFonts w:ascii="Times New Roman" w:hAnsi="Times New Roman" w:eastAsia="仿宋_GB2312" w:cs="Times New Roman"/>
          <w:sz w:val="24"/>
          <w:szCs w:val="24"/>
        </w:rPr>
        <w:t>校准规范 JJF 1159-2006等。</w:t>
      </w:r>
    </w:p>
    <w:p w14:paraId="76C7A366">
      <w:pPr>
        <w:widowControl/>
        <w:shd w:val="clear" w:color="auto" w:fill="FFFFFF"/>
        <w:spacing w:line="360" w:lineRule="auto"/>
        <w:ind w:left="482"/>
        <w:rPr>
          <w:rFonts w:hint="eastAsia" w:ascii="仿宋_GB2312" w:hAnsi="宋体" w:eastAsia="仿宋_GB2312"/>
          <w:b/>
          <w:bCs/>
          <w:sz w:val="24"/>
          <w:szCs w:val="24"/>
        </w:rPr>
      </w:pPr>
      <w:r>
        <w:rPr>
          <w:rFonts w:hint="eastAsia" w:ascii="仿宋_GB2312" w:hAnsi="宋体" w:eastAsia="仿宋_GB2312"/>
          <w:b/>
          <w:bCs/>
          <w:sz w:val="24"/>
          <w:szCs w:val="24"/>
        </w:rPr>
        <w:t>3.后续运营维护、升级更新、备品备件等要求：</w:t>
      </w:r>
    </w:p>
    <w:p w14:paraId="63D47671">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运维服务：供应商需提供≥2年整机质保（含ICP源，真空系统，检测器系统，质量分析器等核心部件），质保期内每半年开展1次现场巡检，故障响应时间≤</w:t>
      </w:r>
      <w:r>
        <w:rPr>
          <w:rFonts w:hint="eastAsia" w:ascii="Times New Roman" w:hAnsi="Times New Roman" w:eastAsia="仿宋_GB2312" w:cs="Times New Roman"/>
          <w:sz w:val="24"/>
          <w:szCs w:val="24"/>
        </w:rPr>
        <w:t>48</w:t>
      </w:r>
      <w:r>
        <w:rPr>
          <w:rFonts w:ascii="Times New Roman" w:hAnsi="Times New Roman" w:eastAsia="仿宋_GB2312" w:cs="Times New Roman"/>
          <w:sz w:val="24"/>
          <w:szCs w:val="24"/>
        </w:rPr>
        <w:t>小时，修复时间≤72小时；提供2天以上现场培训，交通等与培训相关的费用均由成交供应商承担。</w:t>
      </w:r>
    </w:p>
    <w:p w14:paraId="68D0A697">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升级更新：设备软件终身免费升级，硬件支持后续功能扩展，供应商需在新技术推出后30日内告知用户升级方案。</w:t>
      </w:r>
    </w:p>
    <w:p w14:paraId="2793CB05">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备品备件：质保期外提供全生命周期备件供应保障（承诺供应周期≥10年），常用备件（如采样锥、截取锥、离子提取透镜、雾室、雾化器等）需在用户提出需求后7个工作日内到货；提供备件价格清单，确保价格不高于市场同期水平。</w:t>
      </w:r>
    </w:p>
    <w:p w14:paraId="6BE04253">
      <w:pPr>
        <w:spacing w:line="360" w:lineRule="auto"/>
        <w:ind w:firstLine="482" w:firstLineChars="200"/>
        <w:outlineLvl w:val="0"/>
        <w:rPr>
          <w:rFonts w:hint="eastAsia" w:ascii="仿宋_GB2312" w:hAnsi="宋体" w:eastAsia="仿宋_GB2312"/>
          <w:b/>
          <w:bCs/>
          <w:sz w:val="24"/>
          <w:szCs w:val="24"/>
        </w:rPr>
      </w:pPr>
      <w:r>
        <w:rPr>
          <w:rFonts w:hint="eastAsia" w:ascii="仿宋_GB2312" w:hAnsi="宋体" w:eastAsia="仿宋_GB2312"/>
          <w:b/>
          <w:bCs/>
          <w:sz w:val="24"/>
          <w:szCs w:val="24"/>
        </w:rPr>
        <w:t>4.各项指标要求：</w:t>
      </w:r>
    </w:p>
    <w:tbl>
      <w:tblPr>
        <w:tblStyle w:val="8"/>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850"/>
        <w:gridCol w:w="4536"/>
        <w:gridCol w:w="992"/>
      </w:tblGrid>
      <w:tr w14:paraId="25E48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55D5D3F">
            <w:pPr>
              <w:spacing w:line="360" w:lineRule="auto"/>
              <w:jc w:val="center"/>
              <w:rPr>
                <w:rFonts w:ascii="Times New Roman" w:hAnsi="Times New Roman" w:eastAsia="仿宋_GB2312" w:cs="Times New Roman"/>
                <w:b/>
                <w:szCs w:val="21"/>
              </w:rPr>
            </w:pPr>
            <w:r>
              <w:rPr>
                <w:rFonts w:ascii="Times New Roman" w:hAnsi="Times New Roman" w:eastAsia="仿宋_GB2312" w:cs="Times New Roman"/>
                <w:b/>
                <w:szCs w:val="21"/>
              </w:rPr>
              <w:t>序号</w:t>
            </w:r>
          </w:p>
        </w:tc>
        <w:tc>
          <w:tcPr>
            <w:tcW w:w="1134" w:type="dxa"/>
            <w:vAlign w:val="center"/>
          </w:tcPr>
          <w:p w14:paraId="39CEED5D">
            <w:pPr>
              <w:widowControl/>
              <w:spacing w:line="360" w:lineRule="auto"/>
              <w:jc w:val="center"/>
              <w:rPr>
                <w:rFonts w:ascii="Times New Roman" w:hAnsi="Times New Roman" w:eastAsia="仿宋_GB2312" w:cs="Times New Roman"/>
                <w:b/>
                <w:szCs w:val="21"/>
              </w:rPr>
            </w:pPr>
            <w:r>
              <w:rPr>
                <w:rFonts w:ascii="Times New Roman" w:hAnsi="Times New Roman" w:eastAsia="仿宋_GB2312" w:cs="Times New Roman"/>
                <w:b/>
                <w:szCs w:val="21"/>
              </w:rPr>
              <w:t>指标项</w:t>
            </w:r>
          </w:p>
        </w:tc>
        <w:tc>
          <w:tcPr>
            <w:tcW w:w="850" w:type="dxa"/>
            <w:vAlign w:val="center"/>
          </w:tcPr>
          <w:p w14:paraId="5274DA75">
            <w:pPr>
              <w:widowControl/>
              <w:spacing w:line="360" w:lineRule="auto"/>
              <w:jc w:val="center"/>
              <w:rPr>
                <w:rFonts w:ascii="Times New Roman" w:hAnsi="Times New Roman" w:eastAsia="仿宋_GB2312" w:cs="Times New Roman"/>
                <w:b/>
                <w:szCs w:val="21"/>
              </w:rPr>
            </w:pPr>
            <w:r>
              <w:rPr>
                <w:rFonts w:ascii="Times New Roman" w:hAnsi="Times New Roman" w:eastAsia="仿宋_GB2312" w:cs="Times New Roman"/>
                <w:b/>
                <w:szCs w:val="21"/>
              </w:rPr>
              <w:t>重要性</w:t>
            </w:r>
          </w:p>
        </w:tc>
        <w:tc>
          <w:tcPr>
            <w:tcW w:w="4536" w:type="dxa"/>
            <w:vAlign w:val="center"/>
          </w:tcPr>
          <w:p w14:paraId="67ED93E4">
            <w:pPr>
              <w:widowControl/>
              <w:spacing w:line="360" w:lineRule="auto"/>
              <w:jc w:val="center"/>
              <w:rPr>
                <w:rFonts w:ascii="Times New Roman" w:hAnsi="Times New Roman" w:eastAsia="仿宋_GB2312" w:cs="Times New Roman"/>
                <w:b/>
                <w:szCs w:val="21"/>
              </w:rPr>
            </w:pPr>
            <w:r>
              <w:rPr>
                <w:rFonts w:ascii="Times New Roman" w:hAnsi="Times New Roman" w:eastAsia="仿宋_GB2312" w:cs="Times New Roman"/>
                <w:b/>
                <w:szCs w:val="21"/>
              </w:rPr>
              <w:t>指标要求</w:t>
            </w:r>
          </w:p>
        </w:tc>
        <w:tc>
          <w:tcPr>
            <w:tcW w:w="992" w:type="dxa"/>
            <w:vAlign w:val="center"/>
          </w:tcPr>
          <w:p w14:paraId="204F866B">
            <w:pPr>
              <w:widowControl/>
              <w:spacing w:line="360" w:lineRule="auto"/>
              <w:jc w:val="center"/>
              <w:rPr>
                <w:rFonts w:ascii="Times New Roman" w:hAnsi="Times New Roman" w:eastAsia="仿宋_GB2312" w:cs="Times New Roman"/>
                <w:b/>
                <w:szCs w:val="21"/>
              </w:rPr>
            </w:pPr>
            <w:r>
              <w:rPr>
                <w:rFonts w:ascii="Times New Roman" w:hAnsi="Times New Roman" w:eastAsia="仿宋_GB2312" w:cs="Times New Roman"/>
                <w:b/>
                <w:szCs w:val="21"/>
              </w:rPr>
              <w:t>证明材料要求</w:t>
            </w:r>
          </w:p>
        </w:tc>
      </w:tr>
      <w:tr w14:paraId="6809E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4A74001A">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w:t>
            </w:r>
          </w:p>
        </w:tc>
        <w:tc>
          <w:tcPr>
            <w:tcW w:w="1134" w:type="dxa"/>
            <w:vAlign w:val="center"/>
          </w:tcPr>
          <w:p w14:paraId="5F34C653">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总体要求</w:t>
            </w:r>
          </w:p>
        </w:tc>
        <w:tc>
          <w:tcPr>
            <w:tcW w:w="850" w:type="dxa"/>
            <w:vAlign w:val="center"/>
          </w:tcPr>
          <w:p w14:paraId="06A9590A">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w:t>
            </w:r>
          </w:p>
        </w:tc>
        <w:tc>
          <w:tcPr>
            <w:tcW w:w="4536" w:type="dxa"/>
            <w:vAlign w:val="center"/>
          </w:tcPr>
          <w:p w14:paraId="29C983EA">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szCs w:val="21"/>
              </w:rPr>
              <w:t>电感耦合等离子体串联质谱仪（前后两组四极杆规格一致）可与激光剥蚀系统（LA）联用，配备接口和软件</w:t>
            </w:r>
            <w:r>
              <w:rPr>
                <w:rFonts w:hint="eastAsia" w:ascii="Times New Roman" w:hAnsi="Times New Roman" w:eastAsia="仿宋_GB2312" w:cs="Times New Roman"/>
                <w:szCs w:val="21"/>
              </w:rPr>
              <w:t>；具备单细胞/单颗粒分析能力，配备软件。</w:t>
            </w:r>
          </w:p>
        </w:tc>
        <w:tc>
          <w:tcPr>
            <w:tcW w:w="992" w:type="dxa"/>
            <w:vAlign w:val="center"/>
          </w:tcPr>
          <w:p w14:paraId="32D67316">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是</w:t>
            </w:r>
          </w:p>
        </w:tc>
      </w:tr>
      <w:tr w14:paraId="220AB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FD538CA">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2</w:t>
            </w:r>
          </w:p>
        </w:tc>
        <w:tc>
          <w:tcPr>
            <w:tcW w:w="1134" w:type="dxa"/>
            <w:vAlign w:val="center"/>
          </w:tcPr>
          <w:p w14:paraId="11F094E6">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离子源</w:t>
            </w:r>
          </w:p>
        </w:tc>
        <w:tc>
          <w:tcPr>
            <w:tcW w:w="850" w:type="dxa"/>
            <w:vAlign w:val="center"/>
          </w:tcPr>
          <w:p w14:paraId="558CE42A">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w:t>
            </w:r>
          </w:p>
        </w:tc>
        <w:tc>
          <w:tcPr>
            <w:tcW w:w="4536" w:type="dxa"/>
            <w:vAlign w:val="center"/>
          </w:tcPr>
          <w:p w14:paraId="191A0A55">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szCs w:val="21"/>
              </w:rPr>
              <w:t>自激式全固态ICP离子源，频率稳定性≤±0.01%，功率范围为</w:t>
            </w:r>
            <w:r>
              <w:rPr>
                <w:rFonts w:hint="eastAsia" w:ascii="Times New Roman" w:hAnsi="Times New Roman" w:eastAsia="仿宋_GB2312" w:cs="Times New Roman"/>
                <w:szCs w:val="21"/>
              </w:rPr>
              <w:t>55</w:t>
            </w:r>
            <w:r>
              <w:rPr>
                <w:rFonts w:ascii="Times New Roman" w:hAnsi="Times New Roman" w:eastAsia="仿宋_GB2312" w:cs="Times New Roman"/>
                <w:szCs w:val="21"/>
              </w:rPr>
              <w:t>0-1600W连续可调。具备标准模式、碰撞反应模式以及冷等离子体模式，并能在一次样品分析中自动切换。</w:t>
            </w:r>
          </w:p>
        </w:tc>
        <w:tc>
          <w:tcPr>
            <w:tcW w:w="992" w:type="dxa"/>
            <w:vAlign w:val="center"/>
          </w:tcPr>
          <w:p w14:paraId="170B2803">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25B4F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075AFBA">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3</w:t>
            </w:r>
          </w:p>
        </w:tc>
        <w:tc>
          <w:tcPr>
            <w:tcW w:w="1134" w:type="dxa"/>
            <w:vAlign w:val="center"/>
          </w:tcPr>
          <w:p w14:paraId="0DE339FB">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等离子体</w:t>
            </w:r>
          </w:p>
        </w:tc>
        <w:tc>
          <w:tcPr>
            <w:tcW w:w="850" w:type="dxa"/>
            <w:vAlign w:val="center"/>
          </w:tcPr>
          <w:p w14:paraId="613409A1">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w:t>
            </w:r>
          </w:p>
        </w:tc>
        <w:tc>
          <w:tcPr>
            <w:tcW w:w="4536" w:type="dxa"/>
            <w:vAlign w:val="center"/>
          </w:tcPr>
          <w:p w14:paraId="24624F37">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szCs w:val="21"/>
              </w:rPr>
              <w:t>垂直炬管设计，分析高盐和高挥发性样品的耐受力更佳，降低氩气消耗，提升炬管、离子接口使用寿命；或一体式Mini炬管，等离子气 5L/min，辅助气 0.6L/min可保持等离子体稳定</w:t>
            </w:r>
          </w:p>
        </w:tc>
        <w:tc>
          <w:tcPr>
            <w:tcW w:w="992" w:type="dxa"/>
            <w:vAlign w:val="center"/>
          </w:tcPr>
          <w:p w14:paraId="6A85AFC5">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1265C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B00833B">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4</w:t>
            </w:r>
          </w:p>
        </w:tc>
        <w:tc>
          <w:tcPr>
            <w:tcW w:w="1134" w:type="dxa"/>
            <w:vAlign w:val="center"/>
          </w:tcPr>
          <w:p w14:paraId="4DB72881">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接口</w:t>
            </w:r>
          </w:p>
        </w:tc>
        <w:tc>
          <w:tcPr>
            <w:tcW w:w="850" w:type="dxa"/>
            <w:vAlign w:val="center"/>
          </w:tcPr>
          <w:p w14:paraId="0699ADF1">
            <w:pPr>
              <w:widowControl/>
              <w:adjustRightInd w:val="0"/>
              <w:snapToGrid w:val="0"/>
              <w:jc w:val="center"/>
              <w:rPr>
                <w:rFonts w:ascii="Times New Roman" w:hAnsi="Times New Roman" w:eastAsia="仿宋_GB2312" w:cs="Times New Roman"/>
                <w:szCs w:val="21"/>
              </w:rPr>
            </w:pPr>
          </w:p>
        </w:tc>
        <w:tc>
          <w:tcPr>
            <w:tcW w:w="4536" w:type="dxa"/>
            <w:vAlign w:val="center"/>
          </w:tcPr>
          <w:p w14:paraId="50B29831">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szCs w:val="21"/>
              </w:rPr>
              <w:t>翻转式换</w:t>
            </w:r>
            <w:r>
              <w:rPr>
                <w:rFonts w:hint="eastAsia" w:ascii="Times New Roman" w:hAnsi="Times New Roman" w:eastAsia="仿宋_GB2312" w:cs="Times New Roman"/>
                <w:szCs w:val="21"/>
              </w:rPr>
              <w:t>锥</w:t>
            </w:r>
            <w:r>
              <w:rPr>
                <w:rFonts w:ascii="Times New Roman" w:hAnsi="Times New Roman" w:eastAsia="仿宋_GB2312" w:cs="Times New Roman"/>
                <w:szCs w:val="21"/>
              </w:rPr>
              <w:t>，自带联锁保护，杜绝异常操作，无需移动炬室。</w:t>
            </w:r>
          </w:p>
        </w:tc>
        <w:tc>
          <w:tcPr>
            <w:tcW w:w="992" w:type="dxa"/>
            <w:vAlign w:val="center"/>
          </w:tcPr>
          <w:p w14:paraId="6E857EFE">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05553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552758D">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5</w:t>
            </w:r>
          </w:p>
        </w:tc>
        <w:tc>
          <w:tcPr>
            <w:tcW w:w="1134" w:type="dxa"/>
            <w:vAlign w:val="center"/>
          </w:tcPr>
          <w:p w14:paraId="27749577">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离子传输系统</w:t>
            </w:r>
          </w:p>
        </w:tc>
        <w:tc>
          <w:tcPr>
            <w:tcW w:w="850" w:type="dxa"/>
            <w:vAlign w:val="center"/>
          </w:tcPr>
          <w:p w14:paraId="3E96B7A5">
            <w:pPr>
              <w:widowControl/>
              <w:adjustRightInd w:val="0"/>
              <w:snapToGrid w:val="0"/>
              <w:jc w:val="center"/>
              <w:rPr>
                <w:rFonts w:ascii="Times New Roman" w:hAnsi="Times New Roman" w:eastAsia="仿宋_GB2312" w:cs="Times New Roman"/>
                <w:szCs w:val="21"/>
              </w:rPr>
            </w:pPr>
          </w:p>
        </w:tc>
        <w:tc>
          <w:tcPr>
            <w:tcW w:w="4536" w:type="dxa"/>
            <w:vAlign w:val="center"/>
          </w:tcPr>
          <w:p w14:paraId="370FFE5F">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szCs w:val="21"/>
              </w:rPr>
              <w:t>至少两次离轴设计，Q1四极杆前正交90°离轴设计，叠加碰撞池后离轴偏转。</w:t>
            </w:r>
          </w:p>
        </w:tc>
        <w:tc>
          <w:tcPr>
            <w:tcW w:w="992" w:type="dxa"/>
            <w:vAlign w:val="center"/>
          </w:tcPr>
          <w:p w14:paraId="7B9E5CA6">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3078C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1992940">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6</w:t>
            </w:r>
          </w:p>
        </w:tc>
        <w:tc>
          <w:tcPr>
            <w:tcW w:w="1134" w:type="dxa"/>
            <w:vAlign w:val="center"/>
          </w:tcPr>
          <w:p w14:paraId="5BD059E9">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碰撞反应池</w:t>
            </w:r>
          </w:p>
        </w:tc>
        <w:tc>
          <w:tcPr>
            <w:tcW w:w="850" w:type="dxa"/>
            <w:vAlign w:val="center"/>
          </w:tcPr>
          <w:p w14:paraId="63161B6E">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w:t>
            </w:r>
          </w:p>
        </w:tc>
        <w:tc>
          <w:tcPr>
            <w:tcW w:w="4536" w:type="dxa"/>
            <w:vAlign w:val="center"/>
          </w:tcPr>
          <w:p w14:paraId="6227385B">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szCs w:val="21"/>
              </w:rPr>
              <w:t>采用八极杆碰撞反应池系统，具有轴向加速功能，能够将反应气分子撞击后的低动能离子聚焦、加速，提高反应模式下灵敏度。</w:t>
            </w:r>
          </w:p>
        </w:tc>
        <w:tc>
          <w:tcPr>
            <w:tcW w:w="992" w:type="dxa"/>
            <w:vAlign w:val="center"/>
          </w:tcPr>
          <w:p w14:paraId="15A9DC65">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12F79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988" w:type="dxa"/>
            <w:vAlign w:val="center"/>
          </w:tcPr>
          <w:p w14:paraId="2375E087">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7</w:t>
            </w:r>
          </w:p>
        </w:tc>
        <w:tc>
          <w:tcPr>
            <w:tcW w:w="1134" w:type="dxa"/>
            <w:vAlign w:val="center"/>
          </w:tcPr>
          <w:p w14:paraId="7C33685E">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检测器</w:t>
            </w:r>
          </w:p>
        </w:tc>
        <w:tc>
          <w:tcPr>
            <w:tcW w:w="850" w:type="dxa"/>
            <w:vAlign w:val="center"/>
          </w:tcPr>
          <w:p w14:paraId="5B37C95F">
            <w:pPr>
              <w:widowControl/>
              <w:adjustRightInd w:val="0"/>
              <w:snapToGrid w:val="0"/>
              <w:jc w:val="center"/>
              <w:rPr>
                <w:rFonts w:ascii="Times New Roman" w:hAnsi="Times New Roman" w:eastAsia="仿宋_GB2312" w:cs="Times New Roman"/>
                <w:szCs w:val="21"/>
              </w:rPr>
            </w:pPr>
          </w:p>
        </w:tc>
        <w:tc>
          <w:tcPr>
            <w:tcW w:w="4536" w:type="dxa"/>
            <w:vAlign w:val="center"/>
          </w:tcPr>
          <w:p w14:paraId="063518A8">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szCs w:val="21"/>
              </w:rPr>
              <w:t>脉冲/模拟双模式不连续打拿极电子倍增器，提供不少于9个数量级的动态范围。</w:t>
            </w:r>
          </w:p>
        </w:tc>
        <w:tc>
          <w:tcPr>
            <w:tcW w:w="992" w:type="dxa"/>
            <w:vAlign w:val="center"/>
          </w:tcPr>
          <w:p w14:paraId="3DFFA206">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1FBE9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F07CD0F">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8</w:t>
            </w:r>
          </w:p>
        </w:tc>
        <w:tc>
          <w:tcPr>
            <w:tcW w:w="1134" w:type="dxa"/>
            <w:vAlign w:val="center"/>
          </w:tcPr>
          <w:p w14:paraId="29528FE4">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等离子体观测</w:t>
            </w:r>
          </w:p>
        </w:tc>
        <w:tc>
          <w:tcPr>
            <w:tcW w:w="850" w:type="dxa"/>
            <w:vAlign w:val="center"/>
          </w:tcPr>
          <w:p w14:paraId="5F66F6B1">
            <w:pPr>
              <w:widowControl/>
              <w:adjustRightInd w:val="0"/>
              <w:snapToGrid w:val="0"/>
              <w:jc w:val="center"/>
              <w:rPr>
                <w:rFonts w:ascii="Times New Roman" w:hAnsi="Times New Roman" w:eastAsia="仿宋_GB2312" w:cs="Times New Roman"/>
                <w:szCs w:val="21"/>
              </w:rPr>
            </w:pPr>
          </w:p>
        </w:tc>
        <w:tc>
          <w:tcPr>
            <w:tcW w:w="4536" w:type="dxa"/>
            <w:vAlign w:val="center"/>
          </w:tcPr>
          <w:p w14:paraId="0C12CE7A">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szCs w:val="21"/>
              </w:rPr>
              <w:t>等离子体彩色摄像头：具有带电磁屏蔽的等离子体实时观测功能。</w:t>
            </w:r>
          </w:p>
        </w:tc>
        <w:tc>
          <w:tcPr>
            <w:tcW w:w="992" w:type="dxa"/>
            <w:vAlign w:val="center"/>
          </w:tcPr>
          <w:p w14:paraId="4887E08F">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0F2EB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DBF5E81">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9</w:t>
            </w:r>
          </w:p>
        </w:tc>
        <w:tc>
          <w:tcPr>
            <w:tcW w:w="1134" w:type="dxa"/>
            <w:vAlign w:val="center"/>
          </w:tcPr>
          <w:p w14:paraId="61996C87">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激光剥蚀联用</w:t>
            </w:r>
          </w:p>
        </w:tc>
        <w:tc>
          <w:tcPr>
            <w:tcW w:w="850" w:type="dxa"/>
            <w:vAlign w:val="center"/>
          </w:tcPr>
          <w:p w14:paraId="55E56603">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w:t>
            </w:r>
          </w:p>
        </w:tc>
        <w:tc>
          <w:tcPr>
            <w:tcW w:w="4536" w:type="dxa"/>
            <w:vAlign w:val="center"/>
          </w:tcPr>
          <w:p w14:paraId="5C875B4D">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szCs w:val="21"/>
              </w:rPr>
              <w:t>具备</w:t>
            </w:r>
            <w:r>
              <w:rPr>
                <w:rFonts w:hint="eastAsia" w:ascii="Times New Roman" w:hAnsi="Times New Roman" w:eastAsia="仿宋_GB2312" w:cs="Times New Roman"/>
                <w:szCs w:val="21"/>
              </w:rPr>
              <w:t>与激光剥蚀联用接口，并具有激光剥蚀联用</w:t>
            </w:r>
            <w:r>
              <w:rPr>
                <w:rFonts w:ascii="Times New Roman" w:hAnsi="Times New Roman" w:eastAsia="仿宋_GB2312" w:cs="Times New Roman"/>
                <w:szCs w:val="21"/>
              </w:rPr>
              <w:t>软件</w:t>
            </w:r>
          </w:p>
        </w:tc>
        <w:tc>
          <w:tcPr>
            <w:tcW w:w="992" w:type="dxa"/>
            <w:vAlign w:val="center"/>
          </w:tcPr>
          <w:p w14:paraId="4FC68D7C">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3C724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988" w:type="dxa"/>
            <w:vAlign w:val="center"/>
          </w:tcPr>
          <w:p w14:paraId="0E838344">
            <w:pPr>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10</w:t>
            </w:r>
          </w:p>
        </w:tc>
        <w:tc>
          <w:tcPr>
            <w:tcW w:w="1134" w:type="dxa"/>
            <w:vAlign w:val="center"/>
          </w:tcPr>
          <w:p w14:paraId="664F81D8">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稳定性</w:t>
            </w:r>
          </w:p>
        </w:tc>
        <w:tc>
          <w:tcPr>
            <w:tcW w:w="850" w:type="dxa"/>
            <w:vAlign w:val="center"/>
          </w:tcPr>
          <w:p w14:paraId="133539E0">
            <w:pPr>
              <w:widowControl/>
              <w:adjustRightInd w:val="0"/>
              <w:snapToGrid w:val="0"/>
              <w:jc w:val="center"/>
              <w:rPr>
                <w:rFonts w:ascii="Times New Roman" w:hAnsi="Times New Roman" w:eastAsia="仿宋_GB2312" w:cs="Times New Roman"/>
                <w:szCs w:val="21"/>
              </w:rPr>
            </w:pPr>
            <w:r>
              <w:rPr>
                <w:rFonts w:ascii="Segoe UI Symbol" w:hAnsi="Segoe UI Symbol" w:eastAsia="仿宋_GB2312" w:cs="Segoe UI Symbol"/>
                <w:szCs w:val="21"/>
              </w:rPr>
              <w:t>★</w:t>
            </w:r>
          </w:p>
        </w:tc>
        <w:tc>
          <w:tcPr>
            <w:tcW w:w="4536" w:type="dxa"/>
            <w:vAlign w:val="center"/>
          </w:tcPr>
          <w:p w14:paraId="7BFA0A42">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szCs w:val="21"/>
              </w:rPr>
              <w:t>短期稳定性：20分钟稳定性RSD均≤2%；长期稳定性：2小时稳定性RSD均≤3%。</w:t>
            </w:r>
          </w:p>
        </w:tc>
        <w:tc>
          <w:tcPr>
            <w:tcW w:w="992" w:type="dxa"/>
            <w:vAlign w:val="center"/>
          </w:tcPr>
          <w:p w14:paraId="4268758C">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是</w:t>
            </w:r>
          </w:p>
        </w:tc>
      </w:tr>
      <w:tr w14:paraId="66682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63AE923">
            <w:pPr>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11</w:t>
            </w:r>
          </w:p>
        </w:tc>
        <w:tc>
          <w:tcPr>
            <w:tcW w:w="1134" w:type="dxa"/>
            <w:vAlign w:val="center"/>
          </w:tcPr>
          <w:p w14:paraId="1D0EA761">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灵敏度</w:t>
            </w:r>
          </w:p>
        </w:tc>
        <w:tc>
          <w:tcPr>
            <w:tcW w:w="850" w:type="dxa"/>
            <w:vAlign w:val="center"/>
          </w:tcPr>
          <w:p w14:paraId="5637E88A">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w:t>
            </w:r>
          </w:p>
        </w:tc>
        <w:tc>
          <w:tcPr>
            <w:tcW w:w="4536" w:type="dxa"/>
            <w:vAlign w:val="center"/>
          </w:tcPr>
          <w:p w14:paraId="39E0C7BB">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szCs w:val="21"/>
              </w:rPr>
              <w:t>7Li的灵敏度应≥100 Mcps/ppm，115In的灵敏度应≥350 Mcps/ppm， 238U的灵敏度≥350 Mcps/ppm。</w:t>
            </w:r>
          </w:p>
        </w:tc>
        <w:tc>
          <w:tcPr>
            <w:tcW w:w="992" w:type="dxa"/>
            <w:vAlign w:val="center"/>
          </w:tcPr>
          <w:p w14:paraId="7F5B235A">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是</w:t>
            </w:r>
          </w:p>
        </w:tc>
      </w:tr>
      <w:tr w14:paraId="48F42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457C5D3C">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w:t>
            </w:r>
            <w:r>
              <w:rPr>
                <w:rFonts w:hint="eastAsia" w:ascii="Times New Roman" w:hAnsi="Times New Roman" w:eastAsia="仿宋_GB2312" w:cs="Times New Roman"/>
                <w:szCs w:val="21"/>
              </w:rPr>
              <w:t>2</w:t>
            </w:r>
          </w:p>
        </w:tc>
        <w:tc>
          <w:tcPr>
            <w:tcW w:w="1134" w:type="dxa"/>
            <w:vAlign w:val="center"/>
          </w:tcPr>
          <w:p w14:paraId="4F119D43">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检出限：</w:t>
            </w:r>
          </w:p>
        </w:tc>
        <w:tc>
          <w:tcPr>
            <w:tcW w:w="850" w:type="dxa"/>
            <w:vAlign w:val="center"/>
          </w:tcPr>
          <w:p w14:paraId="71CB04B4">
            <w:pPr>
              <w:widowControl/>
              <w:adjustRightInd w:val="0"/>
              <w:snapToGrid w:val="0"/>
              <w:jc w:val="center"/>
              <w:rPr>
                <w:rFonts w:ascii="Times New Roman" w:hAnsi="Times New Roman" w:eastAsia="仿宋_GB2312" w:cs="Times New Roman"/>
                <w:szCs w:val="21"/>
              </w:rPr>
            </w:pPr>
            <w:r>
              <w:rPr>
                <w:rFonts w:ascii="Segoe UI Symbol" w:hAnsi="Segoe UI Symbol" w:eastAsia="仿宋_GB2312" w:cs="Segoe UI Symbol"/>
                <w:szCs w:val="21"/>
              </w:rPr>
              <w:t>★</w:t>
            </w:r>
          </w:p>
        </w:tc>
        <w:tc>
          <w:tcPr>
            <w:tcW w:w="4536" w:type="dxa"/>
            <w:vAlign w:val="center"/>
          </w:tcPr>
          <w:p w14:paraId="148066C7">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szCs w:val="21"/>
              </w:rPr>
              <w:t>低质量数&lt; 0.</w:t>
            </w:r>
            <w:r>
              <w:rPr>
                <w:rFonts w:hint="eastAsia" w:ascii="Times New Roman" w:hAnsi="Times New Roman" w:eastAsia="仿宋_GB2312" w:cs="Times New Roman"/>
                <w:szCs w:val="21"/>
              </w:rPr>
              <w:t>2</w:t>
            </w:r>
            <w:r>
              <w:rPr>
                <w:rFonts w:ascii="Times New Roman" w:hAnsi="Times New Roman" w:eastAsia="仿宋_GB2312" w:cs="Times New Roman"/>
                <w:szCs w:val="21"/>
              </w:rPr>
              <w:t>5ppt；中质量数&lt; 0.1ppt；高质量数&lt; 0.1ppt</w:t>
            </w:r>
          </w:p>
        </w:tc>
        <w:tc>
          <w:tcPr>
            <w:tcW w:w="992" w:type="dxa"/>
            <w:vAlign w:val="center"/>
          </w:tcPr>
          <w:p w14:paraId="1CF39DA9">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是</w:t>
            </w:r>
          </w:p>
        </w:tc>
      </w:tr>
      <w:tr w14:paraId="7660C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A759D1E">
            <w:pPr>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13</w:t>
            </w:r>
          </w:p>
        </w:tc>
        <w:tc>
          <w:tcPr>
            <w:tcW w:w="1134" w:type="dxa"/>
            <w:vAlign w:val="center"/>
          </w:tcPr>
          <w:p w14:paraId="6D196136">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双电荷离子和氧化物离子</w:t>
            </w:r>
          </w:p>
        </w:tc>
        <w:tc>
          <w:tcPr>
            <w:tcW w:w="850" w:type="dxa"/>
            <w:vAlign w:val="center"/>
          </w:tcPr>
          <w:p w14:paraId="01B3423E">
            <w:pPr>
              <w:widowControl/>
              <w:adjustRightInd w:val="0"/>
              <w:snapToGrid w:val="0"/>
              <w:jc w:val="center"/>
              <w:rPr>
                <w:rFonts w:ascii="Times New Roman" w:hAnsi="Times New Roman" w:eastAsia="仿宋_GB2312" w:cs="Times New Roman"/>
                <w:szCs w:val="21"/>
              </w:rPr>
            </w:pPr>
            <w:r>
              <w:rPr>
                <w:rFonts w:ascii="Segoe UI Symbol" w:hAnsi="Segoe UI Symbol" w:eastAsia="仿宋_GB2312" w:cs="Segoe UI Symbol"/>
                <w:szCs w:val="21"/>
              </w:rPr>
              <w:t>★</w:t>
            </w:r>
          </w:p>
        </w:tc>
        <w:tc>
          <w:tcPr>
            <w:tcW w:w="4536" w:type="dxa"/>
            <w:vAlign w:val="center"/>
          </w:tcPr>
          <w:p w14:paraId="5500EE1C">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szCs w:val="21"/>
              </w:rPr>
              <w:t>Ce++/ Ce+低于3.0％，CeO+/Ce+的低于1.5％。</w:t>
            </w:r>
          </w:p>
        </w:tc>
        <w:tc>
          <w:tcPr>
            <w:tcW w:w="992" w:type="dxa"/>
            <w:vAlign w:val="center"/>
          </w:tcPr>
          <w:p w14:paraId="1FBB7ABF">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是</w:t>
            </w:r>
          </w:p>
        </w:tc>
      </w:tr>
      <w:tr w14:paraId="00D59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90B3121">
            <w:pPr>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14</w:t>
            </w:r>
          </w:p>
        </w:tc>
        <w:tc>
          <w:tcPr>
            <w:tcW w:w="1134" w:type="dxa"/>
            <w:vAlign w:val="center"/>
          </w:tcPr>
          <w:p w14:paraId="3D68B680">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背景稳定性</w:t>
            </w:r>
          </w:p>
        </w:tc>
        <w:tc>
          <w:tcPr>
            <w:tcW w:w="850" w:type="dxa"/>
            <w:vAlign w:val="center"/>
          </w:tcPr>
          <w:p w14:paraId="752E1B8C">
            <w:pPr>
              <w:widowControl/>
              <w:adjustRightInd w:val="0"/>
              <w:snapToGrid w:val="0"/>
              <w:jc w:val="center"/>
              <w:rPr>
                <w:rFonts w:ascii="Times New Roman" w:hAnsi="Times New Roman" w:eastAsia="仿宋_GB2312" w:cs="Times New Roman"/>
                <w:szCs w:val="21"/>
              </w:rPr>
            </w:pPr>
          </w:p>
        </w:tc>
        <w:tc>
          <w:tcPr>
            <w:tcW w:w="4536" w:type="dxa"/>
            <w:vAlign w:val="center"/>
          </w:tcPr>
          <w:p w14:paraId="04E3BBE7">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szCs w:val="21"/>
              </w:rPr>
              <w:t>定义为220 amu处背景信号的平均值，低于1cps。</w:t>
            </w:r>
          </w:p>
        </w:tc>
        <w:tc>
          <w:tcPr>
            <w:tcW w:w="992" w:type="dxa"/>
            <w:vAlign w:val="center"/>
          </w:tcPr>
          <w:p w14:paraId="2FAC5214">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37262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CE24B60">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w:t>
            </w:r>
            <w:r>
              <w:rPr>
                <w:rFonts w:hint="eastAsia" w:ascii="Times New Roman" w:hAnsi="Times New Roman" w:eastAsia="仿宋_GB2312" w:cs="Times New Roman"/>
                <w:szCs w:val="21"/>
              </w:rPr>
              <w:t>5</w:t>
            </w:r>
          </w:p>
        </w:tc>
        <w:tc>
          <w:tcPr>
            <w:tcW w:w="1134" w:type="dxa"/>
            <w:vAlign w:val="center"/>
          </w:tcPr>
          <w:p w14:paraId="3072556E">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丰度灵敏度：</w:t>
            </w:r>
          </w:p>
        </w:tc>
        <w:tc>
          <w:tcPr>
            <w:tcW w:w="850" w:type="dxa"/>
            <w:vAlign w:val="center"/>
          </w:tcPr>
          <w:p w14:paraId="2D441ABE">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w:t>
            </w:r>
          </w:p>
        </w:tc>
        <w:tc>
          <w:tcPr>
            <w:tcW w:w="4536" w:type="dxa"/>
            <w:vAlign w:val="center"/>
          </w:tcPr>
          <w:p w14:paraId="28C2A894">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szCs w:val="21"/>
              </w:rPr>
              <w:t>&lt; 0.005 ppm（5×10-</w:t>
            </w:r>
            <w:r>
              <w:rPr>
                <w:rFonts w:hint="eastAsia" w:ascii="Times New Roman" w:hAnsi="Times New Roman" w:eastAsia="仿宋_GB2312" w:cs="Times New Roman"/>
                <w:szCs w:val="21"/>
              </w:rPr>
              <w:t>9</w:t>
            </w:r>
            <w:r>
              <w:rPr>
                <w:rFonts w:ascii="Times New Roman" w:hAnsi="Times New Roman" w:eastAsia="仿宋_GB2312" w:cs="Times New Roman"/>
                <w:szCs w:val="21"/>
              </w:rPr>
              <w:t>）</w:t>
            </w:r>
          </w:p>
        </w:tc>
        <w:tc>
          <w:tcPr>
            <w:tcW w:w="992" w:type="dxa"/>
            <w:vAlign w:val="center"/>
          </w:tcPr>
          <w:p w14:paraId="4ECA04C7">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是</w:t>
            </w:r>
          </w:p>
        </w:tc>
      </w:tr>
      <w:tr w14:paraId="0C570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988" w:type="dxa"/>
            <w:vAlign w:val="center"/>
          </w:tcPr>
          <w:p w14:paraId="00C4C430">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16</w:t>
            </w:r>
          </w:p>
        </w:tc>
        <w:tc>
          <w:tcPr>
            <w:tcW w:w="1134" w:type="dxa"/>
            <w:vAlign w:val="center"/>
          </w:tcPr>
          <w:p w14:paraId="17A703F0">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质量范围</w:t>
            </w:r>
          </w:p>
        </w:tc>
        <w:tc>
          <w:tcPr>
            <w:tcW w:w="850" w:type="dxa"/>
            <w:vAlign w:val="center"/>
          </w:tcPr>
          <w:p w14:paraId="7D4EBEE3">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w:t>
            </w:r>
          </w:p>
        </w:tc>
        <w:tc>
          <w:tcPr>
            <w:tcW w:w="4536" w:type="dxa"/>
            <w:vAlign w:val="center"/>
          </w:tcPr>
          <w:p w14:paraId="50FE18B7">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szCs w:val="21"/>
              </w:rPr>
              <w:t>覆盖2-300 amu。</w:t>
            </w:r>
          </w:p>
        </w:tc>
        <w:tc>
          <w:tcPr>
            <w:tcW w:w="992" w:type="dxa"/>
            <w:vAlign w:val="center"/>
          </w:tcPr>
          <w:p w14:paraId="3F070BA8">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09480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4CE67756">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w:t>
            </w:r>
            <w:r>
              <w:rPr>
                <w:rFonts w:hint="eastAsia" w:ascii="Times New Roman" w:hAnsi="Times New Roman" w:eastAsia="仿宋_GB2312" w:cs="Times New Roman"/>
                <w:szCs w:val="21"/>
              </w:rPr>
              <w:t>7</w:t>
            </w:r>
          </w:p>
        </w:tc>
        <w:tc>
          <w:tcPr>
            <w:tcW w:w="1134" w:type="dxa"/>
            <w:vAlign w:val="center"/>
          </w:tcPr>
          <w:p w14:paraId="407CEC65">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质量轴稳定性</w:t>
            </w:r>
          </w:p>
        </w:tc>
        <w:tc>
          <w:tcPr>
            <w:tcW w:w="850" w:type="dxa"/>
            <w:vAlign w:val="center"/>
          </w:tcPr>
          <w:p w14:paraId="1385A37B">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w:t>
            </w:r>
          </w:p>
        </w:tc>
        <w:tc>
          <w:tcPr>
            <w:tcW w:w="4536" w:type="dxa"/>
            <w:vAlign w:val="center"/>
          </w:tcPr>
          <w:p w14:paraId="08DD4F6C">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szCs w:val="21"/>
              </w:rPr>
              <w:t>&lt; 0.05 amu/24h</w:t>
            </w:r>
          </w:p>
        </w:tc>
        <w:tc>
          <w:tcPr>
            <w:tcW w:w="992" w:type="dxa"/>
            <w:vAlign w:val="center"/>
          </w:tcPr>
          <w:p w14:paraId="2D3C9C61">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是</w:t>
            </w:r>
          </w:p>
        </w:tc>
      </w:tr>
      <w:tr w14:paraId="5B8EB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C32470B">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w:t>
            </w:r>
            <w:r>
              <w:rPr>
                <w:rFonts w:hint="eastAsia" w:ascii="Times New Roman" w:hAnsi="Times New Roman" w:eastAsia="仿宋_GB2312" w:cs="Times New Roman"/>
                <w:szCs w:val="21"/>
              </w:rPr>
              <w:t>8</w:t>
            </w:r>
          </w:p>
        </w:tc>
        <w:tc>
          <w:tcPr>
            <w:tcW w:w="1134" w:type="dxa"/>
            <w:vAlign w:val="center"/>
          </w:tcPr>
          <w:p w14:paraId="1FDC3A34">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质量分辨率</w:t>
            </w:r>
          </w:p>
        </w:tc>
        <w:tc>
          <w:tcPr>
            <w:tcW w:w="850" w:type="dxa"/>
            <w:vAlign w:val="center"/>
          </w:tcPr>
          <w:p w14:paraId="5EB1A21F">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w:t>
            </w:r>
          </w:p>
        </w:tc>
        <w:tc>
          <w:tcPr>
            <w:tcW w:w="4536" w:type="dxa"/>
            <w:vAlign w:val="center"/>
          </w:tcPr>
          <w:p w14:paraId="5FA5792B">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szCs w:val="21"/>
              </w:rPr>
              <w:t>具有高分辨和标准分辨率两种模式，调节范围0.3-3.0amu，连续可调，可以在一次方法分析过程中同时使用两种模式，以便通过变化分辨率扩大样品分析应用范围。</w:t>
            </w:r>
          </w:p>
        </w:tc>
        <w:tc>
          <w:tcPr>
            <w:tcW w:w="992" w:type="dxa"/>
            <w:vAlign w:val="center"/>
          </w:tcPr>
          <w:p w14:paraId="6A2654C3">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501CC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E085FE5">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w:t>
            </w:r>
            <w:r>
              <w:rPr>
                <w:rFonts w:hint="eastAsia" w:ascii="Times New Roman" w:hAnsi="Times New Roman" w:eastAsia="仿宋_GB2312" w:cs="Times New Roman"/>
                <w:szCs w:val="21"/>
              </w:rPr>
              <w:t>9</w:t>
            </w:r>
          </w:p>
        </w:tc>
        <w:tc>
          <w:tcPr>
            <w:tcW w:w="1134" w:type="dxa"/>
            <w:vAlign w:val="center"/>
          </w:tcPr>
          <w:p w14:paraId="725394DA">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同位素比精密度</w:t>
            </w:r>
          </w:p>
        </w:tc>
        <w:tc>
          <w:tcPr>
            <w:tcW w:w="850" w:type="dxa"/>
            <w:vAlign w:val="center"/>
          </w:tcPr>
          <w:p w14:paraId="0B826609">
            <w:pPr>
              <w:widowControl/>
              <w:adjustRightInd w:val="0"/>
              <w:snapToGrid w:val="0"/>
              <w:jc w:val="center"/>
              <w:rPr>
                <w:rFonts w:ascii="Times New Roman" w:hAnsi="Times New Roman" w:eastAsia="仿宋_GB2312" w:cs="Times New Roman"/>
                <w:szCs w:val="21"/>
              </w:rPr>
            </w:pPr>
            <w:r>
              <w:rPr>
                <w:rFonts w:ascii="Segoe UI Symbol" w:hAnsi="Segoe UI Symbol" w:eastAsia="仿宋_GB2312" w:cs="Segoe UI Symbol"/>
                <w:szCs w:val="21"/>
              </w:rPr>
              <w:t>★</w:t>
            </w:r>
          </w:p>
        </w:tc>
        <w:tc>
          <w:tcPr>
            <w:tcW w:w="4536" w:type="dxa"/>
            <w:vAlign w:val="center"/>
          </w:tcPr>
          <w:p w14:paraId="24911E0B">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szCs w:val="21"/>
              </w:rPr>
              <w:t>&lt; 0.2% （107Ag/109Ag）</w:t>
            </w:r>
          </w:p>
        </w:tc>
        <w:tc>
          <w:tcPr>
            <w:tcW w:w="992" w:type="dxa"/>
            <w:vAlign w:val="center"/>
          </w:tcPr>
          <w:p w14:paraId="6E3A5D5E">
            <w:pPr>
              <w:widowControl/>
              <w:adjustRightInd w:val="0"/>
              <w:snapToGrid w:val="0"/>
              <w:jc w:val="center"/>
              <w:rPr>
                <w:rFonts w:ascii="Times New Roman" w:hAnsi="Times New Roman" w:eastAsia="仿宋_GB2312" w:cs="Times New Roman"/>
                <w:szCs w:val="21"/>
              </w:rPr>
            </w:pPr>
            <w:r>
              <w:rPr>
                <w:rFonts w:hint="eastAsia" w:ascii="Times New Roman" w:hAnsi="Times New Roman" w:eastAsia="仿宋_GB2312" w:cs="Times New Roman"/>
                <w:szCs w:val="21"/>
              </w:rPr>
              <w:t>是</w:t>
            </w:r>
          </w:p>
        </w:tc>
      </w:tr>
    </w:tbl>
    <w:p w14:paraId="7A72C253">
      <w:pPr>
        <w:autoSpaceDE w:val="0"/>
        <w:autoSpaceDN w:val="0"/>
        <w:adjustRightInd w:val="0"/>
        <w:snapToGrid w:val="0"/>
        <w:spacing w:before="156" w:beforeLines="50" w:line="360" w:lineRule="auto"/>
        <w:jc w:val="left"/>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说明：</w:t>
      </w:r>
    </w:p>
    <w:p w14:paraId="1F95E1BD">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1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①</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重要性可用“★”“#”表示，“★”代表关键指标，不满足该指标项将导致响应被拒绝；“#”代表重要指标；无标识则表示属一般指标项。</w:t>
      </w:r>
    </w:p>
    <w:p w14:paraId="5401E59A">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2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②</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r>
        <w:rPr>
          <w:rFonts w:ascii="仿宋_GB2312" w:hAnsi="宋体" w:eastAsia="仿宋_GB2312" w:cs="宋体"/>
          <w:snapToGrid w:val="0"/>
          <w:kern w:val="0"/>
          <w:sz w:val="24"/>
          <w:szCs w:val="24"/>
          <w:lang w:val="zh-CN"/>
        </w:rPr>
        <w:t>填写“否”的提供技术参数偏离表或承诺响应，未提供或提供的偏离表中或承诺有负偏离的，则该指标按不满足处理。若供应商偏离表中与响应文件所列证明材料内容不一致时，将以证明材料内容为准进行评审。</w:t>
      </w:r>
    </w:p>
    <w:p w14:paraId="67D22BE5">
      <w:pPr>
        <w:widowControl/>
        <w:shd w:val="clear" w:color="auto" w:fill="FFFFFF"/>
        <w:spacing w:before="156" w:beforeLines="50" w:line="360" w:lineRule="auto"/>
        <w:jc w:val="center"/>
        <w:rPr>
          <w:rFonts w:hint="eastAsia"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（二）</w:t>
      </w:r>
      <w:r>
        <w:rPr>
          <w:rFonts w:ascii="仿宋_GB2312" w:hAnsi="宋体" w:eastAsia="仿宋_GB2312" w:cs="仿宋"/>
          <w:color w:val="000000"/>
          <w:kern w:val="0"/>
          <w:sz w:val="28"/>
          <w:szCs w:val="28"/>
          <w:shd w:val="clear" w:color="auto" w:fill="FFFFFF"/>
        </w:rPr>
        <w:t>电感耦合等离子体飞行时间质谱仪</w:t>
      </w:r>
      <w:r>
        <w:rPr>
          <w:rFonts w:hint="eastAsia" w:ascii="仿宋_GB2312" w:hAnsi="宋体" w:eastAsia="仿宋_GB2312" w:cs="仿宋"/>
          <w:color w:val="000000"/>
          <w:kern w:val="0"/>
          <w:sz w:val="28"/>
          <w:szCs w:val="28"/>
          <w:shd w:val="clear" w:color="auto" w:fill="FFFFFF"/>
        </w:rPr>
        <w:t>（1台）</w:t>
      </w:r>
    </w:p>
    <w:p w14:paraId="04EAE010">
      <w:pPr>
        <w:widowControl/>
        <w:shd w:val="clear" w:color="auto" w:fill="FFFFFF"/>
        <w:spacing w:line="360" w:lineRule="auto"/>
        <w:ind w:firstLine="482" w:firstLineChars="200"/>
        <w:jc w:val="left"/>
        <w:rPr>
          <w:rFonts w:ascii="Times New Roman" w:hAnsi="Times New Roman" w:eastAsia="仿宋_GB2312" w:cs="Times New Roman"/>
          <w:b/>
          <w:bCs/>
          <w:i/>
          <w:iCs/>
          <w:sz w:val="24"/>
          <w:szCs w:val="24"/>
        </w:rPr>
      </w:pPr>
      <w:r>
        <w:rPr>
          <w:rFonts w:ascii="Times New Roman" w:hAnsi="Times New Roman" w:eastAsia="仿宋_GB2312" w:cs="Times New Roman"/>
          <w:b/>
          <w:bCs/>
          <w:sz w:val="24"/>
          <w:szCs w:val="24"/>
        </w:rPr>
        <w:t>1.功能要求：</w:t>
      </w:r>
    </w:p>
    <w:p w14:paraId="41A2808E">
      <w:pPr>
        <w:widowControl/>
        <w:shd w:val="clear" w:color="auto" w:fill="FFFFFF"/>
        <w:spacing w:line="360" w:lineRule="auto"/>
        <w:ind w:firstLine="480" w:firstLineChars="200"/>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电感耦合等离子体飞行时间质谱仪将激光剥蚀系统联用，搭建全新的“激光飞行时间质谱成像系统”。实现快速完成矿床样品、复杂地质样品、环境样品等多种物质的大尺度元素成像，具有成像时间更短，空间分辨率更高等优点，拓展了成岩成矿过程的元素分配机制的相关研究。</w:t>
      </w:r>
    </w:p>
    <w:p w14:paraId="122AB103">
      <w:pPr>
        <w:widowControl/>
        <w:shd w:val="clear" w:color="auto" w:fill="FFFFFF"/>
        <w:spacing w:line="360" w:lineRule="auto"/>
        <w:ind w:firstLine="480" w:firstLineChars="200"/>
        <w:rPr>
          <w:rFonts w:hint="eastAsia" w:ascii="仿宋_GB2312" w:hAnsi="宋体" w:eastAsia="仿宋_GB2312"/>
          <w:sz w:val="24"/>
          <w:szCs w:val="24"/>
        </w:rPr>
      </w:pPr>
      <w:r>
        <w:rPr>
          <w:rFonts w:ascii="Times New Roman" w:hAnsi="Times New Roman" w:eastAsia="仿宋_GB2312" w:cs="Times New Roman"/>
          <w:sz w:val="24"/>
          <w:szCs w:val="24"/>
        </w:rPr>
        <w:t>本设备用于支撑</w:t>
      </w:r>
      <w:r>
        <w:rPr>
          <w:rFonts w:hint="eastAsia" w:ascii="仿宋_GB2312" w:hAnsi="宋体" w:eastAsia="仿宋_GB2312"/>
          <w:sz w:val="24"/>
          <w:szCs w:val="24"/>
        </w:rPr>
        <w:t>地质学、矿物学、岩石学及矿床学领域的教学与科研，重点服务于</w:t>
      </w:r>
      <w:r>
        <w:rPr>
          <w:rFonts w:ascii="仿宋_GB2312" w:hAnsi="宋体" w:eastAsia="仿宋_GB2312"/>
          <w:sz w:val="24"/>
          <w:szCs w:val="24"/>
        </w:rPr>
        <w:t>《地学现代技术》、《大型仪器分析基础与实践》、《分析地球化学》的教学和实践内容</w:t>
      </w:r>
      <w:r>
        <w:rPr>
          <w:rFonts w:hint="eastAsia" w:ascii="仿宋_GB2312" w:hAnsi="宋体" w:eastAsia="仿宋_GB2312"/>
          <w:sz w:val="24"/>
          <w:szCs w:val="24"/>
        </w:rPr>
        <w:t>，满足本科生、研究生论文研究的测试需求。</w:t>
      </w:r>
    </w:p>
    <w:p w14:paraId="0AD58960">
      <w:pPr>
        <w:widowControl/>
        <w:shd w:val="clear" w:color="auto" w:fill="FFFFFF"/>
        <w:spacing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该设备能实现：</w:t>
      </w:r>
      <w:r>
        <w:rPr>
          <w:rFonts w:ascii="仿宋_GB2312" w:hAnsi="宋体" w:eastAsia="仿宋_GB2312"/>
          <w:sz w:val="24"/>
          <w:szCs w:val="24"/>
        </w:rPr>
        <w:t>电感耦合等离子体飞行时间质谱仪将激光剥蚀系统联用，搭建全新的“激光飞行时间质谱成像系统”。实现快速完成矿床样品、复杂地质样品、环境样品等多种物质的大尺度元素成像，具有成像时间更短，空间分辨率更高等优点，拓展了成岩成矿过程的元素分配机制的相关研究</w:t>
      </w:r>
      <w:r>
        <w:rPr>
          <w:rFonts w:hint="eastAsia" w:ascii="仿宋_GB2312" w:hAnsi="宋体" w:eastAsia="仿宋_GB2312"/>
          <w:sz w:val="24"/>
          <w:szCs w:val="24"/>
        </w:rPr>
        <w:t>。</w:t>
      </w:r>
      <w:r>
        <w:rPr>
          <w:rFonts w:ascii="仿宋_GB2312" w:hAnsi="宋体" w:eastAsia="仿宋_GB2312"/>
          <w:sz w:val="24"/>
          <w:szCs w:val="24"/>
        </w:rPr>
        <w:t>为复杂地质演化与成矿作用研究提供技术支撑，助力解决地球科学和矿床学研究的核心科学问题</w:t>
      </w:r>
    </w:p>
    <w:p w14:paraId="55F7B4E7">
      <w:pPr>
        <w:widowControl/>
        <w:shd w:val="clear" w:color="auto" w:fill="FFFFFF"/>
        <w:spacing w:line="360" w:lineRule="auto"/>
        <w:ind w:firstLine="482" w:firstLineChars="200"/>
        <w:jc w:val="left"/>
        <w:rPr>
          <w:rFonts w:ascii="Times New Roman" w:hAnsi="Times New Roman" w:eastAsia="仿宋_GB2312" w:cs="Times New Roman"/>
          <w:b/>
          <w:bCs/>
          <w:sz w:val="24"/>
          <w:szCs w:val="24"/>
        </w:rPr>
      </w:pPr>
      <w:r>
        <w:rPr>
          <w:rFonts w:ascii="Times New Roman" w:hAnsi="Times New Roman" w:eastAsia="仿宋_GB2312" w:cs="Times New Roman"/>
          <w:b/>
          <w:bCs/>
          <w:sz w:val="24"/>
          <w:szCs w:val="24"/>
        </w:rPr>
        <w:t>2.</w:t>
      </w:r>
      <w:bookmarkStart w:id="0" w:name="OLE_LINK10"/>
      <w:r>
        <w:rPr>
          <w:rFonts w:ascii="Times New Roman" w:hAnsi="Times New Roman" w:eastAsia="仿宋_GB2312" w:cs="Times New Roman"/>
          <w:b/>
          <w:bCs/>
          <w:sz w:val="24"/>
          <w:szCs w:val="24"/>
        </w:rPr>
        <w:t>应遵循的相关国家标准、行业标准、地方标准等标准、规范：</w:t>
      </w:r>
    </w:p>
    <w:p w14:paraId="1AE3F071">
      <w:pPr>
        <w:widowControl/>
        <w:shd w:val="clear" w:color="auto" w:fill="FFFFFF"/>
        <w:spacing w:line="360" w:lineRule="auto"/>
        <w:ind w:firstLine="480" w:firstLineChars="200"/>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主要参考国家标准：GB/T 39486-2020《化学试剂 电感耦合等离子体质谱分析方法通则》，GB/T 6041《质谱分析方法通则》，《水质 65种元素的测定 电感耦合等离子体质谱法》，《土壤和沉积物 12种金属元素的测定 王水提取-电感耦合等离子体质谱法》等。</w:t>
      </w:r>
    </w:p>
    <w:bookmarkEnd w:id="0"/>
    <w:p w14:paraId="358BCF75">
      <w:pPr>
        <w:widowControl/>
        <w:shd w:val="clear" w:color="auto" w:fill="FFFFFF"/>
        <w:spacing w:line="360" w:lineRule="auto"/>
        <w:ind w:firstLine="482" w:firstLineChars="200"/>
        <w:jc w:val="left"/>
        <w:rPr>
          <w:rFonts w:ascii="Times New Roman" w:hAnsi="Times New Roman" w:eastAsia="仿宋_GB2312" w:cs="Times New Roman"/>
          <w:b/>
          <w:bCs/>
          <w:sz w:val="24"/>
          <w:szCs w:val="24"/>
        </w:rPr>
      </w:pPr>
      <w:r>
        <w:rPr>
          <w:rFonts w:ascii="Times New Roman" w:hAnsi="Times New Roman" w:eastAsia="仿宋_GB2312" w:cs="Times New Roman"/>
          <w:b/>
          <w:bCs/>
          <w:sz w:val="24"/>
          <w:szCs w:val="24"/>
        </w:rPr>
        <w:t>3.后续运营维护、升级更新、备品备件等要求：</w:t>
      </w:r>
    </w:p>
    <w:p w14:paraId="4FA27C04">
      <w:pPr>
        <w:widowControl/>
        <w:shd w:val="clear" w:color="auto" w:fill="FFFFFF"/>
        <w:spacing w:line="360" w:lineRule="auto"/>
        <w:ind w:firstLine="480" w:firstLineChars="200"/>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运维服务：供应商需提供≥2年整机质保（含ICP源，真空系统，检测器系统，飞行时间质量分析器等核心部件），质保期内每半年开展1次现场巡检，故障响应时间≤</w:t>
      </w:r>
      <w:r>
        <w:rPr>
          <w:rFonts w:hint="eastAsia" w:ascii="Times New Roman" w:hAnsi="Times New Roman" w:eastAsia="仿宋_GB2312" w:cs="Times New Roman"/>
          <w:sz w:val="24"/>
          <w:szCs w:val="24"/>
        </w:rPr>
        <w:t>48</w:t>
      </w:r>
      <w:r>
        <w:rPr>
          <w:rFonts w:ascii="Times New Roman" w:hAnsi="Times New Roman" w:eastAsia="仿宋_GB2312" w:cs="Times New Roman"/>
          <w:sz w:val="24"/>
          <w:szCs w:val="24"/>
        </w:rPr>
        <w:t>小时，修复时间≤72小时；提供2天以上现场培训，交通等与培训相关的费用均由成交供应商承担。</w:t>
      </w:r>
    </w:p>
    <w:p w14:paraId="277C8E5B">
      <w:pPr>
        <w:widowControl/>
        <w:shd w:val="clear" w:color="auto" w:fill="FFFFFF"/>
        <w:spacing w:line="360" w:lineRule="auto"/>
        <w:ind w:firstLine="480" w:firstLineChars="200"/>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升级更新：设备软件终身免费升级，硬件支持后续功能扩展（如新增激发波长模块、偏振控制模块等），供应商需在新技术推出后30日内告知用户升级方案。</w:t>
      </w:r>
    </w:p>
    <w:p w14:paraId="706DF7EC">
      <w:pPr>
        <w:widowControl/>
        <w:shd w:val="clear" w:color="auto" w:fill="FFFFFF"/>
        <w:spacing w:line="360" w:lineRule="auto"/>
        <w:ind w:firstLine="480" w:firstLineChars="200"/>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备品备件：质保期外提供全生命周期备件供应保障（承诺供应周期≥10年），常用备件（如采样锥、截取锥、离子提取透镜、雾室、雾化器等）需在用户提出需求后7个工作日内到货；提供备件价格清单，确保价格不高于市场同期水平。</w:t>
      </w:r>
    </w:p>
    <w:p w14:paraId="45CD01C9">
      <w:pPr>
        <w:spacing w:line="360" w:lineRule="auto"/>
        <w:ind w:firstLine="480" w:firstLineChars="200"/>
        <w:outlineLvl w:val="0"/>
        <w:rPr>
          <w:rFonts w:ascii="Times New Roman" w:hAnsi="Times New Roman" w:eastAsia="仿宋_GB2312" w:cs="Times New Roman"/>
          <w:sz w:val="24"/>
          <w:szCs w:val="24"/>
        </w:rPr>
      </w:pPr>
      <w:r>
        <w:rPr>
          <w:rFonts w:ascii="Times New Roman" w:hAnsi="Times New Roman" w:eastAsia="仿宋_GB2312" w:cs="Times New Roman"/>
          <w:sz w:val="24"/>
          <w:szCs w:val="24"/>
        </w:rPr>
        <w:t>4.各项指标要求：</w:t>
      </w:r>
    </w:p>
    <w:tbl>
      <w:tblPr>
        <w:tblStyle w:val="8"/>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377"/>
        <w:gridCol w:w="1145"/>
        <w:gridCol w:w="2864"/>
        <w:gridCol w:w="2126"/>
      </w:tblGrid>
      <w:tr w14:paraId="009B7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E652E55">
            <w:pPr>
              <w:adjustRightInd w:val="0"/>
              <w:snapToGrid w:val="0"/>
              <w:jc w:val="center"/>
              <w:rPr>
                <w:rFonts w:ascii="Times New Roman" w:hAnsi="Times New Roman" w:eastAsia="仿宋_GB2312" w:cs="Times New Roman"/>
                <w:b/>
                <w:szCs w:val="21"/>
              </w:rPr>
            </w:pPr>
            <w:r>
              <w:rPr>
                <w:rFonts w:ascii="Times New Roman" w:hAnsi="Times New Roman" w:eastAsia="仿宋_GB2312" w:cs="Times New Roman"/>
                <w:b/>
                <w:szCs w:val="21"/>
              </w:rPr>
              <w:t>序号</w:t>
            </w:r>
          </w:p>
        </w:tc>
        <w:tc>
          <w:tcPr>
            <w:tcW w:w="1377" w:type="dxa"/>
            <w:vAlign w:val="center"/>
          </w:tcPr>
          <w:p w14:paraId="5AAF1D49">
            <w:pPr>
              <w:widowControl/>
              <w:adjustRightInd w:val="0"/>
              <w:snapToGrid w:val="0"/>
              <w:jc w:val="center"/>
              <w:rPr>
                <w:rFonts w:ascii="Times New Roman" w:hAnsi="Times New Roman" w:eastAsia="仿宋_GB2312" w:cs="Times New Roman"/>
                <w:b/>
                <w:szCs w:val="21"/>
              </w:rPr>
            </w:pPr>
            <w:r>
              <w:rPr>
                <w:rFonts w:ascii="Times New Roman" w:hAnsi="Times New Roman" w:eastAsia="仿宋_GB2312" w:cs="Times New Roman"/>
                <w:b/>
                <w:szCs w:val="21"/>
              </w:rPr>
              <w:t>指标项</w:t>
            </w:r>
          </w:p>
        </w:tc>
        <w:tc>
          <w:tcPr>
            <w:tcW w:w="1145" w:type="dxa"/>
            <w:vAlign w:val="center"/>
          </w:tcPr>
          <w:p w14:paraId="0B037262">
            <w:pPr>
              <w:widowControl/>
              <w:adjustRightInd w:val="0"/>
              <w:snapToGrid w:val="0"/>
              <w:jc w:val="center"/>
              <w:rPr>
                <w:rFonts w:ascii="Times New Roman" w:hAnsi="Times New Roman" w:eastAsia="仿宋_GB2312" w:cs="Times New Roman"/>
                <w:b/>
                <w:szCs w:val="21"/>
              </w:rPr>
            </w:pPr>
            <w:r>
              <w:rPr>
                <w:rFonts w:ascii="Times New Roman" w:hAnsi="Times New Roman" w:eastAsia="仿宋_GB2312" w:cs="Times New Roman"/>
                <w:b/>
                <w:szCs w:val="21"/>
              </w:rPr>
              <w:t>重要性</w:t>
            </w:r>
          </w:p>
        </w:tc>
        <w:tc>
          <w:tcPr>
            <w:tcW w:w="2864" w:type="dxa"/>
            <w:vAlign w:val="center"/>
          </w:tcPr>
          <w:p w14:paraId="1E47CC8E">
            <w:pPr>
              <w:widowControl/>
              <w:adjustRightInd w:val="0"/>
              <w:snapToGrid w:val="0"/>
              <w:jc w:val="center"/>
              <w:rPr>
                <w:rFonts w:ascii="Times New Roman" w:hAnsi="Times New Roman" w:eastAsia="仿宋_GB2312" w:cs="Times New Roman"/>
                <w:b/>
                <w:szCs w:val="21"/>
              </w:rPr>
            </w:pPr>
            <w:r>
              <w:rPr>
                <w:rFonts w:ascii="Times New Roman" w:hAnsi="Times New Roman" w:eastAsia="仿宋_GB2312" w:cs="Times New Roman"/>
                <w:b/>
                <w:szCs w:val="21"/>
              </w:rPr>
              <w:t>指标要求</w:t>
            </w:r>
          </w:p>
        </w:tc>
        <w:tc>
          <w:tcPr>
            <w:tcW w:w="2126" w:type="dxa"/>
            <w:vAlign w:val="center"/>
          </w:tcPr>
          <w:p w14:paraId="437F2AD8">
            <w:pPr>
              <w:widowControl/>
              <w:adjustRightInd w:val="0"/>
              <w:snapToGrid w:val="0"/>
              <w:jc w:val="center"/>
              <w:rPr>
                <w:rFonts w:ascii="Times New Roman" w:hAnsi="Times New Roman" w:eastAsia="仿宋_GB2312" w:cs="Times New Roman"/>
                <w:b/>
                <w:szCs w:val="21"/>
              </w:rPr>
            </w:pPr>
            <w:r>
              <w:rPr>
                <w:rFonts w:ascii="Times New Roman" w:hAnsi="Times New Roman" w:eastAsia="仿宋_GB2312" w:cs="Times New Roman"/>
                <w:b/>
                <w:szCs w:val="21"/>
              </w:rPr>
              <w:t>证明材料要求</w:t>
            </w:r>
          </w:p>
        </w:tc>
      </w:tr>
      <w:tr w14:paraId="14414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631AB92">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w:t>
            </w:r>
          </w:p>
        </w:tc>
        <w:tc>
          <w:tcPr>
            <w:tcW w:w="1377" w:type="dxa"/>
            <w:vAlign w:val="center"/>
          </w:tcPr>
          <w:p w14:paraId="1A8FE472">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离子源</w:t>
            </w:r>
          </w:p>
        </w:tc>
        <w:tc>
          <w:tcPr>
            <w:tcW w:w="1145" w:type="dxa"/>
            <w:vAlign w:val="center"/>
          </w:tcPr>
          <w:p w14:paraId="1D3BB7A4">
            <w:pPr>
              <w:widowControl/>
              <w:adjustRightInd w:val="0"/>
              <w:snapToGrid w:val="0"/>
              <w:jc w:val="center"/>
              <w:rPr>
                <w:rFonts w:ascii="Times New Roman" w:hAnsi="Times New Roman" w:eastAsia="仿宋_GB2312" w:cs="Times New Roman"/>
                <w:szCs w:val="21"/>
              </w:rPr>
            </w:pPr>
          </w:p>
        </w:tc>
        <w:tc>
          <w:tcPr>
            <w:tcW w:w="2864" w:type="dxa"/>
            <w:vAlign w:val="center"/>
          </w:tcPr>
          <w:p w14:paraId="1700DA55">
            <w:pPr>
              <w:widowControl/>
              <w:adjustRightInd w:val="0"/>
              <w:snapToGrid w:val="0"/>
              <w:rPr>
                <w:rFonts w:ascii="Times New Roman" w:hAnsi="Times New Roman" w:eastAsia="仿宋_GB2312" w:cs="Times New Roman"/>
                <w:szCs w:val="21"/>
              </w:rPr>
            </w:pPr>
            <w:r>
              <w:rPr>
                <w:rFonts w:ascii="Times New Roman" w:hAnsi="Times New Roman" w:eastAsia="仿宋_GB2312" w:cs="Times New Roman"/>
                <w:szCs w:val="21"/>
              </w:rPr>
              <w:t>自激式全固态ICP离子源，频率为27.12 MHz，功率范围为500-1600W连续可调；</w:t>
            </w:r>
          </w:p>
        </w:tc>
        <w:tc>
          <w:tcPr>
            <w:tcW w:w="2126" w:type="dxa"/>
            <w:vAlign w:val="center"/>
          </w:tcPr>
          <w:p w14:paraId="16C4BADC">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否</w:t>
            </w:r>
          </w:p>
        </w:tc>
      </w:tr>
      <w:tr w14:paraId="07B17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6EB7792">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2</w:t>
            </w:r>
          </w:p>
        </w:tc>
        <w:tc>
          <w:tcPr>
            <w:tcW w:w="1377" w:type="dxa"/>
            <w:vAlign w:val="center"/>
          </w:tcPr>
          <w:p w14:paraId="3256F1AF">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等离子体</w:t>
            </w:r>
          </w:p>
        </w:tc>
        <w:tc>
          <w:tcPr>
            <w:tcW w:w="1145" w:type="dxa"/>
            <w:vAlign w:val="center"/>
          </w:tcPr>
          <w:p w14:paraId="4C8291A7">
            <w:pPr>
              <w:widowControl/>
              <w:adjustRightInd w:val="0"/>
              <w:snapToGrid w:val="0"/>
              <w:jc w:val="center"/>
              <w:rPr>
                <w:rFonts w:ascii="Times New Roman" w:hAnsi="Times New Roman" w:eastAsia="仿宋_GB2312" w:cs="Times New Roman"/>
                <w:szCs w:val="21"/>
              </w:rPr>
            </w:pPr>
          </w:p>
        </w:tc>
        <w:tc>
          <w:tcPr>
            <w:tcW w:w="2864" w:type="dxa"/>
            <w:vAlign w:val="center"/>
          </w:tcPr>
          <w:p w14:paraId="481A8DA8">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炬管系统满足高盐地质样品</w:t>
            </w:r>
          </w:p>
        </w:tc>
        <w:tc>
          <w:tcPr>
            <w:tcW w:w="2126" w:type="dxa"/>
            <w:vAlign w:val="center"/>
          </w:tcPr>
          <w:p w14:paraId="3DB945A4">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否</w:t>
            </w:r>
          </w:p>
        </w:tc>
      </w:tr>
      <w:tr w14:paraId="4F0F3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DFE2F8C">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3</w:t>
            </w:r>
          </w:p>
        </w:tc>
        <w:tc>
          <w:tcPr>
            <w:tcW w:w="1377" w:type="dxa"/>
            <w:vAlign w:val="center"/>
          </w:tcPr>
          <w:p w14:paraId="5B72D291">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等离子体观测</w:t>
            </w:r>
          </w:p>
        </w:tc>
        <w:tc>
          <w:tcPr>
            <w:tcW w:w="1145" w:type="dxa"/>
            <w:vAlign w:val="center"/>
          </w:tcPr>
          <w:p w14:paraId="5F04F42B">
            <w:pPr>
              <w:widowControl/>
              <w:adjustRightInd w:val="0"/>
              <w:snapToGrid w:val="0"/>
              <w:jc w:val="center"/>
              <w:rPr>
                <w:rFonts w:ascii="Times New Roman" w:hAnsi="Times New Roman" w:eastAsia="仿宋_GB2312" w:cs="Times New Roman"/>
                <w:szCs w:val="21"/>
              </w:rPr>
            </w:pPr>
          </w:p>
        </w:tc>
        <w:tc>
          <w:tcPr>
            <w:tcW w:w="2864" w:type="dxa"/>
            <w:vAlign w:val="center"/>
          </w:tcPr>
          <w:p w14:paraId="5C17FA40">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具有带电磁屏蔽的等离子体实时观测功能。</w:t>
            </w:r>
          </w:p>
        </w:tc>
        <w:tc>
          <w:tcPr>
            <w:tcW w:w="2126" w:type="dxa"/>
            <w:vAlign w:val="center"/>
          </w:tcPr>
          <w:p w14:paraId="1EE840EB">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否</w:t>
            </w:r>
          </w:p>
        </w:tc>
      </w:tr>
      <w:tr w14:paraId="496B3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6E8361B">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4</w:t>
            </w:r>
          </w:p>
        </w:tc>
        <w:tc>
          <w:tcPr>
            <w:tcW w:w="1377" w:type="dxa"/>
            <w:vAlign w:val="center"/>
          </w:tcPr>
          <w:p w14:paraId="65706D2B">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雾化室</w:t>
            </w:r>
          </w:p>
        </w:tc>
        <w:tc>
          <w:tcPr>
            <w:tcW w:w="1145" w:type="dxa"/>
            <w:vAlign w:val="center"/>
          </w:tcPr>
          <w:p w14:paraId="2518EFC7">
            <w:pPr>
              <w:widowControl/>
              <w:adjustRightInd w:val="0"/>
              <w:snapToGrid w:val="0"/>
              <w:jc w:val="center"/>
              <w:rPr>
                <w:rFonts w:ascii="Times New Roman" w:hAnsi="Times New Roman" w:eastAsia="仿宋_GB2312" w:cs="Times New Roman"/>
                <w:szCs w:val="21"/>
              </w:rPr>
            </w:pPr>
          </w:p>
        </w:tc>
        <w:tc>
          <w:tcPr>
            <w:tcW w:w="2864" w:type="dxa"/>
            <w:vAlign w:val="center"/>
          </w:tcPr>
          <w:p w14:paraId="48B36103">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雾化室系统置于离子源室外侧，由加热型高效进样雾室和玻璃同心雾化器组成。</w:t>
            </w:r>
          </w:p>
        </w:tc>
        <w:tc>
          <w:tcPr>
            <w:tcW w:w="2126" w:type="dxa"/>
            <w:vAlign w:val="center"/>
          </w:tcPr>
          <w:p w14:paraId="249D8104">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否</w:t>
            </w:r>
          </w:p>
        </w:tc>
      </w:tr>
      <w:tr w14:paraId="29238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03155C1">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5</w:t>
            </w:r>
          </w:p>
        </w:tc>
        <w:tc>
          <w:tcPr>
            <w:tcW w:w="1377" w:type="dxa"/>
            <w:vAlign w:val="center"/>
          </w:tcPr>
          <w:p w14:paraId="6FB3951E">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激光剥蚀联用</w:t>
            </w:r>
          </w:p>
        </w:tc>
        <w:tc>
          <w:tcPr>
            <w:tcW w:w="1145" w:type="dxa"/>
            <w:vAlign w:val="center"/>
          </w:tcPr>
          <w:p w14:paraId="576C8F17">
            <w:pPr>
              <w:widowControl/>
              <w:adjustRightInd w:val="0"/>
              <w:snapToGrid w:val="0"/>
              <w:jc w:val="center"/>
              <w:rPr>
                <w:rFonts w:ascii="Times New Roman" w:hAnsi="Times New Roman" w:eastAsia="仿宋_GB2312" w:cs="Times New Roman"/>
                <w:szCs w:val="21"/>
              </w:rPr>
            </w:pPr>
            <w:r>
              <w:rPr>
                <w:rFonts w:ascii="Segoe UI Symbol" w:hAnsi="Segoe UI Symbol" w:eastAsia="仿宋_GB2312" w:cs="Segoe UI Symbol"/>
                <w:snapToGrid w:val="0"/>
                <w:kern w:val="0"/>
                <w:szCs w:val="21"/>
                <w:lang w:val="zh-CN"/>
              </w:rPr>
              <w:t>★</w:t>
            </w:r>
          </w:p>
        </w:tc>
        <w:tc>
          <w:tcPr>
            <w:tcW w:w="2864" w:type="dxa"/>
            <w:vAlign w:val="center"/>
          </w:tcPr>
          <w:p w14:paraId="7ABA5479">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可搭配激光剥蚀进样系统，实现高空间分辨率多元素成像，适用于环境、地质、生物组织及材料科学等各类固体样品的多元素原位微区分析。</w:t>
            </w:r>
          </w:p>
        </w:tc>
        <w:tc>
          <w:tcPr>
            <w:tcW w:w="2126" w:type="dxa"/>
            <w:vAlign w:val="center"/>
          </w:tcPr>
          <w:p w14:paraId="59478E1B">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否</w:t>
            </w:r>
          </w:p>
        </w:tc>
      </w:tr>
      <w:tr w14:paraId="46192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41440E7">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6</w:t>
            </w:r>
          </w:p>
        </w:tc>
        <w:tc>
          <w:tcPr>
            <w:tcW w:w="1377" w:type="dxa"/>
            <w:vAlign w:val="center"/>
          </w:tcPr>
          <w:p w14:paraId="280AC519">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离子传输</w:t>
            </w:r>
          </w:p>
        </w:tc>
        <w:tc>
          <w:tcPr>
            <w:tcW w:w="1145" w:type="dxa"/>
            <w:vAlign w:val="center"/>
          </w:tcPr>
          <w:p w14:paraId="40380821">
            <w:pPr>
              <w:widowControl/>
              <w:adjustRightInd w:val="0"/>
              <w:snapToGrid w:val="0"/>
              <w:jc w:val="center"/>
              <w:rPr>
                <w:rFonts w:ascii="Times New Roman" w:hAnsi="Times New Roman" w:eastAsia="仿宋_GB2312" w:cs="Times New Roman"/>
                <w:szCs w:val="21"/>
              </w:rPr>
            </w:pPr>
          </w:p>
        </w:tc>
        <w:tc>
          <w:tcPr>
            <w:tcW w:w="2864" w:type="dxa"/>
            <w:vAlign w:val="center"/>
          </w:tcPr>
          <w:p w14:paraId="409CAEBC">
            <w:pPr>
              <w:widowControl/>
              <w:adjustRightInd w:val="0"/>
              <w:snapToGrid w:val="0"/>
              <w:rPr>
                <w:rFonts w:ascii="Times New Roman" w:hAnsi="Times New Roman" w:eastAsia="仿宋_GB2312" w:cs="Times New Roman"/>
                <w:szCs w:val="21"/>
              </w:rPr>
            </w:pPr>
            <w:r>
              <w:rPr>
                <w:rFonts w:ascii="Times New Roman" w:hAnsi="Times New Roman" w:eastAsia="仿宋_GB2312" w:cs="Times New Roman"/>
                <w:szCs w:val="21"/>
              </w:rPr>
              <w:t>离轴式离子光学透镜，高效传输离子的同时，显著消除中性离子干扰，提高信噪比。</w:t>
            </w:r>
          </w:p>
        </w:tc>
        <w:tc>
          <w:tcPr>
            <w:tcW w:w="2126" w:type="dxa"/>
            <w:vAlign w:val="center"/>
          </w:tcPr>
          <w:p w14:paraId="55E8267B">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否</w:t>
            </w:r>
          </w:p>
        </w:tc>
      </w:tr>
      <w:tr w14:paraId="5CE68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4D3110F4">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7</w:t>
            </w:r>
          </w:p>
        </w:tc>
        <w:tc>
          <w:tcPr>
            <w:tcW w:w="1377" w:type="dxa"/>
            <w:vAlign w:val="center"/>
          </w:tcPr>
          <w:p w14:paraId="6E6435AF">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四极杆</w:t>
            </w:r>
          </w:p>
        </w:tc>
        <w:tc>
          <w:tcPr>
            <w:tcW w:w="1145" w:type="dxa"/>
            <w:vAlign w:val="center"/>
          </w:tcPr>
          <w:p w14:paraId="156C5AA3">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napToGrid w:val="0"/>
                <w:kern w:val="0"/>
                <w:szCs w:val="21"/>
                <w:lang w:val="zh-CN"/>
              </w:rPr>
              <w:t>#</w:t>
            </w:r>
          </w:p>
        </w:tc>
        <w:tc>
          <w:tcPr>
            <w:tcW w:w="2864" w:type="dxa"/>
            <w:vAlign w:val="center"/>
          </w:tcPr>
          <w:p w14:paraId="78DDCD98">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高稳定性纯钼四极杆，具有全通、带通、单通多种工作模式。</w:t>
            </w:r>
          </w:p>
        </w:tc>
        <w:tc>
          <w:tcPr>
            <w:tcW w:w="2126" w:type="dxa"/>
            <w:vAlign w:val="center"/>
          </w:tcPr>
          <w:p w14:paraId="70252AC4">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7E03C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2C01317">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8</w:t>
            </w:r>
          </w:p>
        </w:tc>
        <w:tc>
          <w:tcPr>
            <w:tcW w:w="1377" w:type="dxa"/>
            <w:vAlign w:val="center"/>
          </w:tcPr>
          <w:p w14:paraId="6DA906C2">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质量分析器</w:t>
            </w:r>
          </w:p>
        </w:tc>
        <w:tc>
          <w:tcPr>
            <w:tcW w:w="1145" w:type="dxa"/>
            <w:vAlign w:val="center"/>
          </w:tcPr>
          <w:p w14:paraId="08754388">
            <w:pPr>
              <w:widowControl/>
              <w:adjustRightInd w:val="0"/>
              <w:snapToGrid w:val="0"/>
              <w:jc w:val="center"/>
              <w:rPr>
                <w:rFonts w:ascii="Times New Roman" w:hAnsi="Times New Roman" w:eastAsia="仿宋_GB2312" w:cs="Times New Roman"/>
                <w:szCs w:val="21"/>
              </w:rPr>
            </w:pPr>
          </w:p>
        </w:tc>
        <w:tc>
          <w:tcPr>
            <w:tcW w:w="2864" w:type="dxa"/>
            <w:vAlign w:val="center"/>
          </w:tcPr>
          <w:p w14:paraId="15AC600C">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垂直引入反射式飞行时间质量分析器。</w:t>
            </w:r>
          </w:p>
        </w:tc>
        <w:tc>
          <w:tcPr>
            <w:tcW w:w="2126" w:type="dxa"/>
            <w:vAlign w:val="center"/>
          </w:tcPr>
          <w:p w14:paraId="10ED6336">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否</w:t>
            </w:r>
          </w:p>
        </w:tc>
      </w:tr>
      <w:tr w14:paraId="714B7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10066F9">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9</w:t>
            </w:r>
          </w:p>
        </w:tc>
        <w:tc>
          <w:tcPr>
            <w:tcW w:w="1377" w:type="dxa"/>
            <w:vAlign w:val="center"/>
          </w:tcPr>
          <w:p w14:paraId="377B640E">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检测器</w:t>
            </w:r>
          </w:p>
        </w:tc>
        <w:tc>
          <w:tcPr>
            <w:tcW w:w="1145" w:type="dxa"/>
            <w:vAlign w:val="center"/>
          </w:tcPr>
          <w:p w14:paraId="13BA41D5">
            <w:pPr>
              <w:widowControl/>
              <w:adjustRightInd w:val="0"/>
              <w:snapToGrid w:val="0"/>
              <w:jc w:val="center"/>
              <w:rPr>
                <w:rFonts w:ascii="Times New Roman" w:hAnsi="Times New Roman" w:eastAsia="仿宋_GB2312" w:cs="Times New Roman"/>
                <w:szCs w:val="21"/>
              </w:rPr>
            </w:pPr>
          </w:p>
        </w:tc>
        <w:tc>
          <w:tcPr>
            <w:tcW w:w="2864" w:type="dxa"/>
            <w:vAlign w:val="center"/>
          </w:tcPr>
          <w:p w14:paraId="6B7C4C90">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MCP微通道板检测器，纳秒响应时间。</w:t>
            </w:r>
          </w:p>
        </w:tc>
        <w:tc>
          <w:tcPr>
            <w:tcW w:w="2126" w:type="dxa"/>
            <w:vAlign w:val="center"/>
          </w:tcPr>
          <w:p w14:paraId="1A921565">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否</w:t>
            </w:r>
          </w:p>
        </w:tc>
      </w:tr>
      <w:tr w14:paraId="6892C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75B3BF6">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10</w:t>
            </w:r>
          </w:p>
        </w:tc>
        <w:tc>
          <w:tcPr>
            <w:tcW w:w="1377" w:type="dxa"/>
            <w:vAlign w:val="center"/>
          </w:tcPr>
          <w:p w14:paraId="02184EAC">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真空</w:t>
            </w:r>
          </w:p>
        </w:tc>
        <w:tc>
          <w:tcPr>
            <w:tcW w:w="1145" w:type="dxa"/>
            <w:vAlign w:val="center"/>
          </w:tcPr>
          <w:p w14:paraId="798ECB29">
            <w:pPr>
              <w:widowControl/>
              <w:adjustRightInd w:val="0"/>
              <w:snapToGrid w:val="0"/>
              <w:jc w:val="center"/>
              <w:rPr>
                <w:rFonts w:ascii="Times New Roman" w:hAnsi="Times New Roman" w:eastAsia="仿宋_GB2312" w:cs="Times New Roman"/>
                <w:szCs w:val="21"/>
              </w:rPr>
            </w:pPr>
          </w:p>
        </w:tc>
        <w:tc>
          <w:tcPr>
            <w:tcW w:w="2864" w:type="dxa"/>
            <w:vAlign w:val="center"/>
          </w:tcPr>
          <w:p w14:paraId="7614EA51">
            <w:pPr>
              <w:widowControl/>
              <w:adjustRightInd w:val="0"/>
              <w:snapToGrid w:val="0"/>
              <w:rPr>
                <w:rFonts w:ascii="Times New Roman" w:hAnsi="Times New Roman" w:eastAsia="仿宋_GB2312" w:cs="Times New Roman"/>
                <w:szCs w:val="21"/>
              </w:rPr>
            </w:pPr>
            <w:r>
              <w:rPr>
                <w:rFonts w:ascii="Times New Roman" w:hAnsi="Times New Roman" w:eastAsia="仿宋_GB2312" w:cs="Times New Roman"/>
                <w:szCs w:val="21"/>
              </w:rPr>
              <w:t>样品锥和截取锥之间的接口区，采用65 m3/hr的机械泵抽真空，真空度可到1.3mbar以下。</w:t>
            </w:r>
          </w:p>
        </w:tc>
        <w:tc>
          <w:tcPr>
            <w:tcW w:w="2126" w:type="dxa"/>
            <w:vAlign w:val="center"/>
          </w:tcPr>
          <w:p w14:paraId="1B6E111A">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否</w:t>
            </w:r>
          </w:p>
        </w:tc>
      </w:tr>
      <w:tr w14:paraId="55639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1DC7F1C">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11</w:t>
            </w:r>
          </w:p>
        </w:tc>
        <w:tc>
          <w:tcPr>
            <w:tcW w:w="1377" w:type="dxa"/>
            <w:vAlign w:val="center"/>
          </w:tcPr>
          <w:p w14:paraId="63055213">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分析模式</w:t>
            </w:r>
          </w:p>
        </w:tc>
        <w:tc>
          <w:tcPr>
            <w:tcW w:w="1145" w:type="dxa"/>
            <w:vAlign w:val="center"/>
          </w:tcPr>
          <w:p w14:paraId="5E2A9B3C">
            <w:pPr>
              <w:widowControl/>
              <w:adjustRightInd w:val="0"/>
              <w:snapToGrid w:val="0"/>
              <w:jc w:val="center"/>
              <w:rPr>
                <w:rFonts w:ascii="Times New Roman" w:hAnsi="Times New Roman" w:eastAsia="仿宋_GB2312" w:cs="Times New Roman"/>
                <w:szCs w:val="21"/>
              </w:rPr>
            </w:pPr>
          </w:p>
        </w:tc>
        <w:tc>
          <w:tcPr>
            <w:tcW w:w="2864" w:type="dxa"/>
            <w:vAlign w:val="center"/>
          </w:tcPr>
          <w:p w14:paraId="23924210">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具备绝对定量分析模式，可对溶液和单颗粒等样本进行绝对定量。</w:t>
            </w:r>
          </w:p>
        </w:tc>
        <w:tc>
          <w:tcPr>
            <w:tcW w:w="2126" w:type="dxa"/>
            <w:vAlign w:val="center"/>
          </w:tcPr>
          <w:p w14:paraId="3CFD1D8E">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否</w:t>
            </w:r>
          </w:p>
        </w:tc>
      </w:tr>
      <w:tr w14:paraId="1E0A2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9AAFEFE">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12</w:t>
            </w:r>
          </w:p>
        </w:tc>
        <w:tc>
          <w:tcPr>
            <w:tcW w:w="1377" w:type="dxa"/>
            <w:vAlign w:val="center"/>
          </w:tcPr>
          <w:p w14:paraId="600557D3">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质量范围</w:t>
            </w:r>
          </w:p>
        </w:tc>
        <w:tc>
          <w:tcPr>
            <w:tcW w:w="1145" w:type="dxa"/>
            <w:vAlign w:val="center"/>
          </w:tcPr>
          <w:p w14:paraId="480715AA">
            <w:pPr>
              <w:widowControl/>
              <w:adjustRightInd w:val="0"/>
              <w:snapToGrid w:val="0"/>
              <w:jc w:val="center"/>
              <w:rPr>
                <w:rFonts w:ascii="Times New Roman" w:hAnsi="Times New Roman" w:eastAsia="仿宋_GB2312" w:cs="Times New Roman"/>
                <w:szCs w:val="21"/>
              </w:rPr>
            </w:pPr>
            <w:r>
              <w:rPr>
                <w:rFonts w:ascii="Segoe UI Symbol" w:hAnsi="Segoe UI Symbol" w:eastAsia="仿宋_GB2312" w:cs="Segoe UI Symbol"/>
                <w:snapToGrid w:val="0"/>
                <w:kern w:val="0"/>
                <w:szCs w:val="21"/>
                <w:lang w:val="zh-CN"/>
              </w:rPr>
              <w:t>★</w:t>
            </w:r>
          </w:p>
        </w:tc>
        <w:tc>
          <w:tcPr>
            <w:tcW w:w="2864" w:type="dxa"/>
            <w:vAlign w:val="center"/>
          </w:tcPr>
          <w:p w14:paraId="52D6F6B2">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覆盖2-300 amu。</w:t>
            </w:r>
          </w:p>
        </w:tc>
        <w:tc>
          <w:tcPr>
            <w:tcW w:w="2126" w:type="dxa"/>
            <w:vAlign w:val="center"/>
          </w:tcPr>
          <w:p w14:paraId="1BC2DFA3">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1FF8B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5EB5045">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13</w:t>
            </w:r>
          </w:p>
        </w:tc>
        <w:tc>
          <w:tcPr>
            <w:tcW w:w="1377" w:type="dxa"/>
            <w:vAlign w:val="center"/>
          </w:tcPr>
          <w:p w14:paraId="2F731CF1">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分辨率</w:t>
            </w:r>
          </w:p>
        </w:tc>
        <w:tc>
          <w:tcPr>
            <w:tcW w:w="1145" w:type="dxa"/>
            <w:vAlign w:val="center"/>
          </w:tcPr>
          <w:p w14:paraId="6E2A1407">
            <w:pPr>
              <w:widowControl/>
              <w:adjustRightInd w:val="0"/>
              <w:snapToGrid w:val="0"/>
              <w:jc w:val="center"/>
              <w:rPr>
                <w:rFonts w:ascii="Times New Roman" w:hAnsi="Times New Roman" w:eastAsia="仿宋_GB2312" w:cs="Times New Roman"/>
                <w:szCs w:val="21"/>
              </w:rPr>
            </w:pPr>
          </w:p>
        </w:tc>
        <w:tc>
          <w:tcPr>
            <w:tcW w:w="2864" w:type="dxa"/>
            <w:vAlign w:val="center"/>
          </w:tcPr>
          <w:p w14:paraId="5F4F3F83">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覆盖500-1400可调</w:t>
            </w:r>
          </w:p>
        </w:tc>
        <w:tc>
          <w:tcPr>
            <w:tcW w:w="2126" w:type="dxa"/>
            <w:vAlign w:val="center"/>
          </w:tcPr>
          <w:p w14:paraId="7E445EE0">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3F225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2F26296">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14</w:t>
            </w:r>
          </w:p>
        </w:tc>
        <w:tc>
          <w:tcPr>
            <w:tcW w:w="1377" w:type="dxa"/>
            <w:vAlign w:val="center"/>
          </w:tcPr>
          <w:p w14:paraId="47BCE4F7">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灵敏度</w:t>
            </w:r>
          </w:p>
        </w:tc>
        <w:tc>
          <w:tcPr>
            <w:tcW w:w="1145" w:type="dxa"/>
            <w:vAlign w:val="center"/>
          </w:tcPr>
          <w:p w14:paraId="34A8B4B8">
            <w:pPr>
              <w:widowControl/>
              <w:adjustRightInd w:val="0"/>
              <w:snapToGrid w:val="0"/>
              <w:jc w:val="center"/>
              <w:rPr>
                <w:rFonts w:ascii="Times New Roman" w:hAnsi="Times New Roman" w:eastAsia="仿宋_GB2312" w:cs="Times New Roman"/>
                <w:szCs w:val="21"/>
              </w:rPr>
            </w:pPr>
          </w:p>
        </w:tc>
        <w:tc>
          <w:tcPr>
            <w:tcW w:w="2864" w:type="dxa"/>
            <w:vAlign w:val="center"/>
          </w:tcPr>
          <w:p w14:paraId="4729BA47">
            <w:pPr>
              <w:widowControl/>
              <w:adjustRightInd w:val="0"/>
              <w:snapToGrid w:val="0"/>
              <w:rPr>
                <w:rFonts w:ascii="Times New Roman" w:hAnsi="Times New Roman" w:eastAsia="仿宋_GB2312" w:cs="Times New Roman"/>
                <w:szCs w:val="21"/>
              </w:rPr>
            </w:pPr>
            <w:r>
              <w:rPr>
                <w:rFonts w:ascii="Times New Roman" w:hAnsi="Times New Roman" w:eastAsia="仿宋_GB2312" w:cs="Times New Roman"/>
                <w:szCs w:val="21"/>
              </w:rPr>
              <w:t>115In＞200000cps/ppb</w:t>
            </w:r>
          </w:p>
          <w:p w14:paraId="26DC21EB">
            <w:pPr>
              <w:widowControl/>
              <w:adjustRightInd w:val="0"/>
              <w:snapToGrid w:val="0"/>
              <w:rPr>
                <w:rFonts w:ascii="Times New Roman" w:hAnsi="Times New Roman" w:eastAsia="仿宋_GB2312" w:cs="Times New Roman"/>
                <w:szCs w:val="21"/>
              </w:rPr>
            </w:pPr>
            <w:r>
              <w:rPr>
                <w:rFonts w:ascii="Times New Roman" w:hAnsi="Times New Roman" w:eastAsia="仿宋_GB2312" w:cs="Times New Roman"/>
                <w:szCs w:val="21"/>
              </w:rPr>
              <w:t>159Tb＞300000cps/ppb</w:t>
            </w:r>
          </w:p>
        </w:tc>
        <w:tc>
          <w:tcPr>
            <w:tcW w:w="2126" w:type="dxa"/>
            <w:vAlign w:val="center"/>
          </w:tcPr>
          <w:p w14:paraId="660DEBF7">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517E4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3F28B3E">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15</w:t>
            </w:r>
          </w:p>
        </w:tc>
        <w:tc>
          <w:tcPr>
            <w:tcW w:w="1377" w:type="dxa"/>
            <w:vAlign w:val="center"/>
          </w:tcPr>
          <w:p w14:paraId="2AD485FE">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采谱频率</w:t>
            </w:r>
          </w:p>
        </w:tc>
        <w:tc>
          <w:tcPr>
            <w:tcW w:w="1145" w:type="dxa"/>
            <w:vAlign w:val="center"/>
          </w:tcPr>
          <w:p w14:paraId="36252B27">
            <w:pPr>
              <w:widowControl/>
              <w:adjustRightInd w:val="0"/>
              <w:snapToGrid w:val="0"/>
              <w:jc w:val="center"/>
              <w:rPr>
                <w:rFonts w:ascii="Times New Roman" w:hAnsi="Times New Roman" w:eastAsia="仿宋_GB2312" w:cs="Times New Roman"/>
                <w:szCs w:val="21"/>
              </w:rPr>
            </w:pPr>
            <w:r>
              <w:rPr>
                <w:rFonts w:ascii="Segoe UI Symbol" w:hAnsi="Segoe UI Symbol" w:eastAsia="仿宋_GB2312" w:cs="Segoe UI Symbol"/>
                <w:snapToGrid w:val="0"/>
                <w:kern w:val="0"/>
                <w:szCs w:val="21"/>
                <w:lang w:val="zh-CN"/>
              </w:rPr>
              <w:t>★</w:t>
            </w:r>
          </w:p>
        </w:tc>
        <w:tc>
          <w:tcPr>
            <w:tcW w:w="2864" w:type="dxa"/>
            <w:vAlign w:val="center"/>
          </w:tcPr>
          <w:p w14:paraId="4AF554C1">
            <w:pPr>
              <w:widowControl/>
              <w:adjustRightInd w:val="0"/>
              <w:snapToGrid w:val="0"/>
              <w:rPr>
                <w:rFonts w:ascii="Times New Roman" w:hAnsi="Times New Roman" w:eastAsia="仿宋_GB2312" w:cs="Times New Roman"/>
                <w:szCs w:val="21"/>
              </w:rPr>
            </w:pPr>
            <w:r>
              <w:rPr>
                <w:rFonts w:ascii="Times New Roman" w:hAnsi="Times New Roman" w:eastAsia="仿宋_GB2312" w:cs="Times New Roman"/>
                <w:szCs w:val="21"/>
              </w:rPr>
              <w:t>覆盖40-300kHz可调</w:t>
            </w:r>
          </w:p>
        </w:tc>
        <w:tc>
          <w:tcPr>
            <w:tcW w:w="2126" w:type="dxa"/>
            <w:vAlign w:val="center"/>
          </w:tcPr>
          <w:p w14:paraId="40C144EF">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3BCF9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5CF0AC6">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16</w:t>
            </w:r>
          </w:p>
        </w:tc>
        <w:tc>
          <w:tcPr>
            <w:tcW w:w="1377" w:type="dxa"/>
            <w:vAlign w:val="center"/>
          </w:tcPr>
          <w:p w14:paraId="22DD4FC8">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检出限</w:t>
            </w:r>
          </w:p>
        </w:tc>
        <w:tc>
          <w:tcPr>
            <w:tcW w:w="1145" w:type="dxa"/>
            <w:vAlign w:val="center"/>
          </w:tcPr>
          <w:p w14:paraId="1F4A7D41">
            <w:pPr>
              <w:widowControl/>
              <w:adjustRightInd w:val="0"/>
              <w:snapToGrid w:val="0"/>
              <w:jc w:val="center"/>
              <w:rPr>
                <w:rFonts w:ascii="Times New Roman" w:hAnsi="Times New Roman" w:eastAsia="仿宋_GB2312" w:cs="Times New Roman"/>
                <w:szCs w:val="21"/>
              </w:rPr>
            </w:pPr>
          </w:p>
        </w:tc>
        <w:tc>
          <w:tcPr>
            <w:tcW w:w="2864" w:type="dxa"/>
            <w:vAlign w:val="center"/>
          </w:tcPr>
          <w:p w14:paraId="07B3F90A">
            <w:pPr>
              <w:widowControl/>
              <w:adjustRightInd w:val="0"/>
              <w:snapToGrid w:val="0"/>
              <w:rPr>
                <w:rFonts w:ascii="Times New Roman" w:hAnsi="Times New Roman" w:eastAsia="仿宋_GB2312" w:cs="Times New Roman"/>
                <w:szCs w:val="21"/>
              </w:rPr>
            </w:pPr>
            <w:r>
              <w:rPr>
                <w:rFonts w:ascii="Times New Roman" w:hAnsi="Times New Roman" w:eastAsia="仿宋_GB2312" w:cs="Times New Roman"/>
                <w:szCs w:val="21"/>
              </w:rPr>
              <w:t>159Tb&lt;0.5pg/mL。</w:t>
            </w:r>
          </w:p>
        </w:tc>
        <w:tc>
          <w:tcPr>
            <w:tcW w:w="2126" w:type="dxa"/>
            <w:vAlign w:val="center"/>
          </w:tcPr>
          <w:p w14:paraId="1E65A09E">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bl>
    <w:p w14:paraId="09FDF018">
      <w:pPr>
        <w:autoSpaceDE w:val="0"/>
        <w:autoSpaceDN w:val="0"/>
        <w:adjustRightInd w:val="0"/>
        <w:snapToGrid w:val="0"/>
        <w:spacing w:before="156" w:beforeLines="50" w:line="360" w:lineRule="auto"/>
        <w:jc w:val="left"/>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说明：</w:t>
      </w:r>
    </w:p>
    <w:p w14:paraId="6DF06C75">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1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①</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重要性可用“★”“</w:t>
      </w:r>
      <w:bookmarkStart w:id="1" w:name="OLE_LINK3"/>
      <w:r>
        <w:rPr>
          <w:rFonts w:hint="eastAsia" w:ascii="仿宋_GB2312" w:hAnsi="宋体" w:eastAsia="仿宋_GB2312" w:cs="宋体"/>
          <w:snapToGrid w:val="0"/>
          <w:kern w:val="0"/>
          <w:sz w:val="24"/>
          <w:szCs w:val="24"/>
          <w:lang w:val="zh-CN"/>
        </w:rPr>
        <w:t>#</w:t>
      </w:r>
      <w:bookmarkEnd w:id="1"/>
      <w:r>
        <w:rPr>
          <w:rFonts w:hint="eastAsia" w:ascii="仿宋_GB2312" w:hAnsi="宋体" w:eastAsia="仿宋_GB2312" w:cs="宋体"/>
          <w:snapToGrid w:val="0"/>
          <w:kern w:val="0"/>
          <w:sz w:val="24"/>
          <w:szCs w:val="24"/>
          <w:lang w:val="zh-CN"/>
        </w:rPr>
        <w:t>”表示，“★”代表关键指标，不满足该指标项将导致响应被拒绝；“#”代表重要指标；无标识则表示属一般指标项。</w:t>
      </w:r>
    </w:p>
    <w:p w14:paraId="49CA5C78">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2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②</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r>
        <w:rPr>
          <w:rFonts w:ascii="仿宋_GB2312" w:hAnsi="宋体" w:eastAsia="仿宋_GB2312" w:cs="宋体"/>
          <w:snapToGrid w:val="0"/>
          <w:kern w:val="0"/>
          <w:sz w:val="24"/>
          <w:szCs w:val="24"/>
          <w:lang w:val="zh-CN"/>
        </w:rPr>
        <w:t>填写“否”的提供技术参数偏离表或承诺响应，未提供或提供的偏离表中或承诺有负偏离的，则该指标按不满足处理。若供应商偏离表中与响应文件所列证明材料内容不一致时，将以证明材料内容为准进行评审。</w:t>
      </w:r>
    </w:p>
    <w:p w14:paraId="60E21D17">
      <w:pPr>
        <w:autoSpaceDE w:val="0"/>
        <w:autoSpaceDN w:val="0"/>
        <w:adjustRightInd w:val="0"/>
        <w:snapToGrid w:val="0"/>
        <w:spacing w:line="360" w:lineRule="auto"/>
        <w:ind w:firstLine="560" w:firstLineChars="200"/>
        <w:jc w:val="left"/>
        <w:rPr>
          <w:rFonts w:hint="eastAsia"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（三）</w:t>
      </w:r>
      <w:r>
        <w:rPr>
          <w:rFonts w:ascii="仿宋_GB2312" w:hAnsi="宋体" w:eastAsia="仿宋_GB2312" w:cs="仿宋"/>
          <w:color w:val="000000"/>
          <w:kern w:val="0"/>
          <w:sz w:val="28"/>
          <w:szCs w:val="28"/>
          <w:shd w:val="clear" w:color="auto" w:fill="FFFFFF"/>
        </w:rPr>
        <w:t>电感耦合等离子体质谱仪</w:t>
      </w:r>
      <w:r>
        <w:rPr>
          <w:rFonts w:hint="eastAsia" w:ascii="仿宋_GB2312" w:hAnsi="宋体" w:eastAsia="仿宋_GB2312" w:cs="仿宋"/>
          <w:color w:val="000000"/>
          <w:kern w:val="0"/>
          <w:sz w:val="28"/>
          <w:szCs w:val="28"/>
          <w:shd w:val="clear" w:color="auto" w:fill="FFFFFF"/>
        </w:rPr>
        <w:t>（1台）</w:t>
      </w:r>
    </w:p>
    <w:p w14:paraId="5D82EDFF">
      <w:pPr>
        <w:widowControl/>
        <w:shd w:val="clear" w:color="auto" w:fill="FFFFFF"/>
        <w:spacing w:line="360" w:lineRule="auto"/>
        <w:ind w:firstLine="480" w:firstLineChars="200"/>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1.</w:t>
      </w:r>
      <w:r>
        <w:rPr>
          <w:rFonts w:ascii="Times New Roman" w:hAnsi="Times New Roman" w:eastAsia="仿宋_GB2312" w:cs="Times New Roman"/>
          <w:b/>
          <w:bCs/>
          <w:sz w:val="24"/>
          <w:szCs w:val="24"/>
        </w:rPr>
        <w:t>功能要求</w:t>
      </w:r>
      <w:r>
        <w:rPr>
          <w:rFonts w:ascii="Times New Roman" w:hAnsi="Times New Roman" w:eastAsia="仿宋_GB2312" w:cs="Times New Roman"/>
          <w:sz w:val="24"/>
          <w:szCs w:val="24"/>
        </w:rPr>
        <w:t>：</w:t>
      </w:r>
    </w:p>
    <w:p w14:paraId="02F12608">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该设备将主要服务于《海洋地球化学》、《海洋环境学》、《古海洋学》、《海洋学基础》、《地球化学》等课程，鼓励学生处理多种环境样品，在教师指导下，完成从样品处理、方法建立到数据解读的全流程实践，培养其科学思维与动手能力，在根本上夯实学科持续发展的根基，培养出适应未来科技竞争的优秀人才，同时也能满足本科生、研究生论文研究的测试需求。</w:t>
      </w:r>
    </w:p>
    <w:p w14:paraId="784CC4F0">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该设备的主要功能是进行高灵敏度、多元素的定性和定量分析，尤其痕量/超痕量元素测定以及同位素比值分析。该仪器将主要应用于稳定Pb同位素和超低含量元素的准确测定，计划开发低含量高干扰下Sr和U同位素的测定方法。该仪器可应用于沉积物、土壤、大气颗粒物（包括纳米级颗粒物和常规颗粒物）、水体和岩石等环境样品，以此研究人类活动影响下海洋环境关键生物地球化学过程中元素的循环及地球关键带人为污染物的污染水平、来源、迁移和转化，以及重建地区污染物演化趋势，其结果可服务于海洋环境监测、污染防治与修复，评估并预测各项环境风险。</w:t>
      </w:r>
    </w:p>
    <w:p w14:paraId="342C28B2">
      <w:pPr>
        <w:widowControl/>
        <w:numPr>
          <w:ilvl w:val="0"/>
          <w:numId w:val="6"/>
        </w:numPr>
        <w:shd w:val="clear" w:color="auto" w:fill="FFFFFF"/>
        <w:spacing w:line="360" w:lineRule="auto"/>
        <w:ind w:firstLine="482" w:firstLineChars="200"/>
        <w:jc w:val="left"/>
        <w:rPr>
          <w:rFonts w:ascii="Times New Roman" w:hAnsi="Times New Roman" w:eastAsia="仿宋_GB2312" w:cs="Times New Roman"/>
          <w:b/>
          <w:bCs/>
          <w:sz w:val="24"/>
          <w:szCs w:val="24"/>
        </w:rPr>
      </w:pPr>
      <w:r>
        <w:rPr>
          <w:rFonts w:ascii="Times New Roman" w:hAnsi="Times New Roman" w:eastAsia="仿宋_GB2312" w:cs="Times New Roman"/>
          <w:b/>
          <w:bCs/>
          <w:sz w:val="24"/>
          <w:szCs w:val="24"/>
        </w:rPr>
        <w:t>应遵循的相关国家标准、行业标准、地方标准等标准、规范：</w:t>
      </w:r>
    </w:p>
    <w:p w14:paraId="1D2208A9">
      <w:pPr>
        <w:widowControl/>
        <w:shd w:val="clear" w:color="auto" w:fill="FFFFFF"/>
        <w:spacing w:line="360" w:lineRule="auto"/>
        <w:ind w:firstLine="480" w:firstLineChars="200"/>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目前尚无专门的国家标准正式发布，实践中主要综合参考通用标准 GB/T 37837-2019、GB/T 34826-2017 及校准规范 JJF 1159-2006。</w:t>
      </w:r>
    </w:p>
    <w:p w14:paraId="3DB3069F">
      <w:pPr>
        <w:pStyle w:val="13"/>
        <w:widowControl/>
        <w:numPr>
          <w:ilvl w:val="0"/>
          <w:numId w:val="6"/>
        </w:numPr>
        <w:shd w:val="clear" w:color="auto" w:fill="FFFFFF"/>
        <w:spacing w:line="360" w:lineRule="auto"/>
        <w:ind w:firstLineChars="0"/>
        <w:jc w:val="left"/>
        <w:rPr>
          <w:rFonts w:ascii="Times New Roman" w:hAnsi="Times New Roman" w:eastAsia="仿宋_GB2312" w:cs="Times New Roman"/>
          <w:sz w:val="24"/>
          <w:szCs w:val="24"/>
        </w:rPr>
      </w:pPr>
      <w:r>
        <w:rPr>
          <w:rFonts w:ascii="Times New Roman" w:hAnsi="Times New Roman" w:eastAsia="仿宋_GB2312" w:cs="Times New Roman"/>
          <w:b/>
          <w:bCs/>
          <w:sz w:val="24"/>
          <w:szCs w:val="24"/>
        </w:rPr>
        <w:t>后续运营维护、升级更新、备品备件等要求</w:t>
      </w:r>
      <w:r>
        <w:rPr>
          <w:rFonts w:ascii="Times New Roman" w:hAnsi="Times New Roman" w:eastAsia="仿宋_GB2312" w:cs="Times New Roman"/>
          <w:sz w:val="24"/>
          <w:szCs w:val="24"/>
        </w:rPr>
        <w:t>：</w:t>
      </w:r>
    </w:p>
    <w:p w14:paraId="1811E9B1">
      <w:pPr>
        <w:pStyle w:val="13"/>
        <w:widowControl/>
        <w:shd w:val="clear" w:color="auto" w:fill="FFFFFF"/>
        <w:spacing w:line="360" w:lineRule="auto"/>
        <w:ind w:firstLine="480"/>
        <w:jc w:val="left"/>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运维服务：供应商需提供≥2年整机质保（含ICP源，真空系统，检测器系统，质量分析器等核心部件），质保期内每半年开展1次现场巡检，故障响应时间≤48小时，修复时间≤72小时；</w:t>
      </w:r>
      <w:r>
        <w:rPr>
          <w:rFonts w:ascii="Times New Roman" w:hAnsi="Times New Roman" w:eastAsia="仿宋_GB2312" w:cs="Times New Roman"/>
          <w:sz w:val="24"/>
          <w:szCs w:val="24"/>
        </w:rPr>
        <w:t>提供2天以上现场培训，交通等与培训相关的费用均由成交供应商承担。</w:t>
      </w:r>
    </w:p>
    <w:p w14:paraId="023EDC4F">
      <w:pPr>
        <w:pStyle w:val="13"/>
        <w:widowControl/>
        <w:shd w:val="clear" w:color="auto" w:fill="FFFFFF"/>
        <w:spacing w:line="360" w:lineRule="auto"/>
        <w:ind w:firstLine="480"/>
        <w:jc w:val="left"/>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升级更新：设备软件终身免费升级，硬件支持后续功能扩展，供应商需在新技术推出后30日内告知用户升级方案。</w:t>
      </w:r>
    </w:p>
    <w:p w14:paraId="40966E3C">
      <w:pPr>
        <w:pStyle w:val="13"/>
        <w:widowControl/>
        <w:shd w:val="clear" w:color="auto" w:fill="FFFFFF"/>
        <w:spacing w:line="360" w:lineRule="auto"/>
        <w:ind w:firstLine="480"/>
        <w:jc w:val="left"/>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备品备件：质保期外提供全生命周期备件供应保障（承诺供应周期≥10年），常用备件（如采样锥、截取锥、离子提取透镜、雾室、雾化器等）需在用户提出需求后7个工作日内到货；提供备件价格清单，确保价格不高于市场同期水平。</w:t>
      </w:r>
    </w:p>
    <w:p w14:paraId="660FBBBA">
      <w:pPr>
        <w:spacing w:line="360" w:lineRule="auto"/>
        <w:ind w:firstLine="480" w:firstLineChars="200"/>
        <w:outlineLvl w:val="0"/>
        <w:rPr>
          <w:rFonts w:ascii="Times New Roman" w:hAnsi="Times New Roman" w:eastAsia="仿宋_GB2312" w:cs="Times New Roman"/>
          <w:sz w:val="24"/>
          <w:szCs w:val="24"/>
        </w:rPr>
      </w:pPr>
      <w:r>
        <w:rPr>
          <w:rFonts w:ascii="Times New Roman" w:hAnsi="Times New Roman" w:eastAsia="仿宋_GB2312" w:cs="Times New Roman"/>
          <w:sz w:val="24"/>
          <w:szCs w:val="24"/>
        </w:rPr>
        <w:t>4.</w:t>
      </w:r>
      <w:r>
        <w:rPr>
          <w:rFonts w:ascii="Times New Roman" w:hAnsi="Times New Roman" w:eastAsia="仿宋_GB2312" w:cs="Times New Roman"/>
          <w:b/>
          <w:bCs/>
          <w:sz w:val="24"/>
          <w:szCs w:val="24"/>
        </w:rPr>
        <w:t>各项指标要求</w:t>
      </w:r>
      <w:r>
        <w:rPr>
          <w:rFonts w:ascii="Times New Roman" w:hAnsi="Times New Roman" w:eastAsia="仿宋_GB2312" w:cs="Times New Roman"/>
          <w:sz w:val="24"/>
          <w:szCs w:val="24"/>
        </w:rPr>
        <w:t>：</w:t>
      </w:r>
    </w:p>
    <w:tbl>
      <w:tblPr>
        <w:tblStyle w:val="8"/>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1388"/>
        <w:gridCol w:w="2864"/>
        <w:gridCol w:w="2126"/>
      </w:tblGrid>
      <w:tr w14:paraId="3F8C2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0CA706B">
            <w:pPr>
              <w:spacing w:line="360" w:lineRule="auto"/>
              <w:jc w:val="center"/>
              <w:rPr>
                <w:rFonts w:ascii="Times New Roman" w:hAnsi="Times New Roman" w:eastAsia="仿宋_GB2312"/>
                <w:b/>
                <w:szCs w:val="21"/>
              </w:rPr>
            </w:pPr>
            <w:r>
              <w:rPr>
                <w:rFonts w:hint="eastAsia" w:ascii="Times New Roman" w:hAnsi="Times New Roman" w:eastAsia="仿宋_GB2312"/>
                <w:b/>
                <w:szCs w:val="21"/>
              </w:rPr>
              <w:t>序号</w:t>
            </w:r>
          </w:p>
        </w:tc>
        <w:tc>
          <w:tcPr>
            <w:tcW w:w="1134" w:type="dxa"/>
            <w:vAlign w:val="center"/>
          </w:tcPr>
          <w:p w14:paraId="614781C6">
            <w:pPr>
              <w:widowControl/>
              <w:spacing w:line="360" w:lineRule="auto"/>
              <w:jc w:val="center"/>
              <w:rPr>
                <w:rFonts w:ascii="Times New Roman" w:hAnsi="Times New Roman" w:eastAsia="仿宋_GB2312"/>
                <w:b/>
                <w:szCs w:val="21"/>
              </w:rPr>
            </w:pPr>
            <w:r>
              <w:rPr>
                <w:rFonts w:hint="eastAsia" w:ascii="Times New Roman" w:hAnsi="Times New Roman" w:eastAsia="仿宋_GB2312"/>
                <w:b/>
                <w:szCs w:val="21"/>
              </w:rPr>
              <w:t>指标项</w:t>
            </w:r>
          </w:p>
        </w:tc>
        <w:tc>
          <w:tcPr>
            <w:tcW w:w="1388" w:type="dxa"/>
            <w:vAlign w:val="center"/>
          </w:tcPr>
          <w:p w14:paraId="0F4A7F05">
            <w:pPr>
              <w:widowControl/>
              <w:spacing w:line="360" w:lineRule="auto"/>
              <w:jc w:val="center"/>
              <w:rPr>
                <w:rFonts w:ascii="Times New Roman" w:hAnsi="Times New Roman" w:eastAsia="仿宋_GB2312"/>
                <w:b/>
                <w:szCs w:val="21"/>
              </w:rPr>
            </w:pPr>
            <w:r>
              <w:rPr>
                <w:rFonts w:hint="eastAsia" w:ascii="Times New Roman" w:hAnsi="Times New Roman" w:eastAsia="仿宋_GB2312"/>
                <w:b/>
                <w:szCs w:val="21"/>
              </w:rPr>
              <w:t>重要性</w:t>
            </w:r>
          </w:p>
        </w:tc>
        <w:tc>
          <w:tcPr>
            <w:tcW w:w="2864" w:type="dxa"/>
            <w:vAlign w:val="center"/>
          </w:tcPr>
          <w:p w14:paraId="37F7A07C">
            <w:pPr>
              <w:widowControl/>
              <w:spacing w:line="360" w:lineRule="auto"/>
              <w:jc w:val="center"/>
              <w:rPr>
                <w:rFonts w:ascii="Times New Roman" w:hAnsi="Times New Roman" w:eastAsia="仿宋_GB2312"/>
                <w:b/>
                <w:szCs w:val="21"/>
              </w:rPr>
            </w:pPr>
            <w:r>
              <w:rPr>
                <w:rFonts w:hint="eastAsia" w:ascii="Times New Roman" w:hAnsi="Times New Roman" w:eastAsia="仿宋_GB2312"/>
                <w:b/>
                <w:szCs w:val="21"/>
              </w:rPr>
              <w:t>指标要求</w:t>
            </w:r>
          </w:p>
        </w:tc>
        <w:tc>
          <w:tcPr>
            <w:tcW w:w="2126" w:type="dxa"/>
            <w:vAlign w:val="center"/>
          </w:tcPr>
          <w:p w14:paraId="31D47B55">
            <w:pPr>
              <w:widowControl/>
              <w:spacing w:line="360" w:lineRule="auto"/>
              <w:jc w:val="center"/>
              <w:rPr>
                <w:rFonts w:ascii="Times New Roman" w:hAnsi="Times New Roman" w:eastAsia="仿宋_GB2312"/>
                <w:b/>
                <w:szCs w:val="21"/>
              </w:rPr>
            </w:pPr>
            <w:r>
              <w:rPr>
                <w:rFonts w:hint="eastAsia" w:ascii="Times New Roman" w:hAnsi="Times New Roman" w:eastAsia="仿宋_GB2312"/>
                <w:b/>
                <w:szCs w:val="21"/>
              </w:rPr>
              <w:t>证明材料要求</w:t>
            </w:r>
          </w:p>
        </w:tc>
      </w:tr>
      <w:tr w14:paraId="3F8F6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FC95EA3">
            <w:pPr>
              <w:spacing w:line="360" w:lineRule="auto"/>
              <w:jc w:val="center"/>
              <w:rPr>
                <w:rFonts w:ascii="Times New Roman" w:hAnsi="Times New Roman" w:eastAsia="仿宋_GB2312"/>
                <w:szCs w:val="21"/>
              </w:rPr>
            </w:pPr>
            <w:r>
              <w:rPr>
                <w:rFonts w:hint="eastAsia" w:ascii="Times New Roman" w:hAnsi="Times New Roman" w:eastAsia="仿宋_GB2312"/>
                <w:szCs w:val="21"/>
              </w:rPr>
              <w:t>1</w:t>
            </w:r>
          </w:p>
        </w:tc>
        <w:tc>
          <w:tcPr>
            <w:tcW w:w="1134" w:type="dxa"/>
            <w:vAlign w:val="center"/>
          </w:tcPr>
          <w:p w14:paraId="6B40991C">
            <w:pPr>
              <w:widowControl/>
              <w:spacing w:line="360" w:lineRule="auto"/>
              <w:jc w:val="center"/>
              <w:rPr>
                <w:rFonts w:ascii="Times New Roman" w:hAnsi="Times New Roman" w:eastAsia="仿宋_GB2312"/>
                <w:szCs w:val="21"/>
              </w:rPr>
            </w:pPr>
            <w:r>
              <w:rPr>
                <w:rFonts w:hint="eastAsia" w:ascii="Times New Roman" w:hAnsi="Times New Roman"/>
                <w:szCs w:val="21"/>
              </w:rPr>
              <w:t>总体要求</w:t>
            </w:r>
          </w:p>
        </w:tc>
        <w:tc>
          <w:tcPr>
            <w:tcW w:w="1388" w:type="dxa"/>
            <w:vAlign w:val="center"/>
          </w:tcPr>
          <w:p w14:paraId="283EB7CA">
            <w:pPr>
              <w:widowControl/>
              <w:spacing w:line="360" w:lineRule="auto"/>
              <w:jc w:val="center"/>
              <w:rPr>
                <w:rFonts w:ascii="Times New Roman" w:hAnsi="Times New Roman" w:eastAsia="仿宋_GB2312"/>
                <w:szCs w:val="21"/>
              </w:rPr>
            </w:pPr>
          </w:p>
        </w:tc>
        <w:tc>
          <w:tcPr>
            <w:tcW w:w="2864" w:type="dxa"/>
            <w:vAlign w:val="center"/>
          </w:tcPr>
          <w:p w14:paraId="091D9A86">
            <w:pPr>
              <w:widowControl/>
              <w:spacing w:line="360" w:lineRule="auto"/>
              <w:jc w:val="left"/>
              <w:rPr>
                <w:rFonts w:ascii="Times New Roman" w:hAnsi="Times New Roman" w:eastAsia="仿宋_GB2312"/>
                <w:szCs w:val="21"/>
              </w:rPr>
            </w:pPr>
            <w:r>
              <w:rPr>
                <w:rFonts w:hint="eastAsia" w:ascii="Times New Roman" w:hAnsi="Times New Roman" w:eastAsia="仿宋_GB2312"/>
                <w:szCs w:val="21"/>
              </w:rPr>
              <w:t>电感耦合等离子体串联质谱仪（前后两组四极杆规格一致）， 搭配120位以上自动进样器加上全自动稀释配液仪、全自动超级微波系统结合全自动进样系统等连用技术。</w:t>
            </w:r>
          </w:p>
        </w:tc>
        <w:tc>
          <w:tcPr>
            <w:tcW w:w="2126" w:type="dxa"/>
            <w:vAlign w:val="center"/>
          </w:tcPr>
          <w:p w14:paraId="4FBDCDDC">
            <w:pPr>
              <w:widowControl/>
              <w:spacing w:line="360" w:lineRule="auto"/>
              <w:jc w:val="center"/>
              <w:rPr>
                <w:rFonts w:ascii="Times New Roman" w:hAnsi="Times New Roman" w:eastAsia="仿宋_GB2312"/>
                <w:szCs w:val="21"/>
              </w:rPr>
            </w:pPr>
            <w:r>
              <w:rPr>
                <w:rFonts w:hint="eastAsia" w:ascii="Times New Roman" w:hAnsi="Times New Roman" w:eastAsia="仿宋_GB2312"/>
                <w:szCs w:val="21"/>
              </w:rPr>
              <w:t>否</w:t>
            </w:r>
          </w:p>
        </w:tc>
      </w:tr>
      <w:tr w14:paraId="0D5F8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A6A0785">
            <w:pPr>
              <w:spacing w:line="360" w:lineRule="auto"/>
              <w:jc w:val="center"/>
              <w:rPr>
                <w:rFonts w:ascii="Times New Roman" w:hAnsi="Times New Roman" w:eastAsia="仿宋_GB2312"/>
                <w:szCs w:val="21"/>
              </w:rPr>
            </w:pPr>
            <w:r>
              <w:rPr>
                <w:rFonts w:hint="eastAsia" w:ascii="Times New Roman" w:hAnsi="Times New Roman" w:eastAsia="仿宋_GB2312"/>
                <w:szCs w:val="21"/>
              </w:rPr>
              <w:t>2</w:t>
            </w:r>
          </w:p>
        </w:tc>
        <w:tc>
          <w:tcPr>
            <w:tcW w:w="1134" w:type="dxa"/>
            <w:vAlign w:val="center"/>
          </w:tcPr>
          <w:p w14:paraId="50AF83B5">
            <w:pPr>
              <w:widowControl/>
              <w:spacing w:line="360" w:lineRule="auto"/>
              <w:jc w:val="center"/>
              <w:rPr>
                <w:rFonts w:ascii="Times New Roman" w:hAnsi="Times New Roman"/>
                <w:szCs w:val="21"/>
              </w:rPr>
            </w:pPr>
            <w:r>
              <w:rPr>
                <w:rFonts w:hint="eastAsia" w:ascii="Times New Roman" w:hAnsi="Times New Roman" w:eastAsia="仿宋_GB2312"/>
                <w:szCs w:val="21"/>
              </w:rPr>
              <w:t>离子源</w:t>
            </w:r>
          </w:p>
        </w:tc>
        <w:tc>
          <w:tcPr>
            <w:tcW w:w="1388" w:type="dxa"/>
            <w:vAlign w:val="center"/>
          </w:tcPr>
          <w:p w14:paraId="785CA379">
            <w:pPr>
              <w:widowControl/>
              <w:spacing w:line="360" w:lineRule="auto"/>
              <w:jc w:val="center"/>
              <w:rPr>
                <w:rFonts w:ascii="Times New Roman" w:hAnsi="Times New Roman" w:eastAsia="仿宋_GB2312" w:cs="宋体"/>
                <w:snapToGrid w:val="0"/>
                <w:kern w:val="0"/>
                <w:szCs w:val="21"/>
                <w:lang w:val="zh-CN"/>
              </w:rPr>
            </w:pPr>
          </w:p>
        </w:tc>
        <w:tc>
          <w:tcPr>
            <w:tcW w:w="2864" w:type="dxa"/>
            <w:vAlign w:val="center"/>
          </w:tcPr>
          <w:p w14:paraId="14F8484E">
            <w:pPr>
              <w:widowControl/>
              <w:spacing w:line="360" w:lineRule="auto"/>
              <w:jc w:val="left"/>
              <w:rPr>
                <w:rFonts w:ascii="Times New Roman" w:hAnsi="Times New Roman" w:eastAsia="仿宋_GB2312"/>
                <w:szCs w:val="21"/>
              </w:rPr>
            </w:pPr>
            <w:r>
              <w:rPr>
                <w:rFonts w:hint="eastAsia" w:ascii="Times New Roman" w:hAnsi="Times New Roman" w:eastAsia="仿宋_GB2312"/>
                <w:szCs w:val="21"/>
              </w:rPr>
              <w:t>自激式全固态ICP离子源，频率稳定性≤±0.01%，功率范围为700-1600W连续可调。具备标准模式、碰撞反应模式以及冷等离子体模式，并能在一次样品分析中自动切换。</w:t>
            </w:r>
          </w:p>
        </w:tc>
        <w:tc>
          <w:tcPr>
            <w:tcW w:w="2126" w:type="dxa"/>
            <w:vAlign w:val="center"/>
          </w:tcPr>
          <w:p w14:paraId="13FA88D1">
            <w:pPr>
              <w:widowControl/>
              <w:spacing w:line="360" w:lineRule="auto"/>
              <w:jc w:val="center"/>
              <w:rPr>
                <w:rFonts w:ascii="Times New Roman" w:hAnsi="Times New Roman" w:eastAsia="仿宋_GB2312"/>
                <w:szCs w:val="21"/>
              </w:rPr>
            </w:pPr>
            <w:r>
              <w:rPr>
                <w:rFonts w:hint="eastAsia" w:ascii="Times New Roman" w:hAnsi="Times New Roman" w:eastAsia="仿宋_GB2312"/>
                <w:szCs w:val="21"/>
              </w:rPr>
              <w:t>否</w:t>
            </w:r>
          </w:p>
        </w:tc>
      </w:tr>
      <w:tr w14:paraId="3A763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3F45790">
            <w:pPr>
              <w:spacing w:line="360" w:lineRule="auto"/>
              <w:jc w:val="center"/>
              <w:rPr>
                <w:rFonts w:ascii="Times New Roman" w:hAnsi="Times New Roman" w:eastAsia="仿宋_GB2312"/>
                <w:szCs w:val="21"/>
              </w:rPr>
            </w:pPr>
            <w:r>
              <w:rPr>
                <w:rFonts w:hint="eastAsia" w:ascii="Times New Roman" w:hAnsi="Times New Roman" w:eastAsia="仿宋_GB2312"/>
                <w:szCs w:val="21"/>
              </w:rPr>
              <w:t>3</w:t>
            </w:r>
          </w:p>
        </w:tc>
        <w:tc>
          <w:tcPr>
            <w:tcW w:w="1134" w:type="dxa"/>
            <w:vAlign w:val="center"/>
          </w:tcPr>
          <w:p w14:paraId="6FCFEE8D">
            <w:pPr>
              <w:widowControl/>
              <w:spacing w:line="360" w:lineRule="auto"/>
              <w:jc w:val="center"/>
              <w:rPr>
                <w:rFonts w:ascii="Times New Roman" w:hAnsi="Times New Roman"/>
                <w:szCs w:val="21"/>
              </w:rPr>
            </w:pPr>
            <w:r>
              <w:rPr>
                <w:rFonts w:hint="eastAsia" w:ascii="Times New Roman" w:hAnsi="Times New Roman"/>
                <w:szCs w:val="21"/>
              </w:rPr>
              <w:t>等离子体</w:t>
            </w:r>
          </w:p>
        </w:tc>
        <w:tc>
          <w:tcPr>
            <w:tcW w:w="1388" w:type="dxa"/>
            <w:vAlign w:val="center"/>
          </w:tcPr>
          <w:p w14:paraId="16FF7CC1">
            <w:pPr>
              <w:widowControl/>
              <w:spacing w:line="360" w:lineRule="auto"/>
              <w:jc w:val="center"/>
              <w:rPr>
                <w:rFonts w:ascii="Times New Roman" w:hAnsi="Times New Roman" w:eastAsia="仿宋_GB2312" w:cs="宋体"/>
                <w:snapToGrid w:val="0"/>
                <w:kern w:val="0"/>
                <w:szCs w:val="21"/>
                <w:lang w:val="zh-CN"/>
              </w:rPr>
            </w:pPr>
          </w:p>
        </w:tc>
        <w:tc>
          <w:tcPr>
            <w:tcW w:w="2864" w:type="dxa"/>
            <w:vAlign w:val="center"/>
          </w:tcPr>
          <w:p w14:paraId="6261B062">
            <w:pPr>
              <w:widowControl/>
              <w:spacing w:line="360" w:lineRule="auto"/>
              <w:jc w:val="left"/>
              <w:rPr>
                <w:rFonts w:ascii="Times New Roman" w:hAnsi="Times New Roman" w:eastAsia="仿宋_GB2312"/>
                <w:szCs w:val="21"/>
              </w:rPr>
            </w:pPr>
            <w:r>
              <w:rPr>
                <w:rFonts w:hint="eastAsia" w:ascii="Times New Roman" w:hAnsi="Times New Roman" w:eastAsia="仿宋_GB2312"/>
                <w:szCs w:val="21"/>
              </w:rPr>
              <w:t>垂直炬管设计，分析高盐和高挥发性样品的耐受力更佳，降低氩气消耗，提升炬管、离子接口使用寿命；或一体式Mini炬管，等离子气 5L/min，辅助气 0.6L/min可保持等离子体稳定。</w:t>
            </w:r>
          </w:p>
        </w:tc>
        <w:tc>
          <w:tcPr>
            <w:tcW w:w="2126" w:type="dxa"/>
            <w:vAlign w:val="center"/>
          </w:tcPr>
          <w:p w14:paraId="58B88940">
            <w:pPr>
              <w:widowControl/>
              <w:spacing w:line="360" w:lineRule="auto"/>
              <w:jc w:val="center"/>
              <w:rPr>
                <w:rFonts w:ascii="Times New Roman" w:hAnsi="Times New Roman" w:eastAsia="仿宋_GB2312"/>
                <w:szCs w:val="21"/>
              </w:rPr>
            </w:pPr>
            <w:r>
              <w:rPr>
                <w:rFonts w:hint="eastAsia" w:ascii="Times New Roman" w:hAnsi="Times New Roman" w:eastAsia="仿宋_GB2312"/>
                <w:szCs w:val="21"/>
              </w:rPr>
              <w:t>否</w:t>
            </w:r>
          </w:p>
        </w:tc>
      </w:tr>
      <w:tr w14:paraId="3DF78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4AC9A86">
            <w:pPr>
              <w:spacing w:line="360" w:lineRule="auto"/>
              <w:jc w:val="center"/>
              <w:rPr>
                <w:rFonts w:ascii="Times New Roman" w:hAnsi="Times New Roman" w:eastAsia="仿宋_GB2312"/>
                <w:szCs w:val="21"/>
              </w:rPr>
            </w:pPr>
            <w:r>
              <w:rPr>
                <w:rFonts w:hint="eastAsia" w:ascii="Times New Roman" w:hAnsi="Times New Roman" w:eastAsia="仿宋_GB2312"/>
                <w:szCs w:val="21"/>
              </w:rPr>
              <w:t>4</w:t>
            </w:r>
          </w:p>
        </w:tc>
        <w:tc>
          <w:tcPr>
            <w:tcW w:w="1134" w:type="dxa"/>
            <w:vAlign w:val="center"/>
          </w:tcPr>
          <w:p w14:paraId="4CB0FD97">
            <w:pPr>
              <w:widowControl/>
              <w:spacing w:line="360" w:lineRule="auto"/>
              <w:jc w:val="center"/>
              <w:rPr>
                <w:rFonts w:ascii="Times New Roman" w:hAnsi="Times New Roman"/>
                <w:szCs w:val="21"/>
              </w:rPr>
            </w:pPr>
            <w:r>
              <w:rPr>
                <w:rFonts w:hint="eastAsia" w:ascii="Times New Roman" w:hAnsi="Times New Roman"/>
                <w:szCs w:val="21"/>
              </w:rPr>
              <w:t>接口</w:t>
            </w:r>
          </w:p>
        </w:tc>
        <w:tc>
          <w:tcPr>
            <w:tcW w:w="1388" w:type="dxa"/>
            <w:vAlign w:val="center"/>
          </w:tcPr>
          <w:p w14:paraId="3CFD6DCF">
            <w:pPr>
              <w:widowControl/>
              <w:spacing w:line="360" w:lineRule="auto"/>
              <w:jc w:val="center"/>
              <w:rPr>
                <w:rFonts w:ascii="Times New Roman" w:hAnsi="Times New Roman" w:eastAsia="仿宋_GB2312" w:cs="宋体"/>
                <w:snapToGrid w:val="0"/>
                <w:kern w:val="0"/>
                <w:szCs w:val="21"/>
                <w:lang w:val="zh-CN"/>
              </w:rPr>
            </w:pPr>
          </w:p>
        </w:tc>
        <w:tc>
          <w:tcPr>
            <w:tcW w:w="2864" w:type="dxa"/>
            <w:vAlign w:val="center"/>
          </w:tcPr>
          <w:p w14:paraId="616A83E0">
            <w:pPr>
              <w:widowControl/>
              <w:spacing w:line="360" w:lineRule="auto"/>
              <w:jc w:val="left"/>
              <w:rPr>
                <w:rFonts w:ascii="Times New Roman" w:hAnsi="Times New Roman" w:eastAsia="仿宋_GB2312"/>
                <w:szCs w:val="21"/>
              </w:rPr>
            </w:pPr>
            <w:r>
              <w:rPr>
                <w:rFonts w:hint="eastAsia" w:ascii="Times New Roman" w:hAnsi="Times New Roman" w:eastAsia="仿宋_GB2312"/>
                <w:szCs w:val="21"/>
              </w:rPr>
              <w:t>翻转式换锥，自带联锁保护，杜绝异常操作，无需移动炬室。</w:t>
            </w:r>
          </w:p>
        </w:tc>
        <w:tc>
          <w:tcPr>
            <w:tcW w:w="2126" w:type="dxa"/>
            <w:vAlign w:val="center"/>
          </w:tcPr>
          <w:p w14:paraId="4E5214DF">
            <w:pPr>
              <w:widowControl/>
              <w:spacing w:line="360" w:lineRule="auto"/>
              <w:jc w:val="center"/>
              <w:rPr>
                <w:rFonts w:ascii="Times New Roman" w:hAnsi="Times New Roman" w:eastAsia="仿宋_GB2312"/>
                <w:szCs w:val="21"/>
              </w:rPr>
            </w:pPr>
            <w:r>
              <w:rPr>
                <w:rFonts w:hint="eastAsia" w:ascii="Times New Roman" w:hAnsi="Times New Roman" w:eastAsia="仿宋_GB2312"/>
                <w:szCs w:val="21"/>
              </w:rPr>
              <w:t>否</w:t>
            </w:r>
          </w:p>
        </w:tc>
      </w:tr>
      <w:tr w14:paraId="02188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C60E3D5">
            <w:pPr>
              <w:spacing w:line="360" w:lineRule="auto"/>
              <w:jc w:val="center"/>
              <w:rPr>
                <w:rFonts w:ascii="Times New Roman" w:hAnsi="Times New Roman" w:eastAsia="仿宋_GB2312"/>
                <w:szCs w:val="21"/>
              </w:rPr>
            </w:pPr>
            <w:r>
              <w:rPr>
                <w:rFonts w:hint="eastAsia" w:ascii="Times New Roman" w:hAnsi="Times New Roman" w:eastAsia="仿宋_GB2312"/>
                <w:szCs w:val="21"/>
              </w:rPr>
              <w:t>5</w:t>
            </w:r>
          </w:p>
        </w:tc>
        <w:tc>
          <w:tcPr>
            <w:tcW w:w="1134" w:type="dxa"/>
            <w:vAlign w:val="center"/>
          </w:tcPr>
          <w:p w14:paraId="0C11412B">
            <w:pPr>
              <w:widowControl/>
              <w:spacing w:line="360" w:lineRule="auto"/>
              <w:jc w:val="center"/>
              <w:rPr>
                <w:rFonts w:ascii="Times New Roman" w:hAnsi="Times New Roman"/>
                <w:szCs w:val="21"/>
              </w:rPr>
            </w:pPr>
            <w:r>
              <w:rPr>
                <w:rFonts w:hint="eastAsia" w:ascii="Times New Roman" w:hAnsi="Times New Roman"/>
                <w:szCs w:val="21"/>
              </w:rPr>
              <w:t>离子传输系统</w:t>
            </w:r>
          </w:p>
        </w:tc>
        <w:tc>
          <w:tcPr>
            <w:tcW w:w="1388" w:type="dxa"/>
            <w:vAlign w:val="center"/>
          </w:tcPr>
          <w:p w14:paraId="0CFDB97C">
            <w:pPr>
              <w:widowControl/>
              <w:spacing w:line="360" w:lineRule="auto"/>
              <w:jc w:val="center"/>
              <w:rPr>
                <w:rFonts w:ascii="Times New Roman" w:hAnsi="Times New Roman" w:eastAsia="仿宋_GB2312" w:cs="宋体"/>
                <w:snapToGrid w:val="0"/>
                <w:kern w:val="0"/>
                <w:szCs w:val="21"/>
                <w:lang w:val="zh-CN"/>
              </w:rPr>
            </w:pPr>
          </w:p>
        </w:tc>
        <w:tc>
          <w:tcPr>
            <w:tcW w:w="2864" w:type="dxa"/>
            <w:vAlign w:val="center"/>
          </w:tcPr>
          <w:p w14:paraId="7CC1799F">
            <w:pPr>
              <w:widowControl/>
              <w:spacing w:line="360" w:lineRule="auto"/>
              <w:jc w:val="left"/>
              <w:rPr>
                <w:rFonts w:ascii="Times New Roman" w:hAnsi="Times New Roman" w:eastAsia="仿宋_GB2312"/>
                <w:szCs w:val="21"/>
              </w:rPr>
            </w:pPr>
            <w:r>
              <w:rPr>
                <w:rFonts w:hint="eastAsia" w:ascii="Times New Roman" w:hAnsi="Times New Roman" w:eastAsia="仿宋_GB2312"/>
                <w:szCs w:val="21"/>
              </w:rPr>
              <w:t>至少两次离轴设计，Q1四极杆前正交90°离轴设计，叠加碰撞池后离轴偏转。</w:t>
            </w:r>
          </w:p>
        </w:tc>
        <w:tc>
          <w:tcPr>
            <w:tcW w:w="2126" w:type="dxa"/>
            <w:vAlign w:val="center"/>
          </w:tcPr>
          <w:p w14:paraId="2563D614">
            <w:pPr>
              <w:widowControl/>
              <w:spacing w:line="360" w:lineRule="auto"/>
              <w:jc w:val="center"/>
              <w:rPr>
                <w:rFonts w:ascii="Times New Roman" w:hAnsi="Times New Roman" w:eastAsia="仿宋_GB2312"/>
                <w:szCs w:val="21"/>
              </w:rPr>
            </w:pPr>
            <w:r>
              <w:rPr>
                <w:rFonts w:ascii="Times New Roman" w:hAnsi="Times New Roman" w:eastAsia="仿宋_GB2312"/>
                <w:szCs w:val="21"/>
              </w:rPr>
              <w:t>是</w:t>
            </w:r>
          </w:p>
        </w:tc>
      </w:tr>
      <w:tr w14:paraId="7E26C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1FCD46B">
            <w:pPr>
              <w:spacing w:line="360" w:lineRule="auto"/>
              <w:jc w:val="center"/>
              <w:rPr>
                <w:rFonts w:ascii="Times New Roman" w:hAnsi="Times New Roman" w:eastAsia="仿宋_GB2312"/>
                <w:szCs w:val="21"/>
              </w:rPr>
            </w:pPr>
            <w:r>
              <w:rPr>
                <w:rFonts w:hint="eastAsia" w:ascii="Times New Roman" w:hAnsi="Times New Roman" w:eastAsia="仿宋_GB2312"/>
                <w:szCs w:val="21"/>
              </w:rPr>
              <w:t>6</w:t>
            </w:r>
          </w:p>
        </w:tc>
        <w:tc>
          <w:tcPr>
            <w:tcW w:w="1134" w:type="dxa"/>
            <w:vAlign w:val="center"/>
          </w:tcPr>
          <w:p w14:paraId="5B6DC7B1">
            <w:pPr>
              <w:widowControl/>
              <w:spacing w:line="360" w:lineRule="auto"/>
              <w:jc w:val="center"/>
              <w:rPr>
                <w:rFonts w:ascii="Times New Roman" w:hAnsi="Times New Roman"/>
                <w:szCs w:val="21"/>
              </w:rPr>
            </w:pPr>
            <w:r>
              <w:rPr>
                <w:rFonts w:hint="eastAsia" w:ascii="Times New Roman" w:hAnsi="Times New Roman"/>
                <w:szCs w:val="21"/>
              </w:rPr>
              <w:t>碰撞反应池</w:t>
            </w:r>
          </w:p>
        </w:tc>
        <w:tc>
          <w:tcPr>
            <w:tcW w:w="1388" w:type="dxa"/>
            <w:vAlign w:val="center"/>
          </w:tcPr>
          <w:p w14:paraId="1D92B255">
            <w:pPr>
              <w:widowControl/>
              <w:spacing w:line="360" w:lineRule="auto"/>
              <w:jc w:val="center"/>
              <w:rPr>
                <w:rFonts w:ascii="Times New Roman" w:hAnsi="Times New Roman" w:eastAsia="仿宋_GB2312" w:cs="宋体"/>
                <w:snapToGrid w:val="0"/>
                <w:kern w:val="0"/>
                <w:szCs w:val="21"/>
                <w:lang w:val="zh-CN"/>
              </w:rPr>
            </w:pPr>
          </w:p>
        </w:tc>
        <w:tc>
          <w:tcPr>
            <w:tcW w:w="2864" w:type="dxa"/>
            <w:vAlign w:val="center"/>
          </w:tcPr>
          <w:p w14:paraId="1FD01B55">
            <w:pPr>
              <w:widowControl/>
              <w:spacing w:line="360" w:lineRule="auto"/>
              <w:jc w:val="left"/>
              <w:rPr>
                <w:rFonts w:ascii="Times New Roman" w:hAnsi="Times New Roman" w:eastAsia="仿宋_GB2312"/>
                <w:szCs w:val="21"/>
              </w:rPr>
            </w:pPr>
            <w:r>
              <w:rPr>
                <w:rFonts w:hint="eastAsia" w:ascii="Times New Roman" w:hAnsi="Times New Roman" w:eastAsia="仿宋_GB2312"/>
                <w:szCs w:val="21"/>
              </w:rPr>
              <w:t>采用八极杆碰撞反应池系统，具有轴向加速功能，能够将反应气分子撞击后的低动能离子聚焦、加速，提高反应模式下灵敏度。</w:t>
            </w:r>
          </w:p>
        </w:tc>
        <w:tc>
          <w:tcPr>
            <w:tcW w:w="2126" w:type="dxa"/>
            <w:vAlign w:val="center"/>
          </w:tcPr>
          <w:p w14:paraId="0DB5450D">
            <w:pPr>
              <w:widowControl/>
              <w:spacing w:line="360" w:lineRule="auto"/>
              <w:jc w:val="center"/>
              <w:rPr>
                <w:rFonts w:ascii="Times New Roman" w:hAnsi="Times New Roman" w:eastAsia="仿宋_GB2312"/>
                <w:szCs w:val="21"/>
              </w:rPr>
            </w:pPr>
            <w:r>
              <w:rPr>
                <w:rFonts w:ascii="Times New Roman" w:hAnsi="Times New Roman" w:eastAsia="仿宋_GB2312"/>
                <w:szCs w:val="21"/>
              </w:rPr>
              <w:t>是</w:t>
            </w:r>
          </w:p>
        </w:tc>
      </w:tr>
      <w:tr w14:paraId="7823A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1B5EA04">
            <w:pPr>
              <w:spacing w:line="360" w:lineRule="auto"/>
              <w:jc w:val="center"/>
              <w:rPr>
                <w:rFonts w:ascii="Times New Roman" w:hAnsi="Times New Roman" w:eastAsia="仿宋_GB2312"/>
                <w:szCs w:val="21"/>
              </w:rPr>
            </w:pPr>
            <w:r>
              <w:rPr>
                <w:rFonts w:hint="eastAsia" w:ascii="Times New Roman" w:hAnsi="Times New Roman" w:eastAsia="仿宋_GB2312"/>
                <w:szCs w:val="21"/>
              </w:rPr>
              <w:t>7</w:t>
            </w:r>
          </w:p>
        </w:tc>
        <w:tc>
          <w:tcPr>
            <w:tcW w:w="1134" w:type="dxa"/>
            <w:vAlign w:val="center"/>
          </w:tcPr>
          <w:p w14:paraId="2ADF5FDD">
            <w:pPr>
              <w:widowControl/>
              <w:spacing w:line="360" w:lineRule="auto"/>
              <w:jc w:val="center"/>
              <w:rPr>
                <w:rFonts w:ascii="Times New Roman" w:hAnsi="Times New Roman"/>
                <w:szCs w:val="21"/>
              </w:rPr>
            </w:pPr>
            <w:r>
              <w:rPr>
                <w:rFonts w:hint="eastAsia" w:ascii="Times New Roman" w:hAnsi="Times New Roman"/>
                <w:szCs w:val="21"/>
              </w:rPr>
              <w:t>检测器</w:t>
            </w:r>
          </w:p>
        </w:tc>
        <w:tc>
          <w:tcPr>
            <w:tcW w:w="1388" w:type="dxa"/>
            <w:vAlign w:val="center"/>
          </w:tcPr>
          <w:p w14:paraId="566D74E7">
            <w:pPr>
              <w:widowControl/>
              <w:spacing w:line="360" w:lineRule="auto"/>
              <w:jc w:val="center"/>
              <w:rPr>
                <w:rFonts w:ascii="Times New Roman" w:hAnsi="Times New Roman" w:eastAsia="仿宋_GB2312" w:cs="宋体"/>
                <w:snapToGrid w:val="0"/>
                <w:kern w:val="0"/>
                <w:szCs w:val="21"/>
                <w:lang w:val="zh-CN"/>
              </w:rPr>
            </w:pPr>
          </w:p>
        </w:tc>
        <w:tc>
          <w:tcPr>
            <w:tcW w:w="2864" w:type="dxa"/>
            <w:vAlign w:val="center"/>
          </w:tcPr>
          <w:p w14:paraId="402AB708">
            <w:pPr>
              <w:widowControl/>
              <w:spacing w:line="360" w:lineRule="auto"/>
              <w:jc w:val="left"/>
              <w:rPr>
                <w:rFonts w:ascii="Times New Roman" w:hAnsi="Times New Roman" w:eastAsia="仿宋_GB2312"/>
                <w:szCs w:val="21"/>
              </w:rPr>
            </w:pPr>
            <w:r>
              <w:rPr>
                <w:rFonts w:hint="eastAsia" w:ascii="Times New Roman" w:hAnsi="Times New Roman" w:eastAsia="仿宋_GB2312"/>
                <w:szCs w:val="21"/>
              </w:rPr>
              <w:t>带直角偏转设计，脉冲/模拟双模式不连续打拿极电子倍增器，提供不少于9个数量级的动态范围。</w:t>
            </w:r>
          </w:p>
        </w:tc>
        <w:tc>
          <w:tcPr>
            <w:tcW w:w="2126" w:type="dxa"/>
            <w:vAlign w:val="center"/>
          </w:tcPr>
          <w:p w14:paraId="41BC8413">
            <w:pPr>
              <w:widowControl/>
              <w:spacing w:line="360" w:lineRule="auto"/>
              <w:jc w:val="center"/>
              <w:rPr>
                <w:rFonts w:ascii="Times New Roman" w:hAnsi="Times New Roman" w:eastAsia="仿宋_GB2312"/>
                <w:szCs w:val="21"/>
              </w:rPr>
            </w:pPr>
            <w:r>
              <w:rPr>
                <w:rFonts w:hint="eastAsia" w:ascii="Times New Roman" w:hAnsi="Times New Roman" w:eastAsia="仿宋_GB2312"/>
                <w:szCs w:val="21"/>
              </w:rPr>
              <w:t>否</w:t>
            </w:r>
          </w:p>
        </w:tc>
      </w:tr>
      <w:tr w14:paraId="04CB2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A19E033">
            <w:pPr>
              <w:spacing w:line="360" w:lineRule="auto"/>
              <w:jc w:val="center"/>
              <w:rPr>
                <w:rFonts w:ascii="Times New Roman" w:hAnsi="Times New Roman" w:eastAsia="仿宋_GB2312"/>
                <w:szCs w:val="21"/>
              </w:rPr>
            </w:pPr>
            <w:r>
              <w:rPr>
                <w:rFonts w:hint="eastAsia" w:ascii="Times New Roman" w:hAnsi="Times New Roman" w:eastAsia="仿宋_GB2312"/>
                <w:szCs w:val="21"/>
              </w:rPr>
              <w:t>8</w:t>
            </w:r>
          </w:p>
        </w:tc>
        <w:tc>
          <w:tcPr>
            <w:tcW w:w="1134" w:type="dxa"/>
            <w:vAlign w:val="center"/>
          </w:tcPr>
          <w:p w14:paraId="1DBAC066">
            <w:pPr>
              <w:widowControl/>
              <w:spacing w:line="360" w:lineRule="auto"/>
              <w:jc w:val="center"/>
              <w:rPr>
                <w:rFonts w:ascii="Times New Roman" w:hAnsi="Times New Roman"/>
                <w:szCs w:val="21"/>
              </w:rPr>
            </w:pPr>
            <w:r>
              <w:rPr>
                <w:rFonts w:hint="eastAsia" w:ascii="Times New Roman" w:hAnsi="Times New Roman"/>
                <w:szCs w:val="21"/>
              </w:rPr>
              <w:t>等离子体观测</w:t>
            </w:r>
          </w:p>
        </w:tc>
        <w:tc>
          <w:tcPr>
            <w:tcW w:w="1388" w:type="dxa"/>
            <w:vAlign w:val="center"/>
          </w:tcPr>
          <w:p w14:paraId="2073C18E">
            <w:pPr>
              <w:widowControl/>
              <w:spacing w:line="360" w:lineRule="auto"/>
              <w:jc w:val="center"/>
              <w:rPr>
                <w:rFonts w:ascii="Times New Roman" w:hAnsi="Times New Roman" w:eastAsia="仿宋_GB2312" w:cs="宋体"/>
                <w:snapToGrid w:val="0"/>
                <w:kern w:val="0"/>
                <w:szCs w:val="21"/>
                <w:lang w:val="zh-CN"/>
              </w:rPr>
            </w:pPr>
          </w:p>
        </w:tc>
        <w:tc>
          <w:tcPr>
            <w:tcW w:w="2864" w:type="dxa"/>
            <w:vAlign w:val="center"/>
          </w:tcPr>
          <w:p w14:paraId="13D5166B">
            <w:pPr>
              <w:widowControl/>
              <w:spacing w:line="360" w:lineRule="auto"/>
              <w:jc w:val="left"/>
              <w:rPr>
                <w:rFonts w:ascii="Times New Roman" w:hAnsi="Times New Roman" w:eastAsia="仿宋_GB2312"/>
                <w:szCs w:val="21"/>
              </w:rPr>
            </w:pPr>
            <w:r>
              <w:rPr>
                <w:rFonts w:hint="eastAsia" w:ascii="Times New Roman" w:hAnsi="Times New Roman" w:eastAsia="仿宋_GB2312"/>
                <w:szCs w:val="21"/>
              </w:rPr>
              <w:t>具有带电磁屏蔽的等离子体实时观测功能。</w:t>
            </w:r>
          </w:p>
        </w:tc>
        <w:tc>
          <w:tcPr>
            <w:tcW w:w="2126" w:type="dxa"/>
            <w:vAlign w:val="center"/>
          </w:tcPr>
          <w:p w14:paraId="70C9B254">
            <w:pPr>
              <w:widowControl/>
              <w:spacing w:line="360" w:lineRule="auto"/>
              <w:jc w:val="center"/>
              <w:rPr>
                <w:rFonts w:ascii="Times New Roman" w:hAnsi="Times New Roman" w:eastAsia="仿宋_GB2312"/>
                <w:szCs w:val="21"/>
              </w:rPr>
            </w:pPr>
            <w:r>
              <w:rPr>
                <w:rFonts w:hint="eastAsia" w:ascii="Times New Roman" w:hAnsi="Times New Roman" w:eastAsia="仿宋_GB2312"/>
                <w:szCs w:val="21"/>
              </w:rPr>
              <w:t>否</w:t>
            </w:r>
          </w:p>
        </w:tc>
      </w:tr>
      <w:tr w14:paraId="49ABE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0C44F88">
            <w:pPr>
              <w:spacing w:line="360" w:lineRule="auto"/>
              <w:jc w:val="center"/>
              <w:rPr>
                <w:rFonts w:ascii="Times New Roman" w:hAnsi="Times New Roman" w:eastAsia="仿宋_GB2312"/>
                <w:szCs w:val="21"/>
              </w:rPr>
            </w:pPr>
            <w:r>
              <w:rPr>
                <w:rFonts w:hint="eastAsia" w:ascii="Times New Roman" w:hAnsi="Times New Roman" w:eastAsia="仿宋_GB2312"/>
                <w:szCs w:val="21"/>
              </w:rPr>
              <w:t>9</w:t>
            </w:r>
          </w:p>
        </w:tc>
        <w:tc>
          <w:tcPr>
            <w:tcW w:w="1134" w:type="dxa"/>
            <w:vAlign w:val="center"/>
          </w:tcPr>
          <w:p w14:paraId="062BC184">
            <w:pPr>
              <w:widowControl/>
              <w:spacing w:line="360" w:lineRule="auto"/>
              <w:jc w:val="center"/>
              <w:rPr>
                <w:rFonts w:ascii="Times New Roman" w:hAnsi="Times New Roman"/>
                <w:szCs w:val="21"/>
              </w:rPr>
            </w:pPr>
            <w:r>
              <w:rPr>
                <w:rFonts w:hint="eastAsia" w:ascii="Times New Roman" w:hAnsi="Times New Roman"/>
                <w:szCs w:val="21"/>
              </w:rPr>
              <w:t>单颗粒功能</w:t>
            </w:r>
          </w:p>
        </w:tc>
        <w:tc>
          <w:tcPr>
            <w:tcW w:w="1388" w:type="dxa"/>
            <w:vAlign w:val="center"/>
          </w:tcPr>
          <w:p w14:paraId="57ABA5C4">
            <w:pPr>
              <w:widowControl/>
              <w:spacing w:line="360" w:lineRule="auto"/>
              <w:jc w:val="center"/>
              <w:rPr>
                <w:rFonts w:ascii="Times New Roman" w:hAnsi="Times New Roman" w:eastAsia="仿宋_GB2312" w:cs="宋体"/>
                <w:snapToGrid w:val="0"/>
                <w:kern w:val="0"/>
                <w:szCs w:val="21"/>
                <w:lang w:val="zh-CN"/>
              </w:rPr>
            </w:pPr>
            <w:r>
              <w:rPr>
                <w:rFonts w:hint="eastAsia" w:ascii="Times New Roman" w:hAnsi="Times New Roman" w:eastAsia="仿宋_GB2312" w:cs="宋体"/>
                <w:snapToGrid w:val="0"/>
                <w:kern w:val="0"/>
                <w:szCs w:val="21"/>
                <w:lang w:val="zh-CN"/>
              </w:rPr>
              <w:t>★</w:t>
            </w:r>
          </w:p>
        </w:tc>
        <w:tc>
          <w:tcPr>
            <w:tcW w:w="2864" w:type="dxa"/>
            <w:vAlign w:val="center"/>
          </w:tcPr>
          <w:p w14:paraId="6F033A1B">
            <w:pPr>
              <w:widowControl/>
              <w:spacing w:line="360" w:lineRule="auto"/>
              <w:jc w:val="left"/>
              <w:rPr>
                <w:rFonts w:ascii="Times New Roman" w:hAnsi="Times New Roman" w:eastAsia="仿宋_GB2312"/>
                <w:szCs w:val="21"/>
              </w:rPr>
            </w:pPr>
            <w:r>
              <w:rPr>
                <w:rFonts w:hint="eastAsia" w:ascii="Times New Roman" w:hAnsi="Times New Roman" w:eastAsia="仿宋_GB2312"/>
                <w:szCs w:val="21"/>
              </w:rPr>
              <w:t>具备专用的单颗粒分析软件，可提供单颗粒分析模式，四极杆最短驻留时间：10 µS。</w:t>
            </w:r>
          </w:p>
        </w:tc>
        <w:tc>
          <w:tcPr>
            <w:tcW w:w="2126" w:type="dxa"/>
            <w:vAlign w:val="center"/>
          </w:tcPr>
          <w:p w14:paraId="69D91FF5">
            <w:pPr>
              <w:widowControl/>
              <w:spacing w:line="360" w:lineRule="auto"/>
              <w:jc w:val="center"/>
              <w:rPr>
                <w:rFonts w:ascii="Times New Roman" w:hAnsi="Times New Roman" w:eastAsia="仿宋_GB2312"/>
                <w:szCs w:val="21"/>
              </w:rPr>
            </w:pPr>
            <w:r>
              <w:rPr>
                <w:rFonts w:ascii="Times New Roman" w:hAnsi="Times New Roman" w:eastAsia="仿宋_GB2312"/>
                <w:szCs w:val="21"/>
              </w:rPr>
              <w:t>是</w:t>
            </w:r>
          </w:p>
        </w:tc>
      </w:tr>
      <w:tr w14:paraId="202EE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2DBF541">
            <w:pPr>
              <w:spacing w:line="360" w:lineRule="auto"/>
              <w:jc w:val="center"/>
              <w:rPr>
                <w:rFonts w:ascii="Times New Roman" w:hAnsi="Times New Roman" w:eastAsia="仿宋_GB2312"/>
                <w:szCs w:val="21"/>
              </w:rPr>
            </w:pPr>
            <w:r>
              <w:rPr>
                <w:rFonts w:hint="eastAsia" w:ascii="Times New Roman" w:hAnsi="Times New Roman" w:eastAsia="仿宋_GB2312"/>
                <w:szCs w:val="21"/>
              </w:rPr>
              <w:t>10</w:t>
            </w:r>
          </w:p>
        </w:tc>
        <w:tc>
          <w:tcPr>
            <w:tcW w:w="1134" w:type="dxa"/>
            <w:vAlign w:val="center"/>
          </w:tcPr>
          <w:p w14:paraId="2B5CB8D3">
            <w:pPr>
              <w:widowControl/>
              <w:spacing w:line="360" w:lineRule="auto"/>
              <w:jc w:val="center"/>
              <w:rPr>
                <w:rFonts w:ascii="Times New Roman" w:hAnsi="Times New Roman" w:eastAsia="仿宋_GB2312"/>
                <w:szCs w:val="21"/>
              </w:rPr>
            </w:pPr>
            <w:r>
              <w:rPr>
                <w:rFonts w:hint="eastAsia" w:ascii="Times New Roman" w:hAnsi="Times New Roman"/>
                <w:szCs w:val="21"/>
              </w:rPr>
              <w:t>检出限：</w:t>
            </w:r>
          </w:p>
        </w:tc>
        <w:tc>
          <w:tcPr>
            <w:tcW w:w="1388" w:type="dxa"/>
            <w:vAlign w:val="center"/>
          </w:tcPr>
          <w:p w14:paraId="1F2B33F2">
            <w:pPr>
              <w:widowControl/>
              <w:spacing w:line="360" w:lineRule="auto"/>
              <w:jc w:val="center"/>
              <w:rPr>
                <w:rFonts w:ascii="Times New Roman" w:hAnsi="Times New Roman" w:eastAsia="仿宋_GB2312"/>
                <w:szCs w:val="21"/>
              </w:rPr>
            </w:pPr>
            <w:r>
              <w:rPr>
                <w:rFonts w:hint="eastAsia" w:ascii="Times New Roman" w:hAnsi="Times New Roman" w:eastAsia="仿宋_GB2312" w:cs="宋体"/>
                <w:snapToGrid w:val="0"/>
                <w:kern w:val="0"/>
                <w:szCs w:val="21"/>
                <w:lang w:val="zh-CN"/>
              </w:rPr>
              <w:t>★</w:t>
            </w:r>
          </w:p>
        </w:tc>
        <w:tc>
          <w:tcPr>
            <w:tcW w:w="2864" w:type="dxa"/>
            <w:vAlign w:val="center"/>
          </w:tcPr>
          <w:p w14:paraId="577494B8">
            <w:pPr>
              <w:widowControl/>
              <w:spacing w:line="360" w:lineRule="auto"/>
              <w:jc w:val="left"/>
              <w:rPr>
                <w:rFonts w:ascii="Times New Roman" w:hAnsi="Times New Roman" w:eastAsia="仿宋_GB2312"/>
                <w:szCs w:val="21"/>
              </w:rPr>
            </w:pPr>
            <w:r>
              <w:rPr>
                <w:rFonts w:hint="eastAsia" w:ascii="Times New Roman" w:hAnsi="Times New Roman" w:eastAsia="仿宋_GB2312"/>
                <w:szCs w:val="21"/>
              </w:rPr>
              <w:t>0.1 - 1 ppt（痕量元素），低质量数&lt; 0.5ppt；中质量数&lt; 0.1ppt；高质量数&lt; 0.1ppt</w:t>
            </w:r>
          </w:p>
        </w:tc>
        <w:tc>
          <w:tcPr>
            <w:tcW w:w="2126" w:type="dxa"/>
            <w:vAlign w:val="center"/>
          </w:tcPr>
          <w:p w14:paraId="2E7A2D76">
            <w:pPr>
              <w:widowControl/>
              <w:spacing w:line="360" w:lineRule="auto"/>
              <w:jc w:val="center"/>
              <w:rPr>
                <w:rFonts w:ascii="Times New Roman" w:hAnsi="Times New Roman" w:eastAsia="仿宋_GB2312"/>
                <w:szCs w:val="21"/>
              </w:rPr>
            </w:pPr>
            <w:r>
              <w:rPr>
                <w:rFonts w:hint="eastAsia" w:ascii="Times New Roman" w:hAnsi="Times New Roman" w:eastAsia="仿宋_GB2312"/>
                <w:szCs w:val="21"/>
              </w:rPr>
              <w:t>否</w:t>
            </w:r>
          </w:p>
        </w:tc>
      </w:tr>
      <w:tr w14:paraId="21DD0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41732FFA">
            <w:pPr>
              <w:spacing w:line="360" w:lineRule="auto"/>
              <w:jc w:val="center"/>
              <w:rPr>
                <w:rFonts w:ascii="Times New Roman" w:hAnsi="Times New Roman" w:eastAsia="仿宋_GB2312"/>
                <w:szCs w:val="21"/>
              </w:rPr>
            </w:pPr>
            <w:r>
              <w:rPr>
                <w:rFonts w:hint="eastAsia" w:ascii="Times New Roman" w:hAnsi="Times New Roman" w:eastAsia="仿宋_GB2312"/>
                <w:szCs w:val="21"/>
              </w:rPr>
              <w:t>11</w:t>
            </w:r>
          </w:p>
        </w:tc>
        <w:tc>
          <w:tcPr>
            <w:tcW w:w="1134" w:type="dxa"/>
            <w:vAlign w:val="center"/>
          </w:tcPr>
          <w:p w14:paraId="7B046E4C">
            <w:pPr>
              <w:widowControl/>
              <w:spacing w:line="360" w:lineRule="auto"/>
              <w:jc w:val="center"/>
              <w:rPr>
                <w:rFonts w:ascii="Times New Roman" w:hAnsi="Times New Roman" w:eastAsia="仿宋_GB2312"/>
                <w:szCs w:val="21"/>
              </w:rPr>
            </w:pPr>
            <w:r>
              <w:rPr>
                <w:rFonts w:hint="eastAsia" w:ascii="Times New Roman" w:hAnsi="Times New Roman"/>
                <w:szCs w:val="21"/>
              </w:rPr>
              <w:t>丰度灵敏度：</w:t>
            </w:r>
          </w:p>
        </w:tc>
        <w:tc>
          <w:tcPr>
            <w:tcW w:w="1388" w:type="dxa"/>
            <w:vAlign w:val="center"/>
          </w:tcPr>
          <w:p w14:paraId="740849B3">
            <w:pPr>
              <w:widowControl/>
              <w:spacing w:line="360" w:lineRule="auto"/>
              <w:jc w:val="center"/>
              <w:rPr>
                <w:rFonts w:ascii="Times New Roman" w:hAnsi="Times New Roman" w:eastAsia="仿宋_GB2312"/>
                <w:szCs w:val="21"/>
              </w:rPr>
            </w:pPr>
            <w:r>
              <w:rPr>
                <w:rFonts w:hint="eastAsia" w:ascii="Times New Roman" w:hAnsi="Times New Roman" w:eastAsia="仿宋_GB2312" w:cs="宋体"/>
                <w:snapToGrid w:val="0"/>
                <w:kern w:val="0"/>
                <w:szCs w:val="21"/>
                <w:lang w:val="zh-CN"/>
              </w:rPr>
              <w:t>★</w:t>
            </w:r>
          </w:p>
        </w:tc>
        <w:tc>
          <w:tcPr>
            <w:tcW w:w="2864" w:type="dxa"/>
            <w:vAlign w:val="center"/>
          </w:tcPr>
          <w:p w14:paraId="7D004E09">
            <w:pPr>
              <w:widowControl/>
              <w:spacing w:line="360" w:lineRule="auto"/>
              <w:jc w:val="left"/>
              <w:rPr>
                <w:rFonts w:ascii="Times New Roman" w:hAnsi="Times New Roman"/>
                <w:szCs w:val="21"/>
              </w:rPr>
            </w:pPr>
            <w:r>
              <w:rPr>
                <w:rFonts w:hint="eastAsia" w:ascii="Times New Roman" w:hAnsi="Times New Roman"/>
                <w:szCs w:val="21"/>
              </w:rPr>
              <w:t>&lt; 0.005 ppm（50×10-10）</w:t>
            </w:r>
          </w:p>
        </w:tc>
        <w:tc>
          <w:tcPr>
            <w:tcW w:w="2126" w:type="dxa"/>
            <w:vAlign w:val="center"/>
          </w:tcPr>
          <w:p w14:paraId="0FBEB2C6">
            <w:pPr>
              <w:widowControl/>
              <w:spacing w:line="360" w:lineRule="auto"/>
              <w:jc w:val="center"/>
              <w:rPr>
                <w:rFonts w:ascii="Times New Roman" w:hAnsi="Times New Roman" w:eastAsia="仿宋_GB2312"/>
                <w:szCs w:val="21"/>
              </w:rPr>
            </w:pPr>
            <w:r>
              <w:rPr>
                <w:rFonts w:hint="eastAsia" w:ascii="Times New Roman" w:hAnsi="Times New Roman" w:eastAsia="仿宋_GB2312"/>
                <w:szCs w:val="21"/>
              </w:rPr>
              <w:t>否</w:t>
            </w:r>
          </w:p>
        </w:tc>
      </w:tr>
      <w:tr w14:paraId="7C016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67CBAF0">
            <w:pPr>
              <w:spacing w:line="360" w:lineRule="auto"/>
              <w:jc w:val="center"/>
              <w:rPr>
                <w:rFonts w:ascii="Times New Roman" w:hAnsi="Times New Roman" w:eastAsia="仿宋_GB2312"/>
                <w:szCs w:val="21"/>
              </w:rPr>
            </w:pPr>
            <w:r>
              <w:rPr>
                <w:rFonts w:hint="eastAsia" w:ascii="Times New Roman" w:hAnsi="Times New Roman" w:eastAsia="仿宋_GB2312"/>
                <w:szCs w:val="21"/>
              </w:rPr>
              <w:t>12</w:t>
            </w:r>
          </w:p>
        </w:tc>
        <w:tc>
          <w:tcPr>
            <w:tcW w:w="1134" w:type="dxa"/>
            <w:vAlign w:val="center"/>
          </w:tcPr>
          <w:p w14:paraId="6A1C63C6">
            <w:pPr>
              <w:widowControl/>
              <w:spacing w:line="360" w:lineRule="auto"/>
              <w:jc w:val="center"/>
              <w:rPr>
                <w:rFonts w:ascii="Times New Roman" w:hAnsi="Times New Roman" w:eastAsia="仿宋_GB2312"/>
                <w:szCs w:val="21"/>
              </w:rPr>
            </w:pPr>
            <w:r>
              <w:rPr>
                <w:rFonts w:hint="eastAsia" w:ascii="Times New Roman" w:hAnsi="Times New Roman"/>
                <w:szCs w:val="21"/>
              </w:rPr>
              <w:t>灵敏度：</w:t>
            </w:r>
          </w:p>
        </w:tc>
        <w:tc>
          <w:tcPr>
            <w:tcW w:w="1388" w:type="dxa"/>
            <w:vAlign w:val="center"/>
          </w:tcPr>
          <w:p w14:paraId="5E2C93EC">
            <w:pPr>
              <w:widowControl/>
              <w:spacing w:line="360" w:lineRule="auto"/>
              <w:jc w:val="center"/>
              <w:rPr>
                <w:rFonts w:ascii="Times New Roman" w:hAnsi="Times New Roman" w:eastAsia="仿宋_GB2312"/>
                <w:szCs w:val="21"/>
              </w:rPr>
            </w:pPr>
          </w:p>
        </w:tc>
        <w:tc>
          <w:tcPr>
            <w:tcW w:w="2864" w:type="dxa"/>
            <w:vAlign w:val="center"/>
          </w:tcPr>
          <w:p w14:paraId="6F339B46">
            <w:pPr>
              <w:widowControl/>
              <w:spacing w:line="360" w:lineRule="auto"/>
              <w:jc w:val="left"/>
              <w:rPr>
                <w:rFonts w:ascii="Times New Roman" w:hAnsi="Times New Roman" w:eastAsia="仿宋_GB2312"/>
                <w:szCs w:val="21"/>
              </w:rPr>
            </w:pPr>
            <w:r>
              <w:rPr>
                <w:rFonts w:hint="eastAsia" w:ascii="Times New Roman" w:hAnsi="Times New Roman"/>
                <w:szCs w:val="21"/>
              </w:rPr>
              <w:t>低质量数—100 Mcps/ppm；中质量数—350 Mcps/ppm；高质量数—350 Mcps/ppm</w:t>
            </w:r>
          </w:p>
        </w:tc>
        <w:tc>
          <w:tcPr>
            <w:tcW w:w="2126" w:type="dxa"/>
            <w:vAlign w:val="center"/>
          </w:tcPr>
          <w:p w14:paraId="29D8C4C4">
            <w:pPr>
              <w:widowControl/>
              <w:spacing w:line="360" w:lineRule="auto"/>
              <w:jc w:val="center"/>
              <w:rPr>
                <w:rFonts w:ascii="Times New Roman" w:hAnsi="Times New Roman" w:eastAsia="仿宋_GB2312"/>
                <w:szCs w:val="21"/>
              </w:rPr>
            </w:pPr>
            <w:r>
              <w:rPr>
                <w:rFonts w:hint="eastAsia" w:ascii="Times New Roman" w:hAnsi="Times New Roman" w:eastAsia="仿宋_GB2312"/>
                <w:szCs w:val="21"/>
              </w:rPr>
              <w:t>否</w:t>
            </w:r>
          </w:p>
        </w:tc>
      </w:tr>
      <w:tr w14:paraId="2CDC3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C23234A">
            <w:pPr>
              <w:spacing w:line="360" w:lineRule="auto"/>
              <w:jc w:val="center"/>
              <w:rPr>
                <w:rFonts w:ascii="Times New Roman" w:hAnsi="Times New Roman" w:eastAsia="仿宋_GB2312"/>
                <w:szCs w:val="21"/>
              </w:rPr>
            </w:pPr>
            <w:r>
              <w:rPr>
                <w:rFonts w:hint="eastAsia" w:ascii="Times New Roman" w:hAnsi="Times New Roman" w:eastAsia="仿宋_GB2312"/>
                <w:szCs w:val="21"/>
              </w:rPr>
              <w:t>13</w:t>
            </w:r>
          </w:p>
        </w:tc>
        <w:tc>
          <w:tcPr>
            <w:tcW w:w="1134" w:type="dxa"/>
            <w:vAlign w:val="center"/>
          </w:tcPr>
          <w:p w14:paraId="4B0DB968">
            <w:pPr>
              <w:widowControl/>
              <w:spacing w:line="360" w:lineRule="auto"/>
              <w:jc w:val="center"/>
              <w:rPr>
                <w:rFonts w:ascii="Times New Roman" w:hAnsi="Times New Roman"/>
                <w:szCs w:val="21"/>
              </w:rPr>
            </w:pPr>
            <w:r>
              <w:rPr>
                <w:rFonts w:hint="eastAsia" w:ascii="Times New Roman" w:hAnsi="Times New Roman"/>
                <w:szCs w:val="21"/>
              </w:rPr>
              <w:t>采集速度</w:t>
            </w:r>
          </w:p>
        </w:tc>
        <w:tc>
          <w:tcPr>
            <w:tcW w:w="1388" w:type="dxa"/>
            <w:vAlign w:val="center"/>
          </w:tcPr>
          <w:p w14:paraId="688E975B">
            <w:pPr>
              <w:widowControl/>
              <w:spacing w:line="360" w:lineRule="auto"/>
              <w:jc w:val="center"/>
              <w:rPr>
                <w:rFonts w:ascii="Times New Roman" w:hAnsi="Times New Roman" w:eastAsia="仿宋_GB2312"/>
                <w:szCs w:val="21"/>
              </w:rPr>
            </w:pPr>
          </w:p>
        </w:tc>
        <w:tc>
          <w:tcPr>
            <w:tcW w:w="2864" w:type="dxa"/>
            <w:vAlign w:val="center"/>
          </w:tcPr>
          <w:p w14:paraId="41517053">
            <w:pPr>
              <w:widowControl/>
              <w:spacing w:line="360" w:lineRule="auto"/>
              <w:jc w:val="left"/>
              <w:rPr>
                <w:rFonts w:ascii="Times New Roman" w:hAnsi="Times New Roman" w:eastAsia="仿宋_GB2312"/>
                <w:szCs w:val="21"/>
              </w:rPr>
            </w:pPr>
            <w:r>
              <w:rPr>
                <w:rFonts w:hint="eastAsia" w:ascii="Times New Roman" w:hAnsi="Times New Roman"/>
                <w:szCs w:val="21"/>
              </w:rPr>
              <w:t>0.1 ms</w:t>
            </w:r>
          </w:p>
        </w:tc>
        <w:tc>
          <w:tcPr>
            <w:tcW w:w="2126" w:type="dxa"/>
            <w:vAlign w:val="center"/>
          </w:tcPr>
          <w:p w14:paraId="6C4EFA10">
            <w:pPr>
              <w:widowControl/>
              <w:spacing w:line="360" w:lineRule="auto"/>
              <w:jc w:val="center"/>
              <w:rPr>
                <w:rFonts w:ascii="Times New Roman" w:hAnsi="Times New Roman" w:eastAsia="仿宋_GB2312"/>
                <w:szCs w:val="21"/>
              </w:rPr>
            </w:pPr>
            <w:r>
              <w:rPr>
                <w:rFonts w:hint="eastAsia" w:ascii="Times New Roman" w:hAnsi="Times New Roman" w:eastAsia="仿宋_GB2312"/>
                <w:szCs w:val="21"/>
              </w:rPr>
              <w:t>否</w:t>
            </w:r>
          </w:p>
        </w:tc>
      </w:tr>
      <w:tr w14:paraId="5C060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72FC546">
            <w:pPr>
              <w:spacing w:line="360" w:lineRule="auto"/>
              <w:jc w:val="center"/>
              <w:rPr>
                <w:rFonts w:ascii="Times New Roman" w:hAnsi="Times New Roman" w:eastAsia="仿宋_GB2312"/>
                <w:szCs w:val="21"/>
              </w:rPr>
            </w:pPr>
            <w:r>
              <w:rPr>
                <w:rFonts w:hint="eastAsia" w:ascii="Times New Roman" w:hAnsi="Times New Roman" w:eastAsia="仿宋_GB2312"/>
                <w:szCs w:val="21"/>
              </w:rPr>
              <w:t>14</w:t>
            </w:r>
          </w:p>
        </w:tc>
        <w:tc>
          <w:tcPr>
            <w:tcW w:w="1134" w:type="dxa"/>
            <w:vAlign w:val="center"/>
          </w:tcPr>
          <w:p w14:paraId="1EAFBDA3">
            <w:pPr>
              <w:widowControl/>
              <w:spacing w:line="360" w:lineRule="auto"/>
              <w:jc w:val="center"/>
              <w:rPr>
                <w:rFonts w:ascii="Times New Roman" w:hAnsi="Times New Roman"/>
                <w:szCs w:val="21"/>
              </w:rPr>
            </w:pPr>
            <w:r>
              <w:rPr>
                <w:rFonts w:hint="eastAsia" w:ascii="Times New Roman" w:hAnsi="Times New Roman"/>
                <w:szCs w:val="21"/>
              </w:rPr>
              <w:t>分析速度</w:t>
            </w:r>
          </w:p>
        </w:tc>
        <w:tc>
          <w:tcPr>
            <w:tcW w:w="1388" w:type="dxa"/>
            <w:vAlign w:val="center"/>
          </w:tcPr>
          <w:p w14:paraId="570ADA53">
            <w:pPr>
              <w:widowControl/>
              <w:spacing w:line="360" w:lineRule="auto"/>
              <w:jc w:val="center"/>
              <w:rPr>
                <w:rFonts w:ascii="Times New Roman" w:hAnsi="Times New Roman" w:eastAsia="仿宋_GB2312"/>
                <w:szCs w:val="21"/>
              </w:rPr>
            </w:pPr>
          </w:p>
        </w:tc>
        <w:tc>
          <w:tcPr>
            <w:tcW w:w="2864" w:type="dxa"/>
            <w:vAlign w:val="center"/>
          </w:tcPr>
          <w:p w14:paraId="56668043">
            <w:pPr>
              <w:widowControl/>
              <w:spacing w:line="360" w:lineRule="auto"/>
              <w:jc w:val="left"/>
              <w:rPr>
                <w:rFonts w:ascii="Times New Roman" w:hAnsi="Times New Roman"/>
                <w:szCs w:val="21"/>
              </w:rPr>
            </w:pPr>
            <w:r>
              <w:rPr>
                <w:rFonts w:hint="eastAsia" w:ascii="Times New Roman" w:hAnsi="Times New Roman"/>
                <w:szCs w:val="21"/>
              </w:rPr>
              <w:t>1分钟/样品（72元素）</w:t>
            </w:r>
          </w:p>
        </w:tc>
        <w:tc>
          <w:tcPr>
            <w:tcW w:w="2126" w:type="dxa"/>
            <w:vAlign w:val="center"/>
          </w:tcPr>
          <w:p w14:paraId="35536993">
            <w:pPr>
              <w:widowControl/>
              <w:spacing w:line="360" w:lineRule="auto"/>
              <w:jc w:val="center"/>
              <w:rPr>
                <w:rFonts w:ascii="Times New Roman" w:hAnsi="Times New Roman" w:eastAsia="仿宋_GB2312"/>
                <w:szCs w:val="21"/>
              </w:rPr>
            </w:pPr>
            <w:r>
              <w:rPr>
                <w:rFonts w:hint="eastAsia" w:ascii="Times New Roman" w:hAnsi="Times New Roman" w:eastAsia="仿宋_GB2312"/>
                <w:szCs w:val="21"/>
              </w:rPr>
              <w:t>否</w:t>
            </w:r>
          </w:p>
        </w:tc>
      </w:tr>
      <w:tr w14:paraId="071A4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D63F31E">
            <w:pPr>
              <w:spacing w:line="360" w:lineRule="auto"/>
              <w:jc w:val="center"/>
              <w:rPr>
                <w:rFonts w:ascii="Times New Roman" w:hAnsi="Times New Roman" w:eastAsia="仿宋_GB2312"/>
                <w:szCs w:val="21"/>
              </w:rPr>
            </w:pPr>
            <w:r>
              <w:rPr>
                <w:rFonts w:hint="eastAsia" w:ascii="Times New Roman" w:hAnsi="Times New Roman" w:eastAsia="仿宋_GB2312"/>
                <w:szCs w:val="21"/>
              </w:rPr>
              <w:t>15</w:t>
            </w:r>
          </w:p>
        </w:tc>
        <w:tc>
          <w:tcPr>
            <w:tcW w:w="1134" w:type="dxa"/>
            <w:vAlign w:val="center"/>
          </w:tcPr>
          <w:p w14:paraId="2E72AF19">
            <w:pPr>
              <w:widowControl/>
              <w:spacing w:line="360" w:lineRule="auto"/>
              <w:jc w:val="center"/>
              <w:rPr>
                <w:rFonts w:ascii="Times New Roman" w:hAnsi="Times New Roman"/>
                <w:szCs w:val="21"/>
              </w:rPr>
            </w:pPr>
            <w:r>
              <w:rPr>
                <w:rFonts w:hint="eastAsia" w:ascii="Times New Roman" w:hAnsi="Times New Roman"/>
                <w:szCs w:val="21"/>
              </w:rPr>
              <w:t>多元素分析能力</w:t>
            </w:r>
          </w:p>
        </w:tc>
        <w:tc>
          <w:tcPr>
            <w:tcW w:w="1388" w:type="dxa"/>
            <w:vAlign w:val="center"/>
          </w:tcPr>
          <w:p w14:paraId="00B42CD3">
            <w:pPr>
              <w:widowControl/>
              <w:spacing w:line="360" w:lineRule="auto"/>
              <w:jc w:val="center"/>
              <w:rPr>
                <w:rFonts w:ascii="Times New Roman" w:hAnsi="Times New Roman" w:eastAsia="仿宋_GB2312"/>
                <w:szCs w:val="21"/>
              </w:rPr>
            </w:pPr>
          </w:p>
        </w:tc>
        <w:tc>
          <w:tcPr>
            <w:tcW w:w="2864" w:type="dxa"/>
            <w:vAlign w:val="center"/>
          </w:tcPr>
          <w:p w14:paraId="1B284CDB">
            <w:pPr>
              <w:widowControl/>
              <w:spacing w:line="360" w:lineRule="auto"/>
              <w:jc w:val="left"/>
              <w:rPr>
                <w:rFonts w:ascii="Times New Roman" w:hAnsi="Times New Roman"/>
                <w:szCs w:val="21"/>
              </w:rPr>
            </w:pPr>
            <w:r>
              <w:rPr>
                <w:rFonts w:hint="eastAsia" w:ascii="Times New Roman" w:hAnsi="Times New Roman"/>
                <w:szCs w:val="21"/>
              </w:rPr>
              <w:t>同时检测70+元素（全谱覆盖）</w:t>
            </w:r>
          </w:p>
        </w:tc>
        <w:tc>
          <w:tcPr>
            <w:tcW w:w="2126" w:type="dxa"/>
            <w:vAlign w:val="center"/>
          </w:tcPr>
          <w:p w14:paraId="74193BDB">
            <w:pPr>
              <w:widowControl/>
              <w:spacing w:line="360" w:lineRule="auto"/>
              <w:jc w:val="center"/>
              <w:rPr>
                <w:rFonts w:ascii="Times New Roman" w:hAnsi="Times New Roman" w:eastAsia="仿宋_GB2312"/>
                <w:szCs w:val="21"/>
              </w:rPr>
            </w:pPr>
            <w:r>
              <w:rPr>
                <w:rFonts w:hint="eastAsia" w:ascii="Times New Roman" w:hAnsi="Times New Roman" w:eastAsia="仿宋_GB2312"/>
                <w:szCs w:val="21"/>
              </w:rPr>
              <w:t>否</w:t>
            </w:r>
          </w:p>
        </w:tc>
      </w:tr>
      <w:tr w14:paraId="7FC1D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5DB72FD">
            <w:pPr>
              <w:spacing w:line="360" w:lineRule="auto"/>
              <w:jc w:val="center"/>
              <w:rPr>
                <w:rFonts w:ascii="Times New Roman" w:hAnsi="Times New Roman" w:eastAsia="仿宋_GB2312"/>
                <w:szCs w:val="21"/>
              </w:rPr>
            </w:pPr>
            <w:r>
              <w:rPr>
                <w:rFonts w:hint="eastAsia" w:ascii="Times New Roman" w:hAnsi="Times New Roman" w:eastAsia="仿宋_GB2312"/>
                <w:szCs w:val="21"/>
              </w:rPr>
              <w:t>16</w:t>
            </w:r>
          </w:p>
        </w:tc>
        <w:tc>
          <w:tcPr>
            <w:tcW w:w="1134" w:type="dxa"/>
            <w:vAlign w:val="center"/>
          </w:tcPr>
          <w:p w14:paraId="1ED6FF85">
            <w:pPr>
              <w:widowControl/>
              <w:spacing w:line="360" w:lineRule="auto"/>
              <w:jc w:val="center"/>
              <w:rPr>
                <w:rFonts w:ascii="Times New Roman" w:hAnsi="Times New Roman"/>
                <w:szCs w:val="21"/>
              </w:rPr>
            </w:pPr>
            <w:r>
              <w:rPr>
                <w:rFonts w:hint="eastAsia" w:ascii="Times New Roman" w:hAnsi="Times New Roman"/>
                <w:szCs w:val="21"/>
              </w:rPr>
              <w:t>动态线性范围</w:t>
            </w:r>
          </w:p>
        </w:tc>
        <w:tc>
          <w:tcPr>
            <w:tcW w:w="1388" w:type="dxa"/>
            <w:vAlign w:val="center"/>
          </w:tcPr>
          <w:p w14:paraId="39156037">
            <w:pPr>
              <w:widowControl/>
              <w:spacing w:line="360" w:lineRule="auto"/>
              <w:jc w:val="center"/>
              <w:rPr>
                <w:rFonts w:ascii="Times New Roman" w:hAnsi="Times New Roman" w:eastAsia="仿宋_GB2312"/>
                <w:szCs w:val="21"/>
              </w:rPr>
            </w:pPr>
          </w:p>
        </w:tc>
        <w:tc>
          <w:tcPr>
            <w:tcW w:w="2864" w:type="dxa"/>
            <w:vAlign w:val="center"/>
          </w:tcPr>
          <w:p w14:paraId="04190217">
            <w:pPr>
              <w:widowControl/>
              <w:spacing w:line="360" w:lineRule="auto"/>
              <w:jc w:val="left"/>
              <w:rPr>
                <w:rFonts w:ascii="Times New Roman" w:hAnsi="Times New Roman"/>
                <w:szCs w:val="21"/>
              </w:rPr>
            </w:pPr>
            <w:r>
              <w:rPr>
                <w:rFonts w:hint="eastAsia" w:ascii="Times New Roman" w:hAnsi="Times New Roman"/>
                <w:szCs w:val="21"/>
              </w:rPr>
              <w:t>9 - 10个数量级</w:t>
            </w:r>
          </w:p>
        </w:tc>
        <w:tc>
          <w:tcPr>
            <w:tcW w:w="2126" w:type="dxa"/>
            <w:vAlign w:val="center"/>
          </w:tcPr>
          <w:p w14:paraId="4E71D33E">
            <w:pPr>
              <w:widowControl/>
              <w:spacing w:line="360" w:lineRule="auto"/>
              <w:jc w:val="center"/>
              <w:rPr>
                <w:rFonts w:ascii="Times New Roman" w:hAnsi="Times New Roman" w:eastAsia="仿宋_GB2312"/>
                <w:szCs w:val="21"/>
              </w:rPr>
            </w:pPr>
            <w:r>
              <w:rPr>
                <w:rFonts w:hint="eastAsia" w:ascii="Times New Roman" w:hAnsi="Times New Roman" w:eastAsia="仿宋_GB2312"/>
                <w:szCs w:val="21"/>
              </w:rPr>
              <w:t>否</w:t>
            </w:r>
          </w:p>
        </w:tc>
      </w:tr>
    </w:tbl>
    <w:p w14:paraId="4FADF7CA">
      <w:pPr>
        <w:autoSpaceDE w:val="0"/>
        <w:autoSpaceDN w:val="0"/>
        <w:adjustRightInd w:val="0"/>
        <w:snapToGrid w:val="0"/>
        <w:spacing w:before="156" w:beforeLines="50" w:line="360" w:lineRule="auto"/>
        <w:jc w:val="left"/>
        <w:rPr>
          <w:rFonts w:ascii="Times New Roman" w:hAnsi="Times New Roman" w:eastAsia="仿宋_GB2312" w:cs="Times New Roman"/>
          <w:b/>
          <w:snapToGrid w:val="0"/>
          <w:kern w:val="0"/>
          <w:sz w:val="24"/>
          <w:szCs w:val="24"/>
          <w:lang w:val="zh-CN"/>
        </w:rPr>
      </w:pPr>
      <w:r>
        <w:rPr>
          <w:rFonts w:ascii="Times New Roman" w:hAnsi="Times New Roman" w:eastAsia="仿宋_GB2312" w:cs="Times New Roman"/>
          <w:b/>
          <w:snapToGrid w:val="0"/>
          <w:kern w:val="0"/>
          <w:sz w:val="24"/>
          <w:szCs w:val="24"/>
          <w:lang w:val="zh-CN"/>
        </w:rPr>
        <w:t>说明：</w:t>
      </w:r>
    </w:p>
    <w:p w14:paraId="6007DC65">
      <w:pPr>
        <w:autoSpaceDE w:val="0"/>
        <w:autoSpaceDN w:val="0"/>
        <w:adjustRightInd w:val="0"/>
        <w:snapToGrid w:val="0"/>
        <w:spacing w:line="360" w:lineRule="auto"/>
        <w:ind w:firstLine="480" w:firstLineChars="200"/>
        <w:jc w:val="left"/>
        <w:rPr>
          <w:rFonts w:ascii="Times New Roman" w:hAnsi="Times New Roman" w:eastAsia="仿宋_GB2312" w:cs="Times New Roman"/>
          <w:snapToGrid w:val="0"/>
          <w:kern w:val="0"/>
          <w:sz w:val="24"/>
          <w:szCs w:val="24"/>
          <w:lang w:val="zh-CN"/>
        </w:rPr>
      </w:pPr>
      <w:r>
        <w:rPr>
          <w:rFonts w:ascii="Times New Roman" w:hAnsi="Times New Roman" w:eastAsia="仿宋_GB2312" w:cs="Times New Roman"/>
          <w:snapToGrid w:val="0"/>
          <w:kern w:val="0"/>
          <w:sz w:val="24"/>
          <w:szCs w:val="24"/>
          <w:lang w:val="zh-CN"/>
        </w:rPr>
        <w:fldChar w:fldCharType="begin"/>
      </w:r>
      <w:r>
        <w:rPr>
          <w:rFonts w:ascii="Times New Roman" w:hAnsi="Times New Roman" w:eastAsia="仿宋_GB2312" w:cs="Times New Roman"/>
          <w:snapToGrid w:val="0"/>
          <w:kern w:val="0"/>
          <w:sz w:val="24"/>
          <w:szCs w:val="24"/>
          <w:lang w:val="zh-CN"/>
        </w:rPr>
        <w:instrText xml:space="preserve">= 1 \* GB3</w:instrText>
      </w:r>
      <w:r>
        <w:rPr>
          <w:rFonts w:ascii="Times New Roman" w:hAnsi="Times New Roman" w:eastAsia="仿宋_GB2312" w:cs="Times New Roman"/>
          <w:snapToGrid w:val="0"/>
          <w:kern w:val="0"/>
          <w:sz w:val="24"/>
          <w:szCs w:val="24"/>
          <w:lang w:val="zh-CN"/>
        </w:rPr>
        <w:fldChar w:fldCharType="separate"/>
      </w:r>
      <w:r>
        <w:rPr>
          <w:rFonts w:ascii="Cambria Math" w:hAnsi="Cambria Math" w:eastAsia="仿宋_GB2312" w:cs="Cambria Math"/>
          <w:snapToGrid w:val="0"/>
          <w:kern w:val="0"/>
          <w:sz w:val="24"/>
          <w:szCs w:val="24"/>
          <w:lang w:val="zh-CN"/>
        </w:rPr>
        <w:t>①</w:t>
      </w:r>
      <w:r>
        <w:rPr>
          <w:rFonts w:ascii="Times New Roman" w:hAnsi="Times New Roman" w:eastAsia="仿宋_GB2312" w:cs="Times New Roman"/>
          <w:snapToGrid w:val="0"/>
          <w:kern w:val="0"/>
          <w:sz w:val="24"/>
          <w:szCs w:val="24"/>
          <w:lang w:val="zh-CN"/>
        </w:rPr>
        <w:fldChar w:fldCharType="end"/>
      </w:r>
      <w:r>
        <w:rPr>
          <w:rFonts w:ascii="Times New Roman" w:hAnsi="Times New Roman" w:eastAsia="仿宋_GB2312" w:cs="Times New Roman"/>
          <w:snapToGrid w:val="0"/>
          <w:kern w:val="0"/>
          <w:sz w:val="24"/>
          <w:szCs w:val="24"/>
          <w:lang w:val="zh-CN"/>
        </w:rPr>
        <w:t>重要性可用“</w:t>
      </w:r>
      <w:r>
        <w:rPr>
          <w:rFonts w:ascii="Segoe UI Symbol" w:hAnsi="Segoe UI Symbol" w:eastAsia="仿宋_GB2312" w:cs="Segoe UI Symbol"/>
          <w:snapToGrid w:val="0"/>
          <w:kern w:val="0"/>
          <w:sz w:val="24"/>
          <w:szCs w:val="24"/>
          <w:lang w:val="zh-CN"/>
        </w:rPr>
        <w:t>★</w:t>
      </w:r>
      <w:r>
        <w:rPr>
          <w:rFonts w:ascii="Times New Roman" w:hAnsi="Times New Roman" w:eastAsia="仿宋_GB2312" w:cs="Times New Roman"/>
          <w:snapToGrid w:val="0"/>
          <w:kern w:val="0"/>
          <w:sz w:val="24"/>
          <w:szCs w:val="24"/>
          <w:lang w:val="zh-CN"/>
        </w:rPr>
        <w:t>”“#”表示，“</w:t>
      </w:r>
      <w:r>
        <w:rPr>
          <w:rFonts w:ascii="Segoe UI Symbol" w:hAnsi="Segoe UI Symbol" w:eastAsia="仿宋_GB2312" w:cs="Segoe UI Symbol"/>
          <w:snapToGrid w:val="0"/>
          <w:kern w:val="0"/>
          <w:sz w:val="24"/>
          <w:szCs w:val="24"/>
          <w:lang w:val="zh-CN"/>
        </w:rPr>
        <w:t>★</w:t>
      </w:r>
      <w:r>
        <w:rPr>
          <w:rFonts w:ascii="Times New Roman" w:hAnsi="Times New Roman" w:eastAsia="仿宋_GB2312" w:cs="Times New Roman"/>
          <w:snapToGrid w:val="0"/>
          <w:kern w:val="0"/>
          <w:sz w:val="24"/>
          <w:szCs w:val="24"/>
          <w:lang w:val="zh-CN"/>
        </w:rPr>
        <w:t>”代表关键指标，不满足该指标项将导致响应被拒绝；“#”代表重要指标；无标识则表示属一般指标项。</w:t>
      </w:r>
    </w:p>
    <w:p w14:paraId="289EEAA1">
      <w:pPr>
        <w:autoSpaceDE w:val="0"/>
        <w:autoSpaceDN w:val="0"/>
        <w:adjustRightInd w:val="0"/>
        <w:snapToGrid w:val="0"/>
        <w:spacing w:line="360" w:lineRule="auto"/>
        <w:ind w:firstLine="480" w:firstLineChars="200"/>
        <w:jc w:val="left"/>
        <w:rPr>
          <w:rFonts w:ascii="Times New Roman" w:hAnsi="Times New Roman" w:eastAsia="仿宋_GB2312" w:cs="Times New Roman"/>
          <w:snapToGrid w:val="0"/>
          <w:kern w:val="0"/>
          <w:sz w:val="24"/>
          <w:szCs w:val="24"/>
          <w:lang w:val="zh-CN"/>
        </w:rPr>
      </w:pPr>
      <w:r>
        <w:rPr>
          <w:rFonts w:ascii="Times New Roman" w:hAnsi="Times New Roman" w:eastAsia="仿宋_GB2312" w:cs="Times New Roman"/>
          <w:snapToGrid w:val="0"/>
          <w:kern w:val="0"/>
          <w:sz w:val="24"/>
          <w:szCs w:val="24"/>
          <w:lang w:val="zh-CN"/>
        </w:rPr>
        <w:fldChar w:fldCharType="begin"/>
      </w:r>
      <w:r>
        <w:rPr>
          <w:rFonts w:ascii="Times New Roman" w:hAnsi="Times New Roman" w:eastAsia="仿宋_GB2312" w:cs="Times New Roman"/>
          <w:snapToGrid w:val="0"/>
          <w:kern w:val="0"/>
          <w:sz w:val="24"/>
          <w:szCs w:val="24"/>
          <w:lang w:val="zh-CN"/>
        </w:rPr>
        <w:instrText xml:space="preserve">= 2 \* GB3</w:instrText>
      </w:r>
      <w:r>
        <w:rPr>
          <w:rFonts w:ascii="Times New Roman" w:hAnsi="Times New Roman" w:eastAsia="仿宋_GB2312" w:cs="Times New Roman"/>
          <w:snapToGrid w:val="0"/>
          <w:kern w:val="0"/>
          <w:sz w:val="24"/>
          <w:szCs w:val="24"/>
          <w:lang w:val="zh-CN"/>
        </w:rPr>
        <w:fldChar w:fldCharType="separate"/>
      </w:r>
      <w:r>
        <w:rPr>
          <w:rFonts w:ascii="Cambria Math" w:hAnsi="Cambria Math" w:eastAsia="仿宋_GB2312" w:cs="Cambria Math"/>
          <w:snapToGrid w:val="0"/>
          <w:kern w:val="0"/>
          <w:sz w:val="24"/>
          <w:szCs w:val="24"/>
          <w:lang w:val="zh-CN"/>
        </w:rPr>
        <w:t>②</w:t>
      </w:r>
      <w:r>
        <w:rPr>
          <w:rFonts w:ascii="Times New Roman" w:hAnsi="Times New Roman" w:eastAsia="仿宋_GB2312" w:cs="Times New Roman"/>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r>
        <w:rPr>
          <w:rFonts w:ascii="仿宋_GB2312" w:hAnsi="宋体" w:eastAsia="仿宋_GB2312" w:cs="宋体"/>
          <w:snapToGrid w:val="0"/>
          <w:kern w:val="0"/>
          <w:sz w:val="24"/>
          <w:szCs w:val="24"/>
          <w:lang w:val="zh-CN"/>
        </w:rPr>
        <w:t>填写“否”的提供技术参数偏离表或承诺响应，未提供或提供的偏离表中或承诺有负偏离的，则该指标按不满足处理。若供应商偏离表中与响应文件所列证明材料内容不一致时，将以证明材料内容为准进行评审。</w:t>
      </w:r>
    </w:p>
    <w:p w14:paraId="739BF774">
      <w:pPr>
        <w:widowControl/>
        <w:shd w:val="clear" w:color="auto" w:fill="FFFFFF"/>
        <w:spacing w:line="360" w:lineRule="auto"/>
        <w:jc w:val="center"/>
        <w:rPr>
          <w:rFonts w:ascii="Times New Roman" w:hAnsi="Times New Roman" w:eastAsia="仿宋_GB2312" w:cs="Times New Roman"/>
          <w:color w:val="000000"/>
          <w:kern w:val="0"/>
          <w:sz w:val="28"/>
          <w:szCs w:val="28"/>
          <w:shd w:val="clear" w:color="auto" w:fill="FFFFFF"/>
        </w:rPr>
      </w:pPr>
      <w:r>
        <w:rPr>
          <w:rFonts w:ascii="Times New Roman" w:hAnsi="Times New Roman" w:eastAsia="仿宋_GB2312" w:cs="Times New Roman"/>
          <w:color w:val="000000"/>
          <w:kern w:val="0"/>
          <w:sz w:val="28"/>
          <w:szCs w:val="28"/>
          <w:shd w:val="clear" w:color="auto" w:fill="FFFFFF"/>
        </w:rPr>
        <w:t>（四）三重四极杆电感耦合等离子体质谱仪（1台）</w:t>
      </w:r>
    </w:p>
    <w:p w14:paraId="41711C98">
      <w:pPr>
        <w:widowControl/>
        <w:shd w:val="clear" w:color="auto" w:fill="FFFFFF"/>
        <w:spacing w:line="360" w:lineRule="auto"/>
        <w:ind w:firstLine="480" w:firstLineChars="200"/>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1.</w:t>
      </w:r>
      <w:r>
        <w:rPr>
          <w:rFonts w:ascii="Times New Roman" w:hAnsi="Times New Roman" w:eastAsia="仿宋_GB2312" w:cs="Times New Roman"/>
          <w:b/>
          <w:bCs/>
          <w:sz w:val="24"/>
          <w:szCs w:val="24"/>
        </w:rPr>
        <w:t>功能要求</w:t>
      </w:r>
      <w:r>
        <w:rPr>
          <w:rFonts w:ascii="Times New Roman" w:hAnsi="Times New Roman" w:eastAsia="仿宋_GB2312" w:cs="Times New Roman"/>
          <w:sz w:val="24"/>
          <w:szCs w:val="24"/>
        </w:rPr>
        <w:t>：</w:t>
      </w:r>
    </w:p>
    <w:p w14:paraId="2B62CC03">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该设备将主要服务于《环境地球化学》课程，鼓励学生处理多种环境样品，在教师指导下，完成从样品处理、方法建立到数据解读的全流程实践，培养其科学思维与动手能力，在根本上夯实学科持续发展的根基，培养出适应未来科技竞争的优秀人才，同时也能满足本科生、研究生论文研究的测试需求。</w:t>
      </w:r>
    </w:p>
    <w:p w14:paraId="08394BEF">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该设备的主要功能是进行高灵敏度、多元素的定性和定量分析，尤其痕量/超痕量元素测定以及同位素比值分析。该仪器将主要应用于稳定Pb同位素和超低含量元素的准确测定，计划开发低含量高干扰下Sr和U同位素的测定方法。该仪器可应用于大气颗粒物（包括纳米级颗粒物和常规颗粒物）、土壤、沉积物、水体和岩石等环境样品，以此研究地球关键带人为污染物的污染水平、来源、迁移和转化，以及重建地区污染物演化趋势，其结果可服务于污染防治与修复，评估并预测各项环境风险。</w:t>
      </w:r>
    </w:p>
    <w:p w14:paraId="1922D62F">
      <w:pPr>
        <w:widowControl/>
        <w:shd w:val="clear" w:color="auto" w:fill="FFFFFF"/>
        <w:spacing w:line="360" w:lineRule="auto"/>
        <w:ind w:left="480"/>
        <w:rPr>
          <w:rFonts w:ascii="Times New Roman" w:hAnsi="Times New Roman" w:eastAsia="仿宋_GB2312" w:cs="Times New Roman"/>
          <w:b/>
          <w:bCs/>
          <w:sz w:val="24"/>
          <w:szCs w:val="24"/>
        </w:rPr>
      </w:pPr>
      <w:r>
        <w:rPr>
          <w:rFonts w:hint="eastAsia" w:ascii="Times New Roman" w:hAnsi="Times New Roman" w:eastAsia="仿宋_GB2312" w:cs="Times New Roman"/>
          <w:sz w:val="24"/>
          <w:szCs w:val="24"/>
        </w:rPr>
        <w:t>2.</w:t>
      </w:r>
      <w:r>
        <w:rPr>
          <w:rFonts w:ascii="Times New Roman" w:hAnsi="Times New Roman" w:eastAsia="仿宋_GB2312" w:cs="Times New Roman"/>
          <w:b/>
          <w:bCs/>
          <w:sz w:val="24"/>
          <w:szCs w:val="24"/>
        </w:rPr>
        <w:t>应遵循的相关国家标准、行业标准、地方标准等标准、规范：</w:t>
      </w:r>
    </w:p>
    <w:p w14:paraId="687F920D">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目前尚无专门的国家标准正式发布，实践中主要综合参考通用标准 GB/T 37837-2019、GB/T 34826-2017 及校准规范 JJF 1159-2006。</w:t>
      </w:r>
    </w:p>
    <w:p w14:paraId="0112F9C8">
      <w:pPr>
        <w:widowControl/>
        <w:shd w:val="clear" w:color="auto" w:fill="FFFFFF"/>
        <w:spacing w:line="360" w:lineRule="auto"/>
        <w:ind w:firstLine="480" w:firstLineChars="200"/>
        <w:rPr>
          <w:rFonts w:ascii="Times New Roman" w:hAnsi="Times New Roman" w:eastAsia="仿宋_GB2312" w:cs="Times New Roman"/>
          <w:b/>
          <w:bCs/>
          <w:sz w:val="24"/>
          <w:szCs w:val="24"/>
        </w:rPr>
      </w:pPr>
      <w:r>
        <w:rPr>
          <w:rFonts w:ascii="Times New Roman" w:hAnsi="Times New Roman" w:eastAsia="仿宋_GB2312" w:cs="Times New Roman"/>
          <w:sz w:val="24"/>
          <w:szCs w:val="24"/>
        </w:rPr>
        <w:t>3.</w:t>
      </w:r>
      <w:r>
        <w:rPr>
          <w:rFonts w:ascii="Times New Roman" w:hAnsi="Times New Roman" w:eastAsia="仿宋_GB2312" w:cs="Times New Roman"/>
          <w:b/>
          <w:bCs/>
          <w:sz w:val="24"/>
          <w:szCs w:val="24"/>
        </w:rPr>
        <w:t>后续运营维护、升级更新、备品备件等要求：</w:t>
      </w:r>
    </w:p>
    <w:p w14:paraId="50052733">
      <w:pPr>
        <w:pStyle w:val="13"/>
        <w:widowControl/>
        <w:shd w:val="clear" w:color="auto" w:fill="FFFFFF"/>
        <w:spacing w:line="360" w:lineRule="auto"/>
        <w:ind w:firstLine="480"/>
        <w:jc w:val="left"/>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运维服务：供应商需提供≥2年整机质保（含ICP源，真空系统，检测器系统，质量分析器等核心部件），质保期内每半年开展1次现场巡检，故障响应时间≤48小时，修复时间≤72小时；</w:t>
      </w:r>
      <w:r>
        <w:rPr>
          <w:rFonts w:ascii="Times New Roman" w:hAnsi="Times New Roman" w:eastAsia="仿宋_GB2312" w:cs="Times New Roman"/>
          <w:sz w:val="24"/>
          <w:szCs w:val="24"/>
        </w:rPr>
        <w:t>提供2天以上现场培训，交通等与培训相关的费用均由成交供应商承担。</w:t>
      </w:r>
    </w:p>
    <w:p w14:paraId="70BDBC8C">
      <w:pPr>
        <w:pStyle w:val="13"/>
        <w:widowControl/>
        <w:shd w:val="clear" w:color="auto" w:fill="FFFFFF"/>
        <w:spacing w:line="360" w:lineRule="auto"/>
        <w:ind w:firstLine="480"/>
        <w:jc w:val="left"/>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升级更新：设备软件终身免费升级，硬件支持后续功能扩展，供应商需在新技术推出后30日内告知用户升级方案。</w:t>
      </w:r>
    </w:p>
    <w:p w14:paraId="39F7372D">
      <w:pPr>
        <w:pStyle w:val="13"/>
        <w:widowControl/>
        <w:shd w:val="clear" w:color="auto" w:fill="FFFFFF"/>
        <w:spacing w:line="360" w:lineRule="auto"/>
        <w:ind w:firstLine="480"/>
        <w:jc w:val="left"/>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备品备件：质保期外提供全生命周期备件供应保障（承诺供应周期≥10年），常用备件（如采样锥、截取锥、离子提取透镜、雾室、雾化器等）需在用户提出需求后7个工作日内到货；提供备件价格清单，确保价格不高于市场同期水平。</w:t>
      </w:r>
    </w:p>
    <w:p w14:paraId="5C0C9DFA">
      <w:pPr>
        <w:widowControl/>
        <w:shd w:val="clear" w:color="auto" w:fill="FFFFFF"/>
        <w:spacing w:line="360" w:lineRule="auto"/>
        <w:ind w:firstLine="480" w:firstLineChars="200"/>
        <w:rPr>
          <w:rFonts w:ascii="Times New Roman" w:hAnsi="Times New Roman" w:eastAsia="仿宋_GB2312" w:cs="Times New Roman"/>
          <w:sz w:val="24"/>
          <w:szCs w:val="24"/>
        </w:rPr>
      </w:pPr>
    </w:p>
    <w:p w14:paraId="6B15577C">
      <w:pPr>
        <w:spacing w:line="360" w:lineRule="auto"/>
        <w:ind w:firstLine="480" w:firstLineChars="200"/>
        <w:outlineLvl w:val="0"/>
        <w:rPr>
          <w:rFonts w:ascii="Times New Roman" w:hAnsi="Times New Roman" w:eastAsia="仿宋_GB2312" w:cs="Times New Roman"/>
          <w:sz w:val="24"/>
          <w:szCs w:val="24"/>
        </w:rPr>
      </w:pPr>
      <w:r>
        <w:rPr>
          <w:rFonts w:ascii="Times New Roman" w:hAnsi="Times New Roman" w:eastAsia="仿宋_GB2312" w:cs="Times New Roman"/>
          <w:sz w:val="24"/>
          <w:szCs w:val="24"/>
        </w:rPr>
        <w:t>4.</w:t>
      </w:r>
      <w:r>
        <w:rPr>
          <w:rFonts w:ascii="Times New Roman" w:hAnsi="Times New Roman" w:eastAsia="仿宋_GB2312" w:cs="Times New Roman"/>
          <w:b/>
          <w:bCs/>
          <w:sz w:val="24"/>
          <w:szCs w:val="24"/>
        </w:rPr>
        <w:t>各项指标要求</w:t>
      </w:r>
      <w:r>
        <w:rPr>
          <w:rFonts w:ascii="Times New Roman" w:hAnsi="Times New Roman" w:eastAsia="仿宋_GB2312" w:cs="Times New Roman"/>
          <w:sz w:val="24"/>
          <w:szCs w:val="24"/>
        </w:rPr>
        <w:t>：</w:t>
      </w:r>
    </w:p>
    <w:tbl>
      <w:tblPr>
        <w:tblStyle w:val="8"/>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1388"/>
        <w:gridCol w:w="2864"/>
        <w:gridCol w:w="2126"/>
      </w:tblGrid>
      <w:tr w14:paraId="5DC9A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8744B73">
            <w:pPr>
              <w:spacing w:line="360" w:lineRule="auto"/>
              <w:jc w:val="center"/>
              <w:rPr>
                <w:rFonts w:ascii="Times New Roman" w:hAnsi="Times New Roman" w:eastAsia="仿宋_GB2312"/>
                <w:b/>
                <w:sz w:val="24"/>
                <w:szCs w:val="24"/>
              </w:rPr>
            </w:pPr>
            <w:r>
              <w:rPr>
                <w:rFonts w:hint="eastAsia" w:ascii="Times New Roman" w:hAnsi="Times New Roman" w:eastAsia="仿宋_GB2312"/>
                <w:b/>
                <w:sz w:val="24"/>
                <w:szCs w:val="24"/>
              </w:rPr>
              <w:t>序号</w:t>
            </w:r>
          </w:p>
        </w:tc>
        <w:tc>
          <w:tcPr>
            <w:tcW w:w="1134" w:type="dxa"/>
            <w:vAlign w:val="center"/>
          </w:tcPr>
          <w:p w14:paraId="507F64CD">
            <w:pPr>
              <w:widowControl/>
              <w:spacing w:line="360" w:lineRule="auto"/>
              <w:jc w:val="center"/>
              <w:rPr>
                <w:rFonts w:ascii="Times New Roman" w:hAnsi="Times New Roman" w:eastAsia="仿宋_GB2312"/>
                <w:b/>
                <w:sz w:val="24"/>
                <w:szCs w:val="24"/>
              </w:rPr>
            </w:pPr>
            <w:r>
              <w:rPr>
                <w:rFonts w:hint="eastAsia" w:ascii="Times New Roman" w:hAnsi="Times New Roman" w:eastAsia="仿宋_GB2312"/>
                <w:b/>
                <w:sz w:val="24"/>
                <w:szCs w:val="24"/>
              </w:rPr>
              <w:t>指标项</w:t>
            </w:r>
          </w:p>
        </w:tc>
        <w:tc>
          <w:tcPr>
            <w:tcW w:w="1388" w:type="dxa"/>
            <w:vAlign w:val="center"/>
          </w:tcPr>
          <w:p w14:paraId="424AE723">
            <w:pPr>
              <w:widowControl/>
              <w:spacing w:line="360" w:lineRule="auto"/>
              <w:jc w:val="center"/>
              <w:rPr>
                <w:rFonts w:ascii="Times New Roman" w:hAnsi="Times New Roman" w:eastAsia="仿宋_GB2312"/>
                <w:b/>
                <w:sz w:val="24"/>
                <w:szCs w:val="24"/>
              </w:rPr>
            </w:pPr>
            <w:r>
              <w:rPr>
                <w:rFonts w:hint="eastAsia" w:ascii="Times New Roman" w:hAnsi="Times New Roman" w:eastAsia="仿宋_GB2312"/>
                <w:b/>
                <w:sz w:val="24"/>
                <w:szCs w:val="24"/>
              </w:rPr>
              <w:t>重要性</w:t>
            </w:r>
          </w:p>
        </w:tc>
        <w:tc>
          <w:tcPr>
            <w:tcW w:w="2864" w:type="dxa"/>
            <w:vAlign w:val="center"/>
          </w:tcPr>
          <w:p w14:paraId="4E91FB50">
            <w:pPr>
              <w:widowControl/>
              <w:spacing w:line="360" w:lineRule="auto"/>
              <w:jc w:val="center"/>
              <w:rPr>
                <w:rFonts w:ascii="Times New Roman" w:hAnsi="Times New Roman" w:eastAsia="仿宋_GB2312"/>
                <w:b/>
                <w:sz w:val="24"/>
                <w:szCs w:val="24"/>
              </w:rPr>
            </w:pPr>
            <w:r>
              <w:rPr>
                <w:rFonts w:hint="eastAsia" w:ascii="Times New Roman" w:hAnsi="Times New Roman" w:eastAsia="仿宋_GB2312"/>
                <w:b/>
                <w:sz w:val="24"/>
                <w:szCs w:val="24"/>
              </w:rPr>
              <w:t>指标要求</w:t>
            </w:r>
          </w:p>
        </w:tc>
        <w:tc>
          <w:tcPr>
            <w:tcW w:w="2126" w:type="dxa"/>
            <w:vAlign w:val="center"/>
          </w:tcPr>
          <w:p w14:paraId="5162FE7C">
            <w:pPr>
              <w:widowControl/>
              <w:spacing w:line="360" w:lineRule="auto"/>
              <w:jc w:val="center"/>
              <w:rPr>
                <w:rFonts w:ascii="Times New Roman" w:hAnsi="Times New Roman" w:eastAsia="仿宋_GB2312"/>
                <w:b/>
                <w:sz w:val="24"/>
                <w:szCs w:val="24"/>
              </w:rPr>
            </w:pPr>
            <w:r>
              <w:rPr>
                <w:rFonts w:hint="eastAsia" w:ascii="Times New Roman" w:hAnsi="Times New Roman" w:eastAsia="仿宋_GB2312"/>
                <w:b/>
                <w:sz w:val="24"/>
                <w:szCs w:val="24"/>
              </w:rPr>
              <w:t>证明材料要求</w:t>
            </w:r>
          </w:p>
        </w:tc>
      </w:tr>
      <w:tr w14:paraId="01521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D0DC712">
            <w:pPr>
              <w:jc w:val="center"/>
              <w:rPr>
                <w:rFonts w:ascii="Times New Roman" w:hAnsi="Times New Roman" w:cs="Times New Roman"/>
                <w:szCs w:val="21"/>
              </w:rPr>
            </w:pPr>
            <w:r>
              <w:rPr>
                <w:rFonts w:ascii="Times New Roman" w:hAnsi="Times New Roman" w:cs="Times New Roman"/>
                <w:szCs w:val="21"/>
              </w:rPr>
              <w:t>1</w:t>
            </w:r>
          </w:p>
        </w:tc>
        <w:tc>
          <w:tcPr>
            <w:tcW w:w="1134" w:type="dxa"/>
            <w:vAlign w:val="center"/>
          </w:tcPr>
          <w:p w14:paraId="349ACD0A">
            <w:pPr>
              <w:widowControl/>
              <w:jc w:val="center"/>
              <w:rPr>
                <w:rFonts w:ascii="Times New Roman" w:hAnsi="Times New Roman" w:cs="Times New Roman"/>
                <w:szCs w:val="21"/>
              </w:rPr>
            </w:pPr>
            <w:r>
              <w:rPr>
                <w:rFonts w:ascii="Times New Roman" w:hAnsi="Times New Roman" w:cs="Times New Roman"/>
                <w:szCs w:val="21"/>
              </w:rPr>
              <w:t>总体要求</w:t>
            </w:r>
          </w:p>
        </w:tc>
        <w:tc>
          <w:tcPr>
            <w:tcW w:w="1388" w:type="dxa"/>
            <w:vAlign w:val="center"/>
          </w:tcPr>
          <w:p w14:paraId="31B8C7C2">
            <w:pPr>
              <w:widowControl/>
              <w:jc w:val="center"/>
              <w:rPr>
                <w:rFonts w:ascii="Times New Roman" w:hAnsi="Times New Roman" w:cs="Times New Roman"/>
                <w:szCs w:val="21"/>
              </w:rPr>
            </w:pPr>
          </w:p>
        </w:tc>
        <w:tc>
          <w:tcPr>
            <w:tcW w:w="2864" w:type="dxa"/>
            <w:vAlign w:val="center"/>
          </w:tcPr>
          <w:p w14:paraId="18D43020">
            <w:pPr>
              <w:widowControl/>
              <w:jc w:val="left"/>
              <w:rPr>
                <w:rFonts w:ascii="Times New Roman" w:hAnsi="Times New Roman" w:cs="Times New Roman"/>
                <w:szCs w:val="21"/>
              </w:rPr>
            </w:pPr>
            <w:r>
              <w:rPr>
                <w:rFonts w:ascii="Times New Roman" w:hAnsi="Times New Roman" w:cs="Times New Roman"/>
                <w:szCs w:val="21"/>
              </w:rPr>
              <w:t>电感耦合等离子体串联质谱仪（前后两组四极杆规格一致）可实现单颗粒分析，配备功能和软件。</w:t>
            </w:r>
          </w:p>
        </w:tc>
        <w:tc>
          <w:tcPr>
            <w:tcW w:w="2126" w:type="dxa"/>
            <w:vAlign w:val="center"/>
          </w:tcPr>
          <w:p w14:paraId="1F46FC84">
            <w:pPr>
              <w:widowControl/>
              <w:jc w:val="center"/>
              <w:rPr>
                <w:rFonts w:ascii="Times New Roman" w:hAnsi="Times New Roman" w:cs="Times New Roman"/>
                <w:szCs w:val="21"/>
              </w:rPr>
            </w:pPr>
            <w:r>
              <w:rPr>
                <w:rFonts w:hint="eastAsia" w:ascii="Times New Roman" w:hAnsi="Times New Roman" w:cs="Times New Roman"/>
                <w:szCs w:val="21"/>
              </w:rPr>
              <w:t>否</w:t>
            </w:r>
          </w:p>
        </w:tc>
      </w:tr>
      <w:tr w14:paraId="68631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44AE84B7">
            <w:pPr>
              <w:jc w:val="center"/>
              <w:rPr>
                <w:rFonts w:ascii="Times New Roman" w:hAnsi="Times New Roman" w:cs="Times New Roman"/>
                <w:szCs w:val="21"/>
              </w:rPr>
            </w:pPr>
            <w:r>
              <w:rPr>
                <w:rFonts w:ascii="Times New Roman" w:hAnsi="Times New Roman" w:cs="Times New Roman"/>
                <w:szCs w:val="21"/>
              </w:rPr>
              <w:t>2</w:t>
            </w:r>
          </w:p>
        </w:tc>
        <w:tc>
          <w:tcPr>
            <w:tcW w:w="1134" w:type="dxa"/>
            <w:vAlign w:val="center"/>
          </w:tcPr>
          <w:p w14:paraId="76264B67">
            <w:pPr>
              <w:widowControl/>
              <w:jc w:val="center"/>
              <w:rPr>
                <w:rFonts w:ascii="Times New Roman" w:hAnsi="Times New Roman" w:cs="Times New Roman"/>
                <w:szCs w:val="21"/>
              </w:rPr>
            </w:pPr>
            <w:r>
              <w:rPr>
                <w:rFonts w:ascii="Times New Roman" w:hAnsi="Times New Roman" w:cs="Times New Roman"/>
                <w:szCs w:val="21"/>
              </w:rPr>
              <w:t>离子源</w:t>
            </w:r>
          </w:p>
        </w:tc>
        <w:tc>
          <w:tcPr>
            <w:tcW w:w="1388" w:type="dxa"/>
            <w:vAlign w:val="center"/>
          </w:tcPr>
          <w:p w14:paraId="36279B71">
            <w:pPr>
              <w:widowControl/>
              <w:jc w:val="center"/>
              <w:rPr>
                <w:rFonts w:ascii="Times New Roman" w:hAnsi="Times New Roman" w:cs="Times New Roman"/>
                <w:snapToGrid w:val="0"/>
                <w:kern w:val="0"/>
                <w:szCs w:val="21"/>
                <w:lang w:val="zh-CN"/>
              </w:rPr>
            </w:pPr>
          </w:p>
        </w:tc>
        <w:tc>
          <w:tcPr>
            <w:tcW w:w="2864" w:type="dxa"/>
            <w:vAlign w:val="center"/>
          </w:tcPr>
          <w:p w14:paraId="2882FC9E">
            <w:pPr>
              <w:widowControl/>
              <w:jc w:val="left"/>
              <w:rPr>
                <w:rFonts w:ascii="Times New Roman" w:hAnsi="Times New Roman" w:cs="Times New Roman"/>
                <w:szCs w:val="21"/>
              </w:rPr>
            </w:pPr>
            <w:r>
              <w:rPr>
                <w:rFonts w:ascii="Times New Roman" w:hAnsi="Times New Roman" w:cs="Times New Roman"/>
                <w:szCs w:val="21"/>
              </w:rPr>
              <w:t>自激式全固态ICP离子源，频率稳定性≤±0.01%，功率范围为700-1600W连续可调。具备标准模式、碰撞反应模式以及冷等离子体模式，并能在一次样品分析中自动切换。</w:t>
            </w:r>
          </w:p>
        </w:tc>
        <w:tc>
          <w:tcPr>
            <w:tcW w:w="2126" w:type="dxa"/>
            <w:vAlign w:val="center"/>
          </w:tcPr>
          <w:p w14:paraId="44220693">
            <w:pPr>
              <w:widowControl/>
              <w:jc w:val="center"/>
              <w:rPr>
                <w:rFonts w:ascii="Times New Roman" w:hAnsi="Times New Roman" w:cs="Times New Roman"/>
                <w:szCs w:val="21"/>
              </w:rPr>
            </w:pPr>
            <w:r>
              <w:rPr>
                <w:rFonts w:hint="eastAsia" w:ascii="Times New Roman" w:hAnsi="Times New Roman" w:cs="Times New Roman"/>
                <w:szCs w:val="21"/>
              </w:rPr>
              <w:t>否</w:t>
            </w:r>
          </w:p>
        </w:tc>
      </w:tr>
      <w:tr w14:paraId="4AD26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BD0C93F">
            <w:pPr>
              <w:jc w:val="center"/>
              <w:rPr>
                <w:rFonts w:ascii="Times New Roman" w:hAnsi="Times New Roman" w:cs="Times New Roman"/>
                <w:szCs w:val="21"/>
              </w:rPr>
            </w:pPr>
            <w:r>
              <w:rPr>
                <w:rFonts w:ascii="Times New Roman" w:hAnsi="Times New Roman" w:cs="Times New Roman"/>
                <w:szCs w:val="21"/>
              </w:rPr>
              <w:t>3</w:t>
            </w:r>
          </w:p>
        </w:tc>
        <w:tc>
          <w:tcPr>
            <w:tcW w:w="1134" w:type="dxa"/>
            <w:vAlign w:val="center"/>
          </w:tcPr>
          <w:p w14:paraId="53C55186">
            <w:pPr>
              <w:widowControl/>
              <w:jc w:val="center"/>
              <w:rPr>
                <w:rFonts w:ascii="Times New Roman" w:hAnsi="Times New Roman" w:cs="Times New Roman"/>
                <w:szCs w:val="21"/>
              </w:rPr>
            </w:pPr>
            <w:r>
              <w:rPr>
                <w:rFonts w:ascii="Times New Roman" w:hAnsi="Times New Roman" w:cs="Times New Roman"/>
                <w:szCs w:val="21"/>
              </w:rPr>
              <w:t>等离子体</w:t>
            </w:r>
          </w:p>
        </w:tc>
        <w:tc>
          <w:tcPr>
            <w:tcW w:w="1388" w:type="dxa"/>
            <w:vAlign w:val="center"/>
          </w:tcPr>
          <w:p w14:paraId="53D56123">
            <w:pPr>
              <w:widowControl/>
              <w:jc w:val="center"/>
              <w:rPr>
                <w:rFonts w:ascii="Times New Roman" w:hAnsi="Times New Roman" w:cs="Times New Roman"/>
                <w:snapToGrid w:val="0"/>
                <w:kern w:val="0"/>
                <w:szCs w:val="21"/>
                <w:lang w:val="zh-CN"/>
              </w:rPr>
            </w:pPr>
          </w:p>
        </w:tc>
        <w:tc>
          <w:tcPr>
            <w:tcW w:w="2864" w:type="dxa"/>
            <w:vAlign w:val="center"/>
          </w:tcPr>
          <w:p w14:paraId="3BFC654A">
            <w:pPr>
              <w:widowControl/>
              <w:jc w:val="left"/>
              <w:rPr>
                <w:rFonts w:ascii="Times New Roman" w:hAnsi="Times New Roman" w:cs="Times New Roman"/>
                <w:szCs w:val="21"/>
              </w:rPr>
            </w:pPr>
            <w:r>
              <w:rPr>
                <w:rFonts w:hint="eastAsia" w:ascii="Times New Roman" w:hAnsi="Times New Roman" w:cs="Times New Roman"/>
                <w:szCs w:val="21"/>
              </w:rPr>
              <w:t>垂直炬管设计，分析高盐和高挥发性样品的耐受力更佳，降低氩气消耗，提升炬管、离子接口使用寿命；或一体式Mini炬管，等离子气 5L/min，辅助气 0.6L/min可保持等离子体稳定</w:t>
            </w:r>
            <w:r>
              <w:rPr>
                <w:rFonts w:ascii="Times New Roman" w:hAnsi="Times New Roman" w:cs="Times New Roman"/>
                <w:szCs w:val="21"/>
              </w:rPr>
              <w:t>。</w:t>
            </w:r>
          </w:p>
        </w:tc>
        <w:tc>
          <w:tcPr>
            <w:tcW w:w="2126" w:type="dxa"/>
            <w:vAlign w:val="center"/>
          </w:tcPr>
          <w:p w14:paraId="5CC69F19">
            <w:pPr>
              <w:widowControl/>
              <w:jc w:val="center"/>
              <w:rPr>
                <w:rFonts w:ascii="Times New Roman" w:hAnsi="Times New Roman" w:cs="Times New Roman"/>
                <w:szCs w:val="21"/>
              </w:rPr>
            </w:pPr>
            <w:r>
              <w:rPr>
                <w:rFonts w:hint="eastAsia" w:ascii="Times New Roman" w:hAnsi="Times New Roman" w:cs="Times New Roman"/>
                <w:szCs w:val="21"/>
              </w:rPr>
              <w:t>否</w:t>
            </w:r>
          </w:p>
        </w:tc>
      </w:tr>
      <w:tr w14:paraId="7C7EE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595A1F5">
            <w:pPr>
              <w:jc w:val="center"/>
              <w:rPr>
                <w:rFonts w:ascii="Times New Roman" w:hAnsi="Times New Roman" w:cs="Times New Roman"/>
                <w:szCs w:val="21"/>
              </w:rPr>
            </w:pPr>
            <w:r>
              <w:rPr>
                <w:rFonts w:ascii="Times New Roman" w:hAnsi="Times New Roman" w:cs="Times New Roman"/>
                <w:szCs w:val="21"/>
              </w:rPr>
              <w:t>4</w:t>
            </w:r>
          </w:p>
        </w:tc>
        <w:tc>
          <w:tcPr>
            <w:tcW w:w="1134" w:type="dxa"/>
            <w:vAlign w:val="center"/>
          </w:tcPr>
          <w:p w14:paraId="5872F51E">
            <w:pPr>
              <w:widowControl/>
              <w:jc w:val="center"/>
              <w:rPr>
                <w:rFonts w:ascii="Times New Roman" w:hAnsi="Times New Roman" w:cs="Times New Roman"/>
                <w:szCs w:val="21"/>
              </w:rPr>
            </w:pPr>
            <w:r>
              <w:rPr>
                <w:rFonts w:ascii="Times New Roman" w:hAnsi="Times New Roman" w:cs="Times New Roman"/>
                <w:szCs w:val="21"/>
              </w:rPr>
              <w:t>接口</w:t>
            </w:r>
          </w:p>
        </w:tc>
        <w:tc>
          <w:tcPr>
            <w:tcW w:w="1388" w:type="dxa"/>
            <w:vAlign w:val="center"/>
          </w:tcPr>
          <w:p w14:paraId="4D3253D1">
            <w:pPr>
              <w:widowControl/>
              <w:jc w:val="center"/>
              <w:rPr>
                <w:rFonts w:ascii="Times New Roman" w:hAnsi="Times New Roman" w:cs="Times New Roman"/>
                <w:snapToGrid w:val="0"/>
                <w:kern w:val="0"/>
                <w:szCs w:val="21"/>
                <w:lang w:val="zh-CN"/>
              </w:rPr>
            </w:pPr>
          </w:p>
        </w:tc>
        <w:tc>
          <w:tcPr>
            <w:tcW w:w="2864" w:type="dxa"/>
            <w:vAlign w:val="center"/>
          </w:tcPr>
          <w:p w14:paraId="1EC6638D">
            <w:pPr>
              <w:widowControl/>
              <w:jc w:val="left"/>
              <w:rPr>
                <w:rFonts w:ascii="Times New Roman" w:hAnsi="Times New Roman" w:cs="Times New Roman"/>
                <w:szCs w:val="21"/>
              </w:rPr>
            </w:pPr>
            <w:r>
              <w:rPr>
                <w:rFonts w:ascii="Times New Roman" w:hAnsi="Times New Roman" w:cs="Times New Roman"/>
                <w:szCs w:val="21"/>
              </w:rPr>
              <w:t>翻转式换</w:t>
            </w:r>
            <w:r>
              <w:rPr>
                <w:rFonts w:hint="eastAsia" w:ascii="Times New Roman" w:hAnsi="Times New Roman" w:cs="Times New Roman"/>
                <w:szCs w:val="21"/>
              </w:rPr>
              <w:t>锥</w:t>
            </w:r>
            <w:r>
              <w:rPr>
                <w:rFonts w:ascii="Times New Roman" w:hAnsi="Times New Roman" w:cs="Times New Roman"/>
                <w:szCs w:val="21"/>
              </w:rPr>
              <w:t>，自带联锁保护，杜绝异常操作，无需移动炬室。</w:t>
            </w:r>
          </w:p>
        </w:tc>
        <w:tc>
          <w:tcPr>
            <w:tcW w:w="2126" w:type="dxa"/>
            <w:vAlign w:val="center"/>
          </w:tcPr>
          <w:p w14:paraId="3BE5DDE8">
            <w:pPr>
              <w:widowControl/>
              <w:jc w:val="center"/>
              <w:rPr>
                <w:rFonts w:ascii="Times New Roman" w:hAnsi="Times New Roman" w:cs="Times New Roman"/>
                <w:szCs w:val="21"/>
              </w:rPr>
            </w:pPr>
            <w:r>
              <w:rPr>
                <w:rFonts w:hint="eastAsia" w:ascii="Times New Roman" w:hAnsi="Times New Roman" w:cs="Times New Roman"/>
                <w:szCs w:val="21"/>
              </w:rPr>
              <w:t>否</w:t>
            </w:r>
          </w:p>
        </w:tc>
      </w:tr>
      <w:tr w14:paraId="4E941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B0826D9">
            <w:pPr>
              <w:jc w:val="center"/>
              <w:rPr>
                <w:rFonts w:ascii="Times New Roman" w:hAnsi="Times New Roman" w:cs="Times New Roman"/>
                <w:szCs w:val="21"/>
              </w:rPr>
            </w:pPr>
            <w:r>
              <w:rPr>
                <w:rFonts w:ascii="Times New Roman" w:hAnsi="Times New Roman" w:cs="Times New Roman"/>
                <w:szCs w:val="21"/>
              </w:rPr>
              <w:t>5</w:t>
            </w:r>
          </w:p>
        </w:tc>
        <w:tc>
          <w:tcPr>
            <w:tcW w:w="1134" w:type="dxa"/>
            <w:vAlign w:val="center"/>
          </w:tcPr>
          <w:p w14:paraId="72C72F5E">
            <w:pPr>
              <w:widowControl/>
              <w:jc w:val="center"/>
              <w:rPr>
                <w:rFonts w:ascii="Times New Roman" w:hAnsi="Times New Roman" w:cs="Times New Roman"/>
                <w:szCs w:val="21"/>
              </w:rPr>
            </w:pPr>
            <w:r>
              <w:rPr>
                <w:rFonts w:ascii="Times New Roman" w:hAnsi="Times New Roman" w:cs="Times New Roman"/>
                <w:szCs w:val="21"/>
              </w:rPr>
              <w:t>离子传输系统</w:t>
            </w:r>
          </w:p>
        </w:tc>
        <w:tc>
          <w:tcPr>
            <w:tcW w:w="1388" w:type="dxa"/>
            <w:vAlign w:val="center"/>
          </w:tcPr>
          <w:p w14:paraId="5E710F80">
            <w:pPr>
              <w:widowControl/>
              <w:jc w:val="center"/>
              <w:rPr>
                <w:rFonts w:ascii="Times New Roman" w:hAnsi="Times New Roman" w:cs="Times New Roman"/>
                <w:snapToGrid w:val="0"/>
                <w:kern w:val="0"/>
                <w:szCs w:val="21"/>
                <w:lang w:val="zh-CN"/>
              </w:rPr>
            </w:pPr>
          </w:p>
        </w:tc>
        <w:tc>
          <w:tcPr>
            <w:tcW w:w="2864" w:type="dxa"/>
            <w:vAlign w:val="center"/>
          </w:tcPr>
          <w:p w14:paraId="326C8023">
            <w:pPr>
              <w:widowControl/>
              <w:rPr>
                <w:rFonts w:ascii="Times New Roman" w:hAnsi="Times New Roman" w:cs="Times New Roman"/>
                <w:szCs w:val="21"/>
              </w:rPr>
            </w:pPr>
            <w:r>
              <w:rPr>
                <w:rFonts w:ascii="Times New Roman" w:hAnsi="Times New Roman" w:cs="Times New Roman"/>
                <w:szCs w:val="21"/>
              </w:rPr>
              <w:t>至少两次离轴设计，Q1四极杆前正交90°离轴设计，叠加碰撞池后离轴偏转。</w:t>
            </w:r>
          </w:p>
        </w:tc>
        <w:tc>
          <w:tcPr>
            <w:tcW w:w="2126" w:type="dxa"/>
            <w:vAlign w:val="center"/>
          </w:tcPr>
          <w:p w14:paraId="077C8201">
            <w:pPr>
              <w:widowControl/>
              <w:jc w:val="center"/>
              <w:rPr>
                <w:rFonts w:ascii="Times New Roman" w:hAnsi="Times New Roman" w:cs="Times New Roman"/>
                <w:szCs w:val="21"/>
              </w:rPr>
            </w:pPr>
            <w:r>
              <w:rPr>
                <w:rFonts w:ascii="Times New Roman" w:hAnsi="Times New Roman" w:cs="Times New Roman"/>
                <w:szCs w:val="21"/>
              </w:rPr>
              <w:t>是</w:t>
            </w:r>
          </w:p>
        </w:tc>
      </w:tr>
      <w:tr w14:paraId="2DCE3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270A947">
            <w:pPr>
              <w:jc w:val="center"/>
              <w:rPr>
                <w:rFonts w:ascii="Times New Roman" w:hAnsi="Times New Roman" w:cs="Times New Roman"/>
                <w:szCs w:val="21"/>
              </w:rPr>
            </w:pPr>
            <w:r>
              <w:rPr>
                <w:rFonts w:ascii="Times New Roman" w:hAnsi="Times New Roman" w:cs="Times New Roman"/>
                <w:szCs w:val="21"/>
              </w:rPr>
              <w:t>6</w:t>
            </w:r>
          </w:p>
        </w:tc>
        <w:tc>
          <w:tcPr>
            <w:tcW w:w="1134" w:type="dxa"/>
            <w:vAlign w:val="center"/>
          </w:tcPr>
          <w:p w14:paraId="571AD957">
            <w:pPr>
              <w:widowControl/>
              <w:jc w:val="center"/>
              <w:rPr>
                <w:rFonts w:ascii="Times New Roman" w:hAnsi="Times New Roman" w:cs="Times New Roman"/>
                <w:szCs w:val="21"/>
              </w:rPr>
            </w:pPr>
            <w:r>
              <w:rPr>
                <w:rFonts w:ascii="Times New Roman" w:hAnsi="Times New Roman" w:cs="Times New Roman"/>
                <w:szCs w:val="21"/>
              </w:rPr>
              <w:t>碰撞反应池</w:t>
            </w:r>
          </w:p>
        </w:tc>
        <w:tc>
          <w:tcPr>
            <w:tcW w:w="1388" w:type="dxa"/>
            <w:vAlign w:val="center"/>
          </w:tcPr>
          <w:p w14:paraId="3C10C28F">
            <w:pPr>
              <w:widowControl/>
              <w:jc w:val="center"/>
              <w:rPr>
                <w:rFonts w:ascii="Times New Roman" w:hAnsi="Times New Roman" w:cs="Times New Roman"/>
                <w:snapToGrid w:val="0"/>
                <w:kern w:val="0"/>
                <w:szCs w:val="21"/>
                <w:lang w:val="zh-CN"/>
              </w:rPr>
            </w:pPr>
          </w:p>
        </w:tc>
        <w:tc>
          <w:tcPr>
            <w:tcW w:w="2864" w:type="dxa"/>
            <w:vAlign w:val="center"/>
          </w:tcPr>
          <w:p w14:paraId="6A04CDA0">
            <w:pPr>
              <w:widowControl/>
              <w:jc w:val="left"/>
              <w:rPr>
                <w:rFonts w:ascii="Times New Roman" w:hAnsi="Times New Roman" w:cs="Times New Roman"/>
                <w:szCs w:val="21"/>
              </w:rPr>
            </w:pPr>
            <w:r>
              <w:rPr>
                <w:rFonts w:ascii="Times New Roman" w:hAnsi="Times New Roman" w:cs="Times New Roman"/>
                <w:szCs w:val="21"/>
              </w:rPr>
              <w:t>采用八极杆碰撞反应池系统，具有轴向加速功能，能够将反应气分子撞击后的低动能离子聚焦、加速，提高反应模式下灵敏度。</w:t>
            </w:r>
          </w:p>
        </w:tc>
        <w:tc>
          <w:tcPr>
            <w:tcW w:w="2126" w:type="dxa"/>
            <w:vAlign w:val="center"/>
          </w:tcPr>
          <w:p w14:paraId="55515F9F">
            <w:pPr>
              <w:widowControl/>
              <w:jc w:val="center"/>
              <w:rPr>
                <w:rFonts w:ascii="Times New Roman" w:hAnsi="Times New Roman" w:cs="Times New Roman"/>
                <w:szCs w:val="21"/>
              </w:rPr>
            </w:pPr>
            <w:r>
              <w:rPr>
                <w:rFonts w:ascii="Times New Roman" w:hAnsi="Times New Roman" w:cs="Times New Roman"/>
                <w:szCs w:val="21"/>
              </w:rPr>
              <w:t>是</w:t>
            </w:r>
          </w:p>
        </w:tc>
      </w:tr>
      <w:tr w14:paraId="7D1AE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A425495">
            <w:pPr>
              <w:jc w:val="center"/>
              <w:rPr>
                <w:rFonts w:ascii="Times New Roman" w:hAnsi="Times New Roman" w:cs="Times New Roman"/>
                <w:szCs w:val="21"/>
              </w:rPr>
            </w:pPr>
            <w:r>
              <w:rPr>
                <w:rFonts w:ascii="Times New Roman" w:hAnsi="Times New Roman" w:cs="Times New Roman"/>
                <w:szCs w:val="21"/>
              </w:rPr>
              <w:t>7</w:t>
            </w:r>
          </w:p>
        </w:tc>
        <w:tc>
          <w:tcPr>
            <w:tcW w:w="1134" w:type="dxa"/>
            <w:vAlign w:val="center"/>
          </w:tcPr>
          <w:p w14:paraId="3DB3B6EA">
            <w:pPr>
              <w:widowControl/>
              <w:jc w:val="center"/>
              <w:rPr>
                <w:rFonts w:ascii="Times New Roman" w:hAnsi="Times New Roman" w:cs="Times New Roman"/>
                <w:szCs w:val="21"/>
              </w:rPr>
            </w:pPr>
            <w:r>
              <w:rPr>
                <w:rFonts w:ascii="Times New Roman" w:hAnsi="Times New Roman" w:cs="Times New Roman"/>
                <w:szCs w:val="21"/>
              </w:rPr>
              <w:t>检测器</w:t>
            </w:r>
          </w:p>
        </w:tc>
        <w:tc>
          <w:tcPr>
            <w:tcW w:w="1388" w:type="dxa"/>
            <w:vAlign w:val="center"/>
          </w:tcPr>
          <w:p w14:paraId="327D003B">
            <w:pPr>
              <w:widowControl/>
              <w:jc w:val="center"/>
              <w:rPr>
                <w:rFonts w:ascii="Times New Roman" w:hAnsi="Times New Roman" w:cs="Times New Roman"/>
                <w:snapToGrid w:val="0"/>
                <w:kern w:val="0"/>
                <w:szCs w:val="21"/>
                <w:lang w:val="zh-CN"/>
              </w:rPr>
            </w:pPr>
          </w:p>
        </w:tc>
        <w:tc>
          <w:tcPr>
            <w:tcW w:w="2864" w:type="dxa"/>
            <w:vAlign w:val="center"/>
          </w:tcPr>
          <w:p w14:paraId="007EAD61">
            <w:pPr>
              <w:widowControl/>
              <w:jc w:val="left"/>
              <w:rPr>
                <w:rFonts w:ascii="Times New Roman" w:hAnsi="Times New Roman" w:cs="Times New Roman"/>
                <w:szCs w:val="21"/>
              </w:rPr>
            </w:pPr>
            <w:r>
              <w:rPr>
                <w:rFonts w:ascii="Times New Roman" w:hAnsi="Times New Roman" w:cs="Times New Roman"/>
                <w:szCs w:val="21"/>
              </w:rPr>
              <w:t>带直角偏转设计，脉冲/模拟双模式不连续打拿极电子倍增器，提供不少于9个数量级的动态范围。</w:t>
            </w:r>
          </w:p>
        </w:tc>
        <w:tc>
          <w:tcPr>
            <w:tcW w:w="2126" w:type="dxa"/>
            <w:vAlign w:val="center"/>
          </w:tcPr>
          <w:p w14:paraId="16CE22D4">
            <w:pPr>
              <w:widowControl/>
              <w:jc w:val="center"/>
              <w:rPr>
                <w:rFonts w:ascii="Times New Roman" w:hAnsi="Times New Roman" w:cs="Times New Roman"/>
                <w:szCs w:val="21"/>
              </w:rPr>
            </w:pPr>
            <w:r>
              <w:rPr>
                <w:rFonts w:hint="eastAsia" w:ascii="Times New Roman" w:hAnsi="Times New Roman" w:cs="Times New Roman"/>
                <w:szCs w:val="21"/>
              </w:rPr>
              <w:t>否</w:t>
            </w:r>
          </w:p>
        </w:tc>
      </w:tr>
      <w:tr w14:paraId="38642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C5722EE">
            <w:pPr>
              <w:jc w:val="center"/>
              <w:rPr>
                <w:rFonts w:ascii="Times New Roman" w:hAnsi="Times New Roman" w:cs="Times New Roman"/>
                <w:szCs w:val="21"/>
              </w:rPr>
            </w:pPr>
            <w:r>
              <w:rPr>
                <w:rFonts w:ascii="Times New Roman" w:hAnsi="Times New Roman" w:cs="Times New Roman"/>
                <w:szCs w:val="21"/>
              </w:rPr>
              <w:t>8</w:t>
            </w:r>
          </w:p>
        </w:tc>
        <w:tc>
          <w:tcPr>
            <w:tcW w:w="1134" w:type="dxa"/>
            <w:vAlign w:val="center"/>
          </w:tcPr>
          <w:p w14:paraId="05E3AFD9">
            <w:pPr>
              <w:widowControl/>
              <w:jc w:val="center"/>
              <w:rPr>
                <w:rFonts w:ascii="Times New Roman" w:hAnsi="Times New Roman" w:cs="Times New Roman"/>
                <w:szCs w:val="21"/>
              </w:rPr>
            </w:pPr>
            <w:r>
              <w:rPr>
                <w:rFonts w:ascii="Times New Roman" w:hAnsi="Times New Roman" w:cs="Times New Roman"/>
                <w:szCs w:val="21"/>
              </w:rPr>
              <w:t>等离子体观测</w:t>
            </w:r>
          </w:p>
        </w:tc>
        <w:tc>
          <w:tcPr>
            <w:tcW w:w="1388" w:type="dxa"/>
            <w:vAlign w:val="center"/>
          </w:tcPr>
          <w:p w14:paraId="0ADDD1D5">
            <w:pPr>
              <w:widowControl/>
              <w:jc w:val="center"/>
              <w:rPr>
                <w:rFonts w:ascii="Times New Roman" w:hAnsi="Times New Roman" w:cs="Times New Roman"/>
                <w:snapToGrid w:val="0"/>
                <w:kern w:val="0"/>
                <w:szCs w:val="21"/>
                <w:lang w:val="zh-CN"/>
              </w:rPr>
            </w:pPr>
          </w:p>
        </w:tc>
        <w:tc>
          <w:tcPr>
            <w:tcW w:w="2864" w:type="dxa"/>
            <w:vAlign w:val="center"/>
          </w:tcPr>
          <w:p w14:paraId="7AC77C1E">
            <w:pPr>
              <w:widowControl/>
              <w:jc w:val="left"/>
              <w:rPr>
                <w:rFonts w:ascii="Times New Roman" w:hAnsi="Times New Roman" w:cs="Times New Roman"/>
                <w:szCs w:val="21"/>
              </w:rPr>
            </w:pPr>
            <w:r>
              <w:rPr>
                <w:rFonts w:ascii="Times New Roman" w:hAnsi="Times New Roman" w:cs="Times New Roman"/>
                <w:szCs w:val="21"/>
              </w:rPr>
              <w:t>具有带电磁屏蔽的等离子体实时观测功能。</w:t>
            </w:r>
          </w:p>
        </w:tc>
        <w:tc>
          <w:tcPr>
            <w:tcW w:w="2126" w:type="dxa"/>
            <w:vAlign w:val="center"/>
          </w:tcPr>
          <w:p w14:paraId="51F17D63">
            <w:pPr>
              <w:widowControl/>
              <w:jc w:val="center"/>
              <w:rPr>
                <w:rFonts w:ascii="Times New Roman" w:hAnsi="Times New Roman" w:cs="Times New Roman"/>
                <w:szCs w:val="21"/>
              </w:rPr>
            </w:pPr>
            <w:r>
              <w:rPr>
                <w:rFonts w:hint="eastAsia" w:ascii="Times New Roman" w:hAnsi="Times New Roman" w:cs="Times New Roman"/>
                <w:szCs w:val="21"/>
              </w:rPr>
              <w:t>否</w:t>
            </w:r>
          </w:p>
        </w:tc>
      </w:tr>
      <w:tr w14:paraId="2EC54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63D444B">
            <w:pPr>
              <w:jc w:val="center"/>
              <w:rPr>
                <w:rFonts w:ascii="Times New Roman" w:hAnsi="Times New Roman" w:cs="Times New Roman"/>
                <w:szCs w:val="21"/>
              </w:rPr>
            </w:pPr>
            <w:r>
              <w:rPr>
                <w:rFonts w:ascii="Times New Roman" w:hAnsi="Times New Roman" w:cs="Times New Roman"/>
                <w:szCs w:val="21"/>
              </w:rPr>
              <w:t>9</w:t>
            </w:r>
          </w:p>
        </w:tc>
        <w:tc>
          <w:tcPr>
            <w:tcW w:w="1134" w:type="dxa"/>
            <w:vAlign w:val="center"/>
          </w:tcPr>
          <w:p w14:paraId="2771EE01">
            <w:pPr>
              <w:widowControl/>
              <w:jc w:val="center"/>
              <w:rPr>
                <w:rFonts w:ascii="Times New Roman" w:hAnsi="Times New Roman" w:cs="Times New Roman"/>
                <w:szCs w:val="21"/>
              </w:rPr>
            </w:pPr>
            <w:r>
              <w:rPr>
                <w:rFonts w:ascii="Times New Roman" w:hAnsi="Times New Roman" w:cs="Times New Roman"/>
                <w:szCs w:val="21"/>
              </w:rPr>
              <w:t>单颗粒功能</w:t>
            </w:r>
          </w:p>
        </w:tc>
        <w:tc>
          <w:tcPr>
            <w:tcW w:w="1388" w:type="dxa"/>
            <w:vAlign w:val="center"/>
          </w:tcPr>
          <w:p w14:paraId="58C46079">
            <w:pPr>
              <w:widowControl/>
              <w:jc w:val="center"/>
              <w:rPr>
                <w:rFonts w:ascii="Times New Roman" w:hAnsi="Times New Roman" w:cs="Times New Roman"/>
                <w:snapToGrid w:val="0"/>
                <w:kern w:val="0"/>
                <w:szCs w:val="21"/>
                <w:lang w:val="zh-CN"/>
              </w:rPr>
            </w:pPr>
            <w:r>
              <w:rPr>
                <w:rFonts w:ascii="Segoe UI Symbol" w:hAnsi="Segoe UI Symbol" w:cs="Segoe UI Symbol"/>
                <w:snapToGrid w:val="0"/>
                <w:kern w:val="0"/>
                <w:szCs w:val="21"/>
                <w:lang w:val="zh-CN"/>
              </w:rPr>
              <w:t>★</w:t>
            </w:r>
          </w:p>
        </w:tc>
        <w:tc>
          <w:tcPr>
            <w:tcW w:w="2864" w:type="dxa"/>
            <w:vAlign w:val="center"/>
          </w:tcPr>
          <w:p w14:paraId="00B5E012">
            <w:pPr>
              <w:widowControl/>
              <w:jc w:val="left"/>
              <w:rPr>
                <w:rFonts w:ascii="Times New Roman" w:hAnsi="Times New Roman" w:cs="Times New Roman"/>
                <w:szCs w:val="21"/>
              </w:rPr>
            </w:pPr>
            <w:r>
              <w:rPr>
                <w:rFonts w:ascii="Times New Roman" w:hAnsi="Times New Roman" w:cs="Times New Roman"/>
                <w:szCs w:val="21"/>
              </w:rPr>
              <w:t>具备专用的单颗粒分析软件，可提供单颗粒分析模式，四极杆最短驻留时间：10 µS。</w:t>
            </w:r>
          </w:p>
        </w:tc>
        <w:tc>
          <w:tcPr>
            <w:tcW w:w="2126" w:type="dxa"/>
            <w:vAlign w:val="center"/>
          </w:tcPr>
          <w:p w14:paraId="5C61CB69">
            <w:pPr>
              <w:widowControl/>
              <w:jc w:val="center"/>
              <w:rPr>
                <w:rFonts w:ascii="Times New Roman" w:hAnsi="Times New Roman" w:cs="Times New Roman"/>
                <w:szCs w:val="21"/>
              </w:rPr>
            </w:pPr>
            <w:r>
              <w:rPr>
                <w:rFonts w:ascii="Times New Roman" w:hAnsi="Times New Roman" w:cs="Times New Roman"/>
                <w:szCs w:val="21"/>
              </w:rPr>
              <w:t>是</w:t>
            </w:r>
          </w:p>
        </w:tc>
      </w:tr>
      <w:tr w14:paraId="21974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293CD9B">
            <w:pPr>
              <w:jc w:val="center"/>
              <w:rPr>
                <w:rFonts w:ascii="Times New Roman" w:hAnsi="Times New Roman" w:cs="Times New Roman"/>
                <w:szCs w:val="21"/>
              </w:rPr>
            </w:pPr>
            <w:r>
              <w:rPr>
                <w:rFonts w:ascii="Times New Roman" w:hAnsi="Times New Roman" w:cs="Times New Roman"/>
                <w:szCs w:val="21"/>
              </w:rPr>
              <w:t>10</w:t>
            </w:r>
          </w:p>
        </w:tc>
        <w:tc>
          <w:tcPr>
            <w:tcW w:w="1134" w:type="dxa"/>
            <w:vAlign w:val="center"/>
          </w:tcPr>
          <w:p w14:paraId="5B43947D">
            <w:pPr>
              <w:widowControl/>
              <w:jc w:val="center"/>
              <w:rPr>
                <w:rFonts w:ascii="Times New Roman" w:hAnsi="Times New Roman" w:cs="Times New Roman"/>
                <w:szCs w:val="21"/>
              </w:rPr>
            </w:pPr>
            <w:r>
              <w:rPr>
                <w:rFonts w:ascii="Times New Roman" w:hAnsi="Times New Roman" w:cs="Times New Roman"/>
                <w:szCs w:val="21"/>
              </w:rPr>
              <w:t>检出限：</w:t>
            </w:r>
          </w:p>
        </w:tc>
        <w:tc>
          <w:tcPr>
            <w:tcW w:w="1388" w:type="dxa"/>
            <w:vAlign w:val="center"/>
          </w:tcPr>
          <w:p w14:paraId="4AA46FCD">
            <w:pPr>
              <w:widowControl/>
              <w:jc w:val="center"/>
              <w:rPr>
                <w:rFonts w:ascii="Times New Roman" w:hAnsi="Times New Roman" w:cs="Times New Roman"/>
                <w:szCs w:val="21"/>
              </w:rPr>
            </w:pPr>
            <w:r>
              <w:rPr>
                <w:rFonts w:ascii="Segoe UI Symbol" w:hAnsi="Segoe UI Symbol" w:cs="Segoe UI Symbol"/>
                <w:snapToGrid w:val="0"/>
                <w:kern w:val="0"/>
                <w:szCs w:val="21"/>
                <w:lang w:val="zh-CN"/>
              </w:rPr>
              <w:t>★</w:t>
            </w:r>
          </w:p>
        </w:tc>
        <w:tc>
          <w:tcPr>
            <w:tcW w:w="2864" w:type="dxa"/>
            <w:vAlign w:val="center"/>
          </w:tcPr>
          <w:p w14:paraId="2161F6FF">
            <w:pPr>
              <w:widowControl/>
              <w:jc w:val="center"/>
              <w:rPr>
                <w:rFonts w:ascii="Times New Roman" w:hAnsi="Times New Roman" w:cs="Times New Roman"/>
                <w:szCs w:val="21"/>
              </w:rPr>
            </w:pPr>
            <w:r>
              <w:rPr>
                <w:rFonts w:ascii="Times New Roman" w:hAnsi="Times New Roman" w:cs="Times New Roman"/>
                <w:szCs w:val="21"/>
              </w:rPr>
              <w:t>0.1 - 1 ppt（痕量元素），低质量数&lt; 0.5ppt；中质量数&lt; 0.1ppt；高质量数&lt; 0.1ppt</w:t>
            </w:r>
          </w:p>
        </w:tc>
        <w:tc>
          <w:tcPr>
            <w:tcW w:w="2126" w:type="dxa"/>
            <w:vAlign w:val="center"/>
          </w:tcPr>
          <w:p w14:paraId="464D6137">
            <w:pPr>
              <w:widowControl/>
              <w:jc w:val="center"/>
              <w:rPr>
                <w:rFonts w:ascii="Times New Roman" w:hAnsi="Times New Roman" w:cs="Times New Roman"/>
                <w:szCs w:val="21"/>
              </w:rPr>
            </w:pPr>
            <w:r>
              <w:rPr>
                <w:rFonts w:hint="eastAsia" w:ascii="Times New Roman" w:hAnsi="Times New Roman" w:cs="Times New Roman"/>
                <w:szCs w:val="21"/>
              </w:rPr>
              <w:t>否</w:t>
            </w:r>
          </w:p>
        </w:tc>
      </w:tr>
      <w:tr w14:paraId="648B5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43872604">
            <w:pPr>
              <w:jc w:val="center"/>
              <w:rPr>
                <w:rFonts w:ascii="Times New Roman" w:hAnsi="Times New Roman" w:cs="Times New Roman"/>
                <w:szCs w:val="21"/>
              </w:rPr>
            </w:pPr>
            <w:r>
              <w:rPr>
                <w:rFonts w:ascii="Times New Roman" w:hAnsi="Times New Roman" w:cs="Times New Roman"/>
                <w:szCs w:val="21"/>
              </w:rPr>
              <w:t>11</w:t>
            </w:r>
          </w:p>
        </w:tc>
        <w:tc>
          <w:tcPr>
            <w:tcW w:w="1134" w:type="dxa"/>
            <w:vAlign w:val="center"/>
          </w:tcPr>
          <w:p w14:paraId="32CA4018">
            <w:pPr>
              <w:widowControl/>
              <w:jc w:val="center"/>
              <w:rPr>
                <w:rFonts w:ascii="Times New Roman" w:hAnsi="Times New Roman" w:cs="Times New Roman"/>
                <w:szCs w:val="21"/>
              </w:rPr>
            </w:pPr>
            <w:r>
              <w:rPr>
                <w:rFonts w:ascii="Times New Roman" w:hAnsi="Times New Roman" w:cs="Times New Roman"/>
                <w:szCs w:val="21"/>
              </w:rPr>
              <w:t>丰度灵敏度：</w:t>
            </w:r>
          </w:p>
        </w:tc>
        <w:tc>
          <w:tcPr>
            <w:tcW w:w="1388" w:type="dxa"/>
            <w:vAlign w:val="center"/>
          </w:tcPr>
          <w:p w14:paraId="1409ADFD">
            <w:pPr>
              <w:widowControl/>
              <w:jc w:val="center"/>
              <w:rPr>
                <w:rFonts w:ascii="Times New Roman" w:hAnsi="Times New Roman" w:cs="Times New Roman"/>
                <w:szCs w:val="21"/>
              </w:rPr>
            </w:pPr>
            <w:r>
              <w:rPr>
                <w:rFonts w:ascii="Segoe UI Symbol" w:hAnsi="Segoe UI Symbol" w:cs="Segoe UI Symbol"/>
                <w:snapToGrid w:val="0"/>
                <w:kern w:val="0"/>
                <w:szCs w:val="21"/>
                <w:lang w:val="zh-CN"/>
              </w:rPr>
              <w:t>★</w:t>
            </w:r>
          </w:p>
        </w:tc>
        <w:tc>
          <w:tcPr>
            <w:tcW w:w="2864" w:type="dxa"/>
            <w:vAlign w:val="center"/>
          </w:tcPr>
          <w:p w14:paraId="52649182">
            <w:pPr>
              <w:widowControl/>
              <w:jc w:val="center"/>
              <w:rPr>
                <w:rFonts w:ascii="Times New Roman" w:hAnsi="Times New Roman" w:cs="Times New Roman"/>
                <w:szCs w:val="21"/>
              </w:rPr>
            </w:pPr>
            <w:r>
              <w:rPr>
                <w:rFonts w:ascii="Times New Roman" w:hAnsi="Times New Roman" w:cs="Times New Roman"/>
                <w:szCs w:val="21"/>
              </w:rPr>
              <w:t>&lt; 0.005 ppm（50×10-10）</w:t>
            </w:r>
          </w:p>
        </w:tc>
        <w:tc>
          <w:tcPr>
            <w:tcW w:w="2126" w:type="dxa"/>
            <w:vAlign w:val="center"/>
          </w:tcPr>
          <w:p w14:paraId="772F16D1">
            <w:pPr>
              <w:widowControl/>
              <w:jc w:val="center"/>
              <w:rPr>
                <w:rFonts w:ascii="Times New Roman" w:hAnsi="Times New Roman" w:cs="Times New Roman"/>
                <w:szCs w:val="21"/>
              </w:rPr>
            </w:pPr>
            <w:r>
              <w:rPr>
                <w:rFonts w:hint="eastAsia" w:ascii="Times New Roman" w:hAnsi="Times New Roman" w:cs="Times New Roman"/>
                <w:szCs w:val="21"/>
              </w:rPr>
              <w:t>否</w:t>
            </w:r>
          </w:p>
        </w:tc>
      </w:tr>
      <w:tr w14:paraId="52916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0234D02">
            <w:pPr>
              <w:jc w:val="center"/>
              <w:rPr>
                <w:rFonts w:ascii="Times New Roman" w:hAnsi="Times New Roman" w:cs="Times New Roman"/>
                <w:szCs w:val="21"/>
              </w:rPr>
            </w:pPr>
            <w:r>
              <w:rPr>
                <w:rFonts w:ascii="Times New Roman" w:hAnsi="Times New Roman" w:cs="Times New Roman"/>
                <w:szCs w:val="21"/>
              </w:rPr>
              <w:t>12</w:t>
            </w:r>
          </w:p>
        </w:tc>
        <w:tc>
          <w:tcPr>
            <w:tcW w:w="1134" w:type="dxa"/>
            <w:vAlign w:val="center"/>
          </w:tcPr>
          <w:p w14:paraId="754E35F7">
            <w:pPr>
              <w:widowControl/>
              <w:jc w:val="center"/>
              <w:rPr>
                <w:rFonts w:ascii="Times New Roman" w:hAnsi="Times New Roman" w:cs="Times New Roman"/>
                <w:szCs w:val="21"/>
              </w:rPr>
            </w:pPr>
            <w:r>
              <w:rPr>
                <w:rFonts w:ascii="Times New Roman" w:hAnsi="Times New Roman" w:cs="Times New Roman"/>
                <w:szCs w:val="21"/>
              </w:rPr>
              <w:t>灵敏度：</w:t>
            </w:r>
          </w:p>
        </w:tc>
        <w:tc>
          <w:tcPr>
            <w:tcW w:w="1388" w:type="dxa"/>
            <w:vAlign w:val="center"/>
          </w:tcPr>
          <w:p w14:paraId="547948AE">
            <w:pPr>
              <w:widowControl/>
              <w:jc w:val="center"/>
              <w:rPr>
                <w:rFonts w:ascii="Times New Roman" w:hAnsi="Times New Roman" w:cs="Times New Roman"/>
                <w:szCs w:val="21"/>
              </w:rPr>
            </w:pPr>
          </w:p>
        </w:tc>
        <w:tc>
          <w:tcPr>
            <w:tcW w:w="2864" w:type="dxa"/>
            <w:vAlign w:val="center"/>
          </w:tcPr>
          <w:p w14:paraId="4BE6101B">
            <w:pPr>
              <w:widowControl/>
              <w:jc w:val="center"/>
              <w:rPr>
                <w:rFonts w:ascii="Times New Roman" w:hAnsi="Times New Roman" w:cs="Times New Roman"/>
                <w:szCs w:val="21"/>
              </w:rPr>
            </w:pPr>
            <w:r>
              <w:rPr>
                <w:rFonts w:ascii="Times New Roman" w:hAnsi="Times New Roman" w:cs="Times New Roman"/>
                <w:szCs w:val="21"/>
              </w:rPr>
              <w:t>低质量数—100 Mcps/ppm；中质量数—350 Mcps/ppm；高质量数—350 Mcps/ppm</w:t>
            </w:r>
          </w:p>
        </w:tc>
        <w:tc>
          <w:tcPr>
            <w:tcW w:w="2126" w:type="dxa"/>
            <w:vAlign w:val="center"/>
          </w:tcPr>
          <w:p w14:paraId="5404ADEE">
            <w:pPr>
              <w:widowControl/>
              <w:jc w:val="center"/>
              <w:rPr>
                <w:rFonts w:ascii="Times New Roman" w:hAnsi="Times New Roman" w:cs="Times New Roman"/>
                <w:szCs w:val="21"/>
              </w:rPr>
            </w:pPr>
            <w:r>
              <w:rPr>
                <w:rFonts w:hint="eastAsia" w:ascii="Times New Roman" w:hAnsi="Times New Roman" w:cs="Times New Roman"/>
                <w:szCs w:val="21"/>
              </w:rPr>
              <w:t>否</w:t>
            </w:r>
          </w:p>
        </w:tc>
      </w:tr>
      <w:tr w14:paraId="6812B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E281F79">
            <w:pPr>
              <w:jc w:val="center"/>
              <w:rPr>
                <w:rFonts w:ascii="Times New Roman" w:hAnsi="Times New Roman" w:cs="Times New Roman"/>
                <w:szCs w:val="21"/>
              </w:rPr>
            </w:pPr>
            <w:r>
              <w:rPr>
                <w:rFonts w:ascii="Times New Roman" w:hAnsi="Times New Roman" w:cs="Times New Roman"/>
                <w:szCs w:val="21"/>
              </w:rPr>
              <w:t>13</w:t>
            </w:r>
          </w:p>
        </w:tc>
        <w:tc>
          <w:tcPr>
            <w:tcW w:w="1134" w:type="dxa"/>
            <w:vAlign w:val="center"/>
          </w:tcPr>
          <w:p w14:paraId="544C32F5">
            <w:pPr>
              <w:widowControl/>
              <w:jc w:val="center"/>
              <w:rPr>
                <w:rFonts w:ascii="Times New Roman" w:hAnsi="Times New Roman" w:cs="Times New Roman"/>
                <w:szCs w:val="21"/>
              </w:rPr>
            </w:pPr>
            <w:r>
              <w:rPr>
                <w:rFonts w:ascii="Times New Roman" w:hAnsi="Times New Roman" w:cs="Times New Roman"/>
                <w:szCs w:val="21"/>
              </w:rPr>
              <w:t>采集速度</w:t>
            </w:r>
          </w:p>
        </w:tc>
        <w:tc>
          <w:tcPr>
            <w:tcW w:w="1388" w:type="dxa"/>
            <w:vAlign w:val="center"/>
          </w:tcPr>
          <w:p w14:paraId="0A4BBE38">
            <w:pPr>
              <w:widowControl/>
              <w:jc w:val="center"/>
              <w:rPr>
                <w:rFonts w:ascii="Times New Roman" w:hAnsi="Times New Roman" w:cs="Times New Roman"/>
                <w:szCs w:val="21"/>
              </w:rPr>
            </w:pPr>
          </w:p>
        </w:tc>
        <w:tc>
          <w:tcPr>
            <w:tcW w:w="2864" w:type="dxa"/>
            <w:vAlign w:val="center"/>
          </w:tcPr>
          <w:p w14:paraId="16CD1C53">
            <w:pPr>
              <w:widowControl/>
              <w:jc w:val="center"/>
              <w:rPr>
                <w:rFonts w:ascii="Times New Roman" w:hAnsi="Times New Roman" w:cs="Times New Roman"/>
                <w:szCs w:val="21"/>
              </w:rPr>
            </w:pPr>
            <w:r>
              <w:rPr>
                <w:rFonts w:ascii="Times New Roman" w:hAnsi="Times New Roman" w:cs="Times New Roman"/>
                <w:szCs w:val="21"/>
              </w:rPr>
              <w:t>0.1 ms</w:t>
            </w:r>
          </w:p>
        </w:tc>
        <w:tc>
          <w:tcPr>
            <w:tcW w:w="2126" w:type="dxa"/>
            <w:vAlign w:val="center"/>
          </w:tcPr>
          <w:p w14:paraId="55C4558C">
            <w:pPr>
              <w:widowControl/>
              <w:jc w:val="center"/>
              <w:rPr>
                <w:rFonts w:ascii="Times New Roman" w:hAnsi="Times New Roman" w:cs="Times New Roman"/>
                <w:szCs w:val="21"/>
              </w:rPr>
            </w:pPr>
            <w:r>
              <w:rPr>
                <w:rFonts w:hint="eastAsia" w:ascii="Times New Roman" w:hAnsi="Times New Roman" w:cs="Times New Roman"/>
                <w:szCs w:val="21"/>
              </w:rPr>
              <w:t>否</w:t>
            </w:r>
          </w:p>
        </w:tc>
      </w:tr>
      <w:tr w14:paraId="3AF3C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19A9CA6">
            <w:pPr>
              <w:jc w:val="center"/>
              <w:rPr>
                <w:rFonts w:ascii="Times New Roman" w:hAnsi="Times New Roman" w:cs="Times New Roman"/>
                <w:szCs w:val="21"/>
              </w:rPr>
            </w:pPr>
            <w:r>
              <w:rPr>
                <w:rFonts w:ascii="Times New Roman" w:hAnsi="Times New Roman" w:cs="Times New Roman"/>
                <w:szCs w:val="21"/>
              </w:rPr>
              <w:t>14</w:t>
            </w:r>
          </w:p>
        </w:tc>
        <w:tc>
          <w:tcPr>
            <w:tcW w:w="1134" w:type="dxa"/>
            <w:vAlign w:val="center"/>
          </w:tcPr>
          <w:p w14:paraId="137851C4">
            <w:pPr>
              <w:widowControl/>
              <w:jc w:val="center"/>
              <w:rPr>
                <w:rFonts w:ascii="Times New Roman" w:hAnsi="Times New Roman" w:cs="Times New Roman"/>
                <w:szCs w:val="21"/>
              </w:rPr>
            </w:pPr>
            <w:r>
              <w:rPr>
                <w:rFonts w:ascii="Times New Roman" w:hAnsi="Times New Roman" w:cs="Times New Roman"/>
                <w:szCs w:val="21"/>
              </w:rPr>
              <w:t>分析速度</w:t>
            </w:r>
          </w:p>
        </w:tc>
        <w:tc>
          <w:tcPr>
            <w:tcW w:w="1388" w:type="dxa"/>
            <w:vAlign w:val="center"/>
          </w:tcPr>
          <w:p w14:paraId="09E58E4B">
            <w:pPr>
              <w:widowControl/>
              <w:jc w:val="center"/>
              <w:rPr>
                <w:rFonts w:ascii="Times New Roman" w:hAnsi="Times New Roman" w:cs="Times New Roman"/>
                <w:szCs w:val="21"/>
              </w:rPr>
            </w:pPr>
          </w:p>
        </w:tc>
        <w:tc>
          <w:tcPr>
            <w:tcW w:w="2864" w:type="dxa"/>
            <w:vAlign w:val="center"/>
          </w:tcPr>
          <w:p w14:paraId="46908EAA">
            <w:pPr>
              <w:widowControl/>
              <w:jc w:val="center"/>
              <w:rPr>
                <w:rFonts w:ascii="Times New Roman" w:hAnsi="Times New Roman" w:cs="Times New Roman"/>
                <w:szCs w:val="21"/>
              </w:rPr>
            </w:pPr>
            <w:r>
              <w:rPr>
                <w:rFonts w:ascii="Times New Roman" w:hAnsi="Times New Roman" w:cs="Times New Roman"/>
                <w:szCs w:val="21"/>
              </w:rPr>
              <w:t>1分钟/样品（72元素）</w:t>
            </w:r>
          </w:p>
        </w:tc>
        <w:tc>
          <w:tcPr>
            <w:tcW w:w="2126" w:type="dxa"/>
            <w:vAlign w:val="center"/>
          </w:tcPr>
          <w:p w14:paraId="32BDEB2C">
            <w:pPr>
              <w:widowControl/>
              <w:jc w:val="center"/>
              <w:rPr>
                <w:rFonts w:ascii="Times New Roman" w:hAnsi="Times New Roman" w:cs="Times New Roman"/>
                <w:szCs w:val="21"/>
              </w:rPr>
            </w:pPr>
            <w:r>
              <w:rPr>
                <w:rFonts w:hint="eastAsia" w:ascii="Times New Roman" w:hAnsi="Times New Roman" w:cs="Times New Roman"/>
                <w:szCs w:val="21"/>
              </w:rPr>
              <w:t>否</w:t>
            </w:r>
          </w:p>
        </w:tc>
      </w:tr>
      <w:tr w14:paraId="1463B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4549AB5">
            <w:pPr>
              <w:jc w:val="center"/>
              <w:rPr>
                <w:rFonts w:ascii="Times New Roman" w:hAnsi="Times New Roman" w:cs="Times New Roman"/>
                <w:szCs w:val="21"/>
              </w:rPr>
            </w:pPr>
            <w:r>
              <w:rPr>
                <w:rFonts w:ascii="Times New Roman" w:hAnsi="Times New Roman" w:cs="Times New Roman"/>
                <w:szCs w:val="21"/>
              </w:rPr>
              <w:t>15</w:t>
            </w:r>
          </w:p>
        </w:tc>
        <w:tc>
          <w:tcPr>
            <w:tcW w:w="1134" w:type="dxa"/>
            <w:vAlign w:val="center"/>
          </w:tcPr>
          <w:p w14:paraId="2CBFE7D9">
            <w:pPr>
              <w:widowControl/>
              <w:jc w:val="center"/>
              <w:rPr>
                <w:rFonts w:ascii="Times New Roman" w:hAnsi="Times New Roman" w:cs="Times New Roman"/>
                <w:szCs w:val="21"/>
              </w:rPr>
            </w:pPr>
            <w:r>
              <w:rPr>
                <w:rFonts w:ascii="Times New Roman" w:hAnsi="Times New Roman" w:cs="Times New Roman"/>
                <w:szCs w:val="21"/>
              </w:rPr>
              <w:t>多元素分析能力</w:t>
            </w:r>
          </w:p>
        </w:tc>
        <w:tc>
          <w:tcPr>
            <w:tcW w:w="1388" w:type="dxa"/>
            <w:vAlign w:val="center"/>
          </w:tcPr>
          <w:p w14:paraId="592E3E5B">
            <w:pPr>
              <w:widowControl/>
              <w:jc w:val="center"/>
              <w:rPr>
                <w:rFonts w:ascii="Times New Roman" w:hAnsi="Times New Roman" w:cs="Times New Roman"/>
                <w:szCs w:val="21"/>
              </w:rPr>
            </w:pPr>
          </w:p>
        </w:tc>
        <w:tc>
          <w:tcPr>
            <w:tcW w:w="2864" w:type="dxa"/>
            <w:vAlign w:val="center"/>
          </w:tcPr>
          <w:p w14:paraId="5E1B10AF">
            <w:pPr>
              <w:widowControl/>
              <w:jc w:val="center"/>
              <w:rPr>
                <w:rFonts w:ascii="Times New Roman" w:hAnsi="Times New Roman" w:cs="Times New Roman"/>
                <w:szCs w:val="21"/>
              </w:rPr>
            </w:pPr>
            <w:r>
              <w:rPr>
                <w:rFonts w:ascii="Times New Roman" w:hAnsi="Times New Roman" w:cs="Times New Roman"/>
                <w:szCs w:val="21"/>
              </w:rPr>
              <w:t>同时检测70+元素（全谱覆盖）</w:t>
            </w:r>
          </w:p>
        </w:tc>
        <w:tc>
          <w:tcPr>
            <w:tcW w:w="2126" w:type="dxa"/>
            <w:vAlign w:val="center"/>
          </w:tcPr>
          <w:p w14:paraId="4F5BEB6E">
            <w:pPr>
              <w:widowControl/>
              <w:jc w:val="center"/>
              <w:rPr>
                <w:rFonts w:ascii="Times New Roman" w:hAnsi="Times New Roman" w:cs="Times New Roman"/>
                <w:szCs w:val="21"/>
              </w:rPr>
            </w:pPr>
            <w:r>
              <w:rPr>
                <w:rFonts w:hint="eastAsia" w:ascii="Times New Roman" w:hAnsi="Times New Roman" w:cs="Times New Roman"/>
                <w:szCs w:val="21"/>
              </w:rPr>
              <w:t>否</w:t>
            </w:r>
          </w:p>
        </w:tc>
      </w:tr>
      <w:tr w14:paraId="22C1A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1639F67">
            <w:pPr>
              <w:jc w:val="center"/>
              <w:rPr>
                <w:rFonts w:ascii="Times New Roman" w:hAnsi="Times New Roman" w:cs="Times New Roman"/>
                <w:szCs w:val="21"/>
              </w:rPr>
            </w:pPr>
            <w:r>
              <w:rPr>
                <w:rFonts w:ascii="Times New Roman" w:hAnsi="Times New Roman" w:cs="Times New Roman"/>
                <w:szCs w:val="21"/>
              </w:rPr>
              <w:t>16</w:t>
            </w:r>
          </w:p>
        </w:tc>
        <w:tc>
          <w:tcPr>
            <w:tcW w:w="1134" w:type="dxa"/>
            <w:vAlign w:val="center"/>
          </w:tcPr>
          <w:p w14:paraId="75E7025D">
            <w:pPr>
              <w:widowControl/>
              <w:jc w:val="center"/>
              <w:rPr>
                <w:rFonts w:ascii="Times New Roman" w:hAnsi="Times New Roman" w:cs="Times New Roman"/>
                <w:szCs w:val="21"/>
              </w:rPr>
            </w:pPr>
            <w:r>
              <w:rPr>
                <w:rFonts w:ascii="Times New Roman" w:hAnsi="Times New Roman" w:cs="Times New Roman"/>
                <w:szCs w:val="21"/>
              </w:rPr>
              <w:t>动态线性范围</w:t>
            </w:r>
          </w:p>
        </w:tc>
        <w:tc>
          <w:tcPr>
            <w:tcW w:w="1388" w:type="dxa"/>
            <w:vAlign w:val="center"/>
          </w:tcPr>
          <w:p w14:paraId="3A52A2B8">
            <w:pPr>
              <w:widowControl/>
              <w:jc w:val="center"/>
              <w:rPr>
                <w:rFonts w:ascii="Times New Roman" w:hAnsi="Times New Roman" w:cs="Times New Roman"/>
                <w:szCs w:val="21"/>
              </w:rPr>
            </w:pPr>
          </w:p>
        </w:tc>
        <w:tc>
          <w:tcPr>
            <w:tcW w:w="2864" w:type="dxa"/>
            <w:vAlign w:val="center"/>
          </w:tcPr>
          <w:p w14:paraId="0F394D48">
            <w:pPr>
              <w:widowControl/>
              <w:jc w:val="center"/>
              <w:rPr>
                <w:rFonts w:ascii="Times New Roman" w:hAnsi="Times New Roman" w:cs="Times New Roman"/>
                <w:szCs w:val="21"/>
              </w:rPr>
            </w:pPr>
            <w:r>
              <w:rPr>
                <w:rFonts w:ascii="Times New Roman" w:hAnsi="Times New Roman" w:cs="Times New Roman"/>
                <w:szCs w:val="21"/>
              </w:rPr>
              <w:t>9 - 10个数量级</w:t>
            </w:r>
          </w:p>
        </w:tc>
        <w:tc>
          <w:tcPr>
            <w:tcW w:w="2126" w:type="dxa"/>
            <w:vAlign w:val="center"/>
          </w:tcPr>
          <w:p w14:paraId="24566DDE">
            <w:pPr>
              <w:widowControl/>
              <w:jc w:val="center"/>
              <w:rPr>
                <w:rFonts w:ascii="Times New Roman" w:hAnsi="Times New Roman" w:cs="Times New Roman"/>
                <w:szCs w:val="21"/>
              </w:rPr>
            </w:pPr>
            <w:r>
              <w:rPr>
                <w:rFonts w:hint="eastAsia" w:ascii="Times New Roman" w:hAnsi="Times New Roman" w:cs="Times New Roman"/>
                <w:szCs w:val="21"/>
              </w:rPr>
              <w:t>否</w:t>
            </w:r>
          </w:p>
        </w:tc>
      </w:tr>
    </w:tbl>
    <w:p w14:paraId="2F9A1B3A">
      <w:pPr>
        <w:autoSpaceDE w:val="0"/>
        <w:autoSpaceDN w:val="0"/>
        <w:adjustRightInd w:val="0"/>
        <w:snapToGrid w:val="0"/>
        <w:spacing w:before="156" w:beforeLines="50" w:line="360" w:lineRule="auto"/>
        <w:jc w:val="left"/>
        <w:rPr>
          <w:rFonts w:ascii="Times New Roman" w:hAnsi="Times New Roman" w:eastAsia="仿宋_GB2312" w:cs="Times New Roman"/>
          <w:b/>
          <w:snapToGrid w:val="0"/>
          <w:kern w:val="0"/>
          <w:sz w:val="24"/>
          <w:szCs w:val="24"/>
          <w:lang w:val="zh-CN"/>
        </w:rPr>
      </w:pPr>
      <w:r>
        <w:rPr>
          <w:rFonts w:ascii="Times New Roman" w:hAnsi="Times New Roman" w:eastAsia="仿宋_GB2312" w:cs="Times New Roman"/>
          <w:b/>
          <w:snapToGrid w:val="0"/>
          <w:kern w:val="0"/>
          <w:sz w:val="24"/>
          <w:szCs w:val="24"/>
          <w:lang w:val="zh-CN"/>
        </w:rPr>
        <w:t>说明：</w:t>
      </w:r>
    </w:p>
    <w:p w14:paraId="46133A97">
      <w:pPr>
        <w:autoSpaceDE w:val="0"/>
        <w:autoSpaceDN w:val="0"/>
        <w:adjustRightInd w:val="0"/>
        <w:snapToGrid w:val="0"/>
        <w:spacing w:line="360" w:lineRule="auto"/>
        <w:ind w:firstLine="480" w:firstLineChars="200"/>
        <w:jc w:val="left"/>
        <w:rPr>
          <w:rFonts w:ascii="Times New Roman" w:hAnsi="Times New Roman" w:eastAsia="仿宋_GB2312" w:cs="Times New Roman"/>
          <w:snapToGrid w:val="0"/>
          <w:kern w:val="0"/>
          <w:sz w:val="24"/>
          <w:szCs w:val="24"/>
          <w:lang w:val="zh-CN"/>
        </w:rPr>
      </w:pPr>
      <w:r>
        <w:rPr>
          <w:rFonts w:ascii="Times New Roman" w:hAnsi="Times New Roman" w:eastAsia="仿宋_GB2312" w:cs="Times New Roman"/>
          <w:snapToGrid w:val="0"/>
          <w:kern w:val="0"/>
          <w:sz w:val="24"/>
          <w:szCs w:val="24"/>
          <w:lang w:val="zh-CN"/>
        </w:rPr>
        <w:fldChar w:fldCharType="begin"/>
      </w:r>
      <w:r>
        <w:rPr>
          <w:rFonts w:ascii="Times New Roman" w:hAnsi="Times New Roman" w:eastAsia="仿宋_GB2312" w:cs="Times New Roman"/>
          <w:snapToGrid w:val="0"/>
          <w:kern w:val="0"/>
          <w:sz w:val="24"/>
          <w:szCs w:val="24"/>
          <w:lang w:val="zh-CN"/>
        </w:rPr>
        <w:instrText xml:space="preserve">= 1 \* GB3</w:instrText>
      </w:r>
      <w:r>
        <w:rPr>
          <w:rFonts w:ascii="Times New Roman" w:hAnsi="Times New Roman" w:eastAsia="仿宋_GB2312" w:cs="Times New Roman"/>
          <w:snapToGrid w:val="0"/>
          <w:kern w:val="0"/>
          <w:sz w:val="24"/>
          <w:szCs w:val="24"/>
          <w:lang w:val="zh-CN"/>
        </w:rPr>
        <w:fldChar w:fldCharType="separate"/>
      </w:r>
      <w:r>
        <w:rPr>
          <w:rFonts w:ascii="Cambria Math" w:hAnsi="Cambria Math" w:eastAsia="仿宋_GB2312" w:cs="Cambria Math"/>
          <w:snapToGrid w:val="0"/>
          <w:kern w:val="0"/>
          <w:sz w:val="24"/>
          <w:szCs w:val="24"/>
          <w:lang w:val="zh-CN"/>
        </w:rPr>
        <w:t>①</w:t>
      </w:r>
      <w:r>
        <w:rPr>
          <w:rFonts w:ascii="Times New Roman" w:hAnsi="Times New Roman" w:eastAsia="仿宋_GB2312" w:cs="Times New Roman"/>
          <w:snapToGrid w:val="0"/>
          <w:kern w:val="0"/>
          <w:sz w:val="24"/>
          <w:szCs w:val="24"/>
          <w:lang w:val="zh-CN"/>
        </w:rPr>
        <w:fldChar w:fldCharType="end"/>
      </w:r>
      <w:r>
        <w:rPr>
          <w:rFonts w:ascii="Times New Roman" w:hAnsi="Times New Roman" w:eastAsia="仿宋_GB2312" w:cs="Times New Roman"/>
          <w:snapToGrid w:val="0"/>
          <w:kern w:val="0"/>
          <w:sz w:val="24"/>
          <w:szCs w:val="24"/>
          <w:lang w:val="zh-CN"/>
        </w:rPr>
        <w:t>重要性可用“</w:t>
      </w:r>
      <w:r>
        <w:rPr>
          <w:rFonts w:ascii="Segoe UI Symbol" w:hAnsi="Segoe UI Symbol" w:eastAsia="仿宋_GB2312" w:cs="Segoe UI Symbol"/>
          <w:snapToGrid w:val="0"/>
          <w:kern w:val="0"/>
          <w:sz w:val="24"/>
          <w:szCs w:val="24"/>
          <w:lang w:val="zh-CN"/>
        </w:rPr>
        <w:t>★</w:t>
      </w:r>
      <w:r>
        <w:rPr>
          <w:rFonts w:ascii="Times New Roman" w:hAnsi="Times New Roman" w:eastAsia="仿宋_GB2312" w:cs="Times New Roman"/>
          <w:snapToGrid w:val="0"/>
          <w:kern w:val="0"/>
          <w:sz w:val="24"/>
          <w:szCs w:val="24"/>
          <w:lang w:val="zh-CN"/>
        </w:rPr>
        <w:t>”“#”表示，“</w:t>
      </w:r>
      <w:r>
        <w:rPr>
          <w:rFonts w:ascii="Segoe UI Symbol" w:hAnsi="Segoe UI Symbol" w:eastAsia="仿宋_GB2312" w:cs="Segoe UI Symbol"/>
          <w:snapToGrid w:val="0"/>
          <w:kern w:val="0"/>
          <w:sz w:val="24"/>
          <w:szCs w:val="24"/>
          <w:lang w:val="zh-CN"/>
        </w:rPr>
        <w:t>★</w:t>
      </w:r>
      <w:r>
        <w:rPr>
          <w:rFonts w:ascii="Times New Roman" w:hAnsi="Times New Roman" w:eastAsia="仿宋_GB2312" w:cs="Times New Roman"/>
          <w:snapToGrid w:val="0"/>
          <w:kern w:val="0"/>
          <w:sz w:val="24"/>
          <w:szCs w:val="24"/>
          <w:lang w:val="zh-CN"/>
        </w:rPr>
        <w:t>”代表关键指标，不满足该指标项将导致响应被拒绝；“#”代表重要指标；无标识则表示属一般指标项。</w:t>
      </w:r>
    </w:p>
    <w:p w14:paraId="7B3FD141">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ascii="Times New Roman" w:hAnsi="Times New Roman" w:eastAsia="仿宋_GB2312" w:cs="Times New Roman"/>
          <w:snapToGrid w:val="0"/>
          <w:kern w:val="0"/>
          <w:sz w:val="24"/>
          <w:szCs w:val="24"/>
          <w:lang w:val="zh-CN"/>
        </w:rPr>
        <w:fldChar w:fldCharType="begin"/>
      </w:r>
      <w:r>
        <w:rPr>
          <w:rFonts w:ascii="Times New Roman" w:hAnsi="Times New Roman" w:eastAsia="仿宋_GB2312" w:cs="Times New Roman"/>
          <w:snapToGrid w:val="0"/>
          <w:kern w:val="0"/>
          <w:sz w:val="24"/>
          <w:szCs w:val="24"/>
          <w:lang w:val="zh-CN"/>
        </w:rPr>
        <w:instrText xml:space="preserve">= 2 \* GB3</w:instrText>
      </w:r>
      <w:r>
        <w:rPr>
          <w:rFonts w:ascii="Times New Roman" w:hAnsi="Times New Roman" w:eastAsia="仿宋_GB2312" w:cs="Times New Roman"/>
          <w:snapToGrid w:val="0"/>
          <w:kern w:val="0"/>
          <w:sz w:val="24"/>
          <w:szCs w:val="24"/>
          <w:lang w:val="zh-CN"/>
        </w:rPr>
        <w:fldChar w:fldCharType="separate"/>
      </w:r>
      <w:r>
        <w:rPr>
          <w:rFonts w:ascii="Cambria Math" w:hAnsi="Cambria Math" w:eastAsia="仿宋_GB2312" w:cs="Cambria Math"/>
          <w:snapToGrid w:val="0"/>
          <w:kern w:val="0"/>
          <w:sz w:val="24"/>
          <w:szCs w:val="24"/>
          <w:lang w:val="zh-CN"/>
        </w:rPr>
        <w:t>②</w:t>
      </w:r>
      <w:r>
        <w:rPr>
          <w:rFonts w:ascii="Times New Roman" w:hAnsi="Times New Roman" w:eastAsia="仿宋_GB2312" w:cs="Times New Roman"/>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r>
        <w:rPr>
          <w:rFonts w:ascii="仿宋_GB2312" w:hAnsi="宋体" w:eastAsia="仿宋_GB2312" w:cs="宋体"/>
          <w:snapToGrid w:val="0"/>
          <w:kern w:val="0"/>
          <w:sz w:val="24"/>
          <w:szCs w:val="24"/>
          <w:lang w:val="zh-CN"/>
        </w:rPr>
        <w:t>填写“否”的提供技术参数偏离表或承诺响应，未提供或提供的偏离表中或承诺有负偏离的，则该指标按不满足处理。若供应商偏离表中与响应文件所列证明材料内容不一致时，将以证明材料内容为准进行评审。</w:t>
      </w:r>
    </w:p>
    <w:p w14:paraId="37454385">
      <w:pPr>
        <w:autoSpaceDE w:val="0"/>
        <w:autoSpaceDN w:val="0"/>
        <w:adjustRightInd w:val="0"/>
        <w:snapToGrid w:val="0"/>
        <w:spacing w:line="360" w:lineRule="auto"/>
        <w:ind w:firstLine="560" w:firstLineChars="200"/>
        <w:jc w:val="center"/>
        <w:rPr>
          <w:rFonts w:ascii="Times New Roman" w:hAnsi="Times New Roman" w:eastAsia="仿宋_GB2312" w:cs="Times New Roman"/>
          <w:color w:val="000000"/>
          <w:kern w:val="0"/>
          <w:sz w:val="28"/>
          <w:szCs w:val="28"/>
          <w:shd w:val="clear" w:color="auto" w:fill="FFFFFF"/>
        </w:rPr>
      </w:pPr>
      <w:r>
        <w:rPr>
          <w:rFonts w:ascii="Times New Roman" w:hAnsi="Times New Roman" w:eastAsia="仿宋_GB2312" w:cs="Times New Roman"/>
          <w:color w:val="000000"/>
          <w:kern w:val="0"/>
          <w:sz w:val="28"/>
          <w:szCs w:val="28"/>
          <w:shd w:val="clear" w:color="auto" w:fill="FFFFFF"/>
        </w:rPr>
        <w:t>（五）离子色谱仪（1台）</w:t>
      </w:r>
    </w:p>
    <w:p w14:paraId="773C1064">
      <w:pPr>
        <w:autoSpaceDE w:val="0"/>
        <w:autoSpaceDN w:val="0"/>
        <w:adjustRightInd w:val="0"/>
        <w:snapToGrid w:val="0"/>
        <w:spacing w:line="360" w:lineRule="auto"/>
        <w:ind w:firstLine="482" w:firstLineChars="200"/>
        <w:jc w:val="left"/>
        <w:rPr>
          <w:rFonts w:ascii="Times New Roman" w:hAnsi="Times New Roman" w:eastAsia="仿宋_GB2312" w:cs="Times New Roman"/>
          <w:b/>
          <w:bCs/>
          <w:snapToGrid w:val="0"/>
          <w:kern w:val="0"/>
          <w:sz w:val="24"/>
          <w:szCs w:val="24"/>
        </w:rPr>
      </w:pPr>
      <w:r>
        <w:rPr>
          <w:rFonts w:ascii="Times New Roman" w:hAnsi="Times New Roman" w:eastAsia="仿宋_GB2312" w:cs="Times New Roman"/>
          <w:b/>
          <w:bCs/>
          <w:snapToGrid w:val="0"/>
          <w:kern w:val="0"/>
          <w:sz w:val="24"/>
          <w:szCs w:val="24"/>
        </w:rPr>
        <w:t>1.功能要求：</w:t>
      </w:r>
    </w:p>
    <w:p w14:paraId="564DCCAE">
      <w:pPr>
        <w:widowControl/>
        <w:shd w:val="clear" w:color="auto" w:fill="FFFFFF"/>
        <w:spacing w:line="360" w:lineRule="auto"/>
        <w:ind w:left="420"/>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1</w:t>
      </w:r>
      <w:r>
        <w:rPr>
          <w:rFonts w:hint="eastAsia" w:ascii="Times New Roman" w:hAnsi="Times New Roman" w:eastAsia="仿宋_GB2312" w:cs="Times New Roman"/>
          <w:sz w:val="24"/>
          <w:szCs w:val="24"/>
        </w:rPr>
        <w:t xml:space="preserve">. </w:t>
      </w:r>
      <w:r>
        <w:rPr>
          <w:rFonts w:ascii="Times New Roman" w:hAnsi="Times New Roman" w:eastAsia="仿宋_GB2312" w:cs="Times New Roman"/>
          <w:sz w:val="24"/>
          <w:szCs w:val="24"/>
        </w:rPr>
        <w:t>离子色谱仪用途与功能</w:t>
      </w:r>
    </w:p>
    <w:p w14:paraId="01B20EE6">
      <w:pPr>
        <w:autoSpaceDE w:val="0"/>
        <w:autoSpaceDN w:val="0"/>
        <w:adjustRightInd w:val="0"/>
        <w:snapToGrid w:val="0"/>
        <w:spacing w:line="360" w:lineRule="auto"/>
        <w:ind w:firstLine="480" w:firstLineChars="200"/>
        <w:jc w:val="left"/>
        <w:rPr>
          <w:rFonts w:ascii="Times New Roman" w:hAnsi="Times New Roman" w:eastAsia="仿宋_GB2312" w:cs="Times New Roman"/>
          <w:snapToGrid w:val="0"/>
          <w:kern w:val="0"/>
          <w:sz w:val="24"/>
          <w:szCs w:val="24"/>
        </w:rPr>
      </w:pPr>
      <w:r>
        <w:rPr>
          <w:rFonts w:ascii="Times New Roman" w:hAnsi="Times New Roman" w:eastAsia="仿宋_GB2312" w:cs="Times New Roman"/>
          <w:snapToGrid w:val="0"/>
          <w:kern w:val="0"/>
          <w:sz w:val="24"/>
          <w:szCs w:val="24"/>
        </w:rPr>
        <w:t>本设备用于支撑《环境微生物》、《生态学》、《地下水污染与防治》、《水文地球化学》、《环境监测》和《环境地球化学》等课程的实践教学，支持北戴河、秭归等野外实习基地的样品元素分析，满足本科生、研究生论文研究的测试需求。</w:t>
      </w:r>
    </w:p>
    <w:p w14:paraId="26F23F4F">
      <w:pPr>
        <w:autoSpaceDE w:val="0"/>
        <w:autoSpaceDN w:val="0"/>
        <w:adjustRightInd w:val="0"/>
        <w:snapToGrid w:val="0"/>
        <w:spacing w:line="360" w:lineRule="auto"/>
        <w:ind w:firstLine="480" w:firstLineChars="200"/>
        <w:jc w:val="left"/>
        <w:rPr>
          <w:rFonts w:ascii="Times New Roman" w:hAnsi="Times New Roman" w:eastAsia="仿宋_GB2312" w:cs="Times New Roman"/>
          <w:snapToGrid w:val="0"/>
          <w:kern w:val="0"/>
          <w:sz w:val="24"/>
          <w:szCs w:val="24"/>
        </w:rPr>
      </w:pPr>
      <w:r>
        <w:rPr>
          <w:rFonts w:ascii="Times New Roman" w:hAnsi="Times New Roman" w:eastAsia="仿宋_GB2312" w:cs="Times New Roman"/>
          <w:snapToGrid w:val="0"/>
          <w:kern w:val="0"/>
          <w:sz w:val="24"/>
          <w:szCs w:val="24"/>
        </w:rPr>
        <w:t>仪器满足样品中F</w:t>
      </w:r>
      <w:r>
        <w:rPr>
          <w:rFonts w:ascii="Times New Roman" w:hAnsi="Times New Roman" w:eastAsia="仿宋_GB2312" w:cs="Times New Roman"/>
          <w:snapToGrid w:val="0"/>
          <w:kern w:val="0"/>
          <w:sz w:val="24"/>
          <w:szCs w:val="24"/>
          <w:vertAlign w:val="superscript"/>
        </w:rPr>
        <w:t>-</w:t>
      </w:r>
      <w:r>
        <w:rPr>
          <w:rFonts w:ascii="Times New Roman" w:hAnsi="Times New Roman" w:eastAsia="仿宋_GB2312" w:cs="Times New Roman"/>
          <w:snapToGrid w:val="0"/>
          <w:kern w:val="0"/>
          <w:sz w:val="24"/>
          <w:szCs w:val="24"/>
        </w:rPr>
        <w:t>、Cl</w:t>
      </w:r>
      <w:r>
        <w:rPr>
          <w:rFonts w:ascii="Times New Roman" w:hAnsi="Times New Roman" w:eastAsia="仿宋_GB2312" w:cs="Times New Roman"/>
          <w:snapToGrid w:val="0"/>
          <w:kern w:val="0"/>
          <w:sz w:val="24"/>
          <w:szCs w:val="24"/>
          <w:vertAlign w:val="superscript"/>
        </w:rPr>
        <w:t>-</w:t>
      </w:r>
      <w:r>
        <w:rPr>
          <w:rFonts w:ascii="Times New Roman" w:hAnsi="Times New Roman" w:eastAsia="仿宋_GB2312" w:cs="Times New Roman"/>
          <w:snapToGrid w:val="0"/>
          <w:kern w:val="0"/>
          <w:sz w:val="24"/>
          <w:szCs w:val="24"/>
        </w:rPr>
        <w:t>、Br</w:t>
      </w:r>
      <w:r>
        <w:rPr>
          <w:rFonts w:ascii="Times New Roman" w:hAnsi="Times New Roman" w:eastAsia="仿宋_GB2312" w:cs="Times New Roman"/>
          <w:snapToGrid w:val="0"/>
          <w:kern w:val="0"/>
          <w:sz w:val="24"/>
          <w:szCs w:val="24"/>
          <w:vertAlign w:val="superscript"/>
        </w:rPr>
        <w:t>-</w:t>
      </w:r>
      <w:r>
        <w:rPr>
          <w:rFonts w:ascii="Times New Roman" w:hAnsi="Times New Roman" w:eastAsia="仿宋_GB2312" w:cs="Times New Roman"/>
          <w:snapToGrid w:val="0"/>
          <w:kern w:val="0"/>
          <w:sz w:val="24"/>
          <w:szCs w:val="24"/>
        </w:rPr>
        <w:t>、NO</w:t>
      </w:r>
      <w:r>
        <w:rPr>
          <w:rFonts w:ascii="Times New Roman" w:hAnsi="Times New Roman" w:eastAsia="仿宋_GB2312" w:cs="Times New Roman"/>
          <w:snapToGrid w:val="0"/>
          <w:kern w:val="0"/>
          <w:sz w:val="24"/>
          <w:szCs w:val="24"/>
          <w:vertAlign w:val="subscript"/>
        </w:rPr>
        <w:t>3</w:t>
      </w:r>
      <w:r>
        <w:rPr>
          <w:rFonts w:ascii="Times New Roman" w:hAnsi="Times New Roman" w:eastAsia="仿宋_GB2312" w:cs="Times New Roman"/>
          <w:snapToGrid w:val="0"/>
          <w:kern w:val="0"/>
          <w:sz w:val="24"/>
          <w:szCs w:val="24"/>
          <w:vertAlign w:val="superscript"/>
        </w:rPr>
        <w:t>-</w:t>
      </w:r>
      <w:r>
        <w:rPr>
          <w:rFonts w:ascii="Times New Roman" w:hAnsi="Times New Roman" w:eastAsia="仿宋_GB2312" w:cs="Times New Roman"/>
          <w:snapToGrid w:val="0"/>
          <w:kern w:val="0"/>
          <w:sz w:val="24"/>
          <w:szCs w:val="24"/>
        </w:rPr>
        <w:t>、NO</w:t>
      </w:r>
      <w:r>
        <w:rPr>
          <w:rFonts w:ascii="Times New Roman" w:hAnsi="Times New Roman" w:eastAsia="仿宋_GB2312" w:cs="Times New Roman"/>
          <w:snapToGrid w:val="0"/>
          <w:kern w:val="0"/>
          <w:sz w:val="24"/>
          <w:szCs w:val="24"/>
          <w:vertAlign w:val="subscript"/>
        </w:rPr>
        <w:t>2</w:t>
      </w:r>
      <w:r>
        <w:rPr>
          <w:rFonts w:ascii="Times New Roman" w:hAnsi="Times New Roman" w:eastAsia="仿宋_GB2312" w:cs="Times New Roman"/>
          <w:snapToGrid w:val="0"/>
          <w:kern w:val="0"/>
          <w:sz w:val="24"/>
          <w:szCs w:val="24"/>
          <w:vertAlign w:val="superscript"/>
        </w:rPr>
        <w:t>-</w:t>
      </w:r>
      <w:r>
        <w:rPr>
          <w:rFonts w:ascii="Times New Roman" w:hAnsi="Times New Roman" w:eastAsia="仿宋_GB2312" w:cs="Times New Roman"/>
          <w:snapToGrid w:val="0"/>
          <w:kern w:val="0"/>
          <w:sz w:val="24"/>
          <w:szCs w:val="24"/>
        </w:rPr>
        <w:t>、SO</w:t>
      </w:r>
      <w:r>
        <w:rPr>
          <w:rFonts w:ascii="Times New Roman" w:hAnsi="Times New Roman" w:eastAsia="仿宋_GB2312" w:cs="Times New Roman"/>
          <w:snapToGrid w:val="0"/>
          <w:kern w:val="0"/>
          <w:sz w:val="24"/>
          <w:szCs w:val="24"/>
          <w:vertAlign w:val="subscript"/>
        </w:rPr>
        <w:t>4</w:t>
      </w:r>
      <w:r>
        <w:rPr>
          <w:rFonts w:ascii="Times New Roman" w:hAnsi="Times New Roman" w:eastAsia="仿宋_GB2312" w:cs="Times New Roman"/>
          <w:snapToGrid w:val="0"/>
          <w:kern w:val="0"/>
          <w:sz w:val="24"/>
          <w:szCs w:val="24"/>
          <w:vertAlign w:val="superscript"/>
        </w:rPr>
        <w:t>2-</w:t>
      </w:r>
      <w:r>
        <w:rPr>
          <w:rFonts w:ascii="Times New Roman" w:hAnsi="Times New Roman" w:eastAsia="仿宋_GB2312" w:cs="Times New Roman"/>
          <w:snapToGrid w:val="0"/>
          <w:kern w:val="0"/>
          <w:sz w:val="24"/>
          <w:szCs w:val="24"/>
        </w:rPr>
        <w:t>、ClO</w:t>
      </w:r>
      <w:r>
        <w:rPr>
          <w:rFonts w:ascii="Times New Roman" w:hAnsi="Times New Roman" w:eastAsia="仿宋_GB2312" w:cs="Times New Roman"/>
          <w:snapToGrid w:val="0"/>
          <w:kern w:val="0"/>
          <w:sz w:val="24"/>
          <w:szCs w:val="24"/>
          <w:vertAlign w:val="superscript"/>
        </w:rPr>
        <w:t>2-</w:t>
      </w:r>
      <w:r>
        <w:rPr>
          <w:rFonts w:ascii="Times New Roman" w:hAnsi="Times New Roman" w:eastAsia="仿宋_GB2312" w:cs="Times New Roman"/>
          <w:snapToGrid w:val="0"/>
          <w:kern w:val="0"/>
          <w:sz w:val="24"/>
          <w:szCs w:val="24"/>
        </w:rPr>
        <w:t>、BrO</w:t>
      </w:r>
      <w:r>
        <w:rPr>
          <w:rFonts w:ascii="Times New Roman" w:hAnsi="Times New Roman" w:eastAsia="仿宋_GB2312" w:cs="Times New Roman"/>
          <w:snapToGrid w:val="0"/>
          <w:kern w:val="0"/>
          <w:sz w:val="24"/>
          <w:szCs w:val="24"/>
          <w:vertAlign w:val="subscript"/>
        </w:rPr>
        <w:t>3</w:t>
      </w:r>
      <w:r>
        <w:rPr>
          <w:rFonts w:ascii="Times New Roman" w:hAnsi="Times New Roman" w:eastAsia="仿宋_GB2312" w:cs="Times New Roman"/>
          <w:snapToGrid w:val="0"/>
          <w:kern w:val="0"/>
          <w:sz w:val="24"/>
          <w:szCs w:val="24"/>
          <w:vertAlign w:val="superscript"/>
        </w:rPr>
        <w:t>-</w:t>
      </w:r>
      <w:r>
        <w:rPr>
          <w:rFonts w:ascii="Times New Roman" w:hAnsi="Times New Roman" w:eastAsia="仿宋_GB2312" w:cs="Times New Roman"/>
          <w:snapToGrid w:val="0"/>
          <w:kern w:val="0"/>
          <w:sz w:val="24"/>
          <w:szCs w:val="24"/>
        </w:rPr>
        <w:t>、ClO</w:t>
      </w:r>
      <w:r>
        <w:rPr>
          <w:rFonts w:ascii="Times New Roman" w:hAnsi="Times New Roman" w:eastAsia="仿宋_GB2312" w:cs="Times New Roman"/>
          <w:snapToGrid w:val="0"/>
          <w:kern w:val="0"/>
          <w:sz w:val="24"/>
          <w:szCs w:val="24"/>
          <w:vertAlign w:val="subscript"/>
        </w:rPr>
        <w:t>3</w:t>
      </w:r>
      <w:r>
        <w:rPr>
          <w:rFonts w:ascii="Times New Roman" w:hAnsi="Times New Roman" w:eastAsia="仿宋_GB2312" w:cs="Times New Roman"/>
          <w:snapToGrid w:val="0"/>
          <w:kern w:val="0"/>
          <w:sz w:val="24"/>
          <w:szCs w:val="24"/>
          <w:vertAlign w:val="superscript"/>
        </w:rPr>
        <w:t>-</w:t>
      </w:r>
      <w:r>
        <w:rPr>
          <w:rFonts w:ascii="Times New Roman" w:hAnsi="Times New Roman" w:eastAsia="仿宋_GB2312" w:cs="Times New Roman"/>
          <w:snapToGrid w:val="0"/>
          <w:kern w:val="0"/>
          <w:sz w:val="24"/>
          <w:szCs w:val="24"/>
        </w:rPr>
        <w:t>、I</w:t>
      </w:r>
      <w:r>
        <w:rPr>
          <w:rFonts w:ascii="Times New Roman" w:hAnsi="Times New Roman" w:eastAsia="仿宋_GB2312" w:cs="Times New Roman"/>
          <w:snapToGrid w:val="0"/>
          <w:kern w:val="0"/>
          <w:sz w:val="24"/>
          <w:szCs w:val="24"/>
          <w:vertAlign w:val="superscript"/>
        </w:rPr>
        <w:t>-</w:t>
      </w:r>
      <w:r>
        <w:rPr>
          <w:rFonts w:ascii="Times New Roman" w:hAnsi="Times New Roman" w:eastAsia="仿宋_GB2312" w:cs="Times New Roman"/>
          <w:snapToGrid w:val="0"/>
          <w:kern w:val="0"/>
          <w:sz w:val="24"/>
          <w:szCs w:val="24"/>
        </w:rPr>
        <w:t>有机酸、有机胺、草甘膦、丙烯酸、氨基糖苷类抗生素、糖类物质的分析检测等。等阴离子；该设备能实现：地表水、地下水、土壤，植物等样品中阴离子和有机酸的定性定量检测，可以快速了解样品中阴离子的准确含量；结合同位素示踪技术，构建元素地球化学循环的全尺度示踪链条，为环境科学和环境地球化学中的元素示踪题提供高精度数据。</w:t>
      </w:r>
    </w:p>
    <w:p w14:paraId="316ED09E">
      <w:pPr>
        <w:autoSpaceDE w:val="0"/>
        <w:autoSpaceDN w:val="0"/>
        <w:adjustRightInd w:val="0"/>
        <w:snapToGrid w:val="0"/>
        <w:spacing w:line="360" w:lineRule="auto"/>
        <w:ind w:firstLine="482" w:firstLineChars="200"/>
        <w:jc w:val="left"/>
        <w:rPr>
          <w:rFonts w:ascii="Times New Roman" w:hAnsi="Times New Roman" w:eastAsia="仿宋_GB2312" w:cs="Times New Roman"/>
          <w:b/>
          <w:bCs/>
          <w:snapToGrid w:val="0"/>
          <w:kern w:val="0"/>
          <w:sz w:val="24"/>
          <w:szCs w:val="24"/>
        </w:rPr>
      </w:pPr>
      <w:r>
        <w:rPr>
          <w:rFonts w:hint="eastAsia" w:ascii="Times New Roman" w:hAnsi="Times New Roman" w:eastAsia="仿宋_GB2312" w:cs="Times New Roman"/>
          <w:b/>
          <w:bCs/>
          <w:snapToGrid w:val="0"/>
          <w:kern w:val="0"/>
          <w:sz w:val="24"/>
          <w:szCs w:val="24"/>
        </w:rPr>
        <w:t>2.</w:t>
      </w:r>
      <w:r>
        <w:rPr>
          <w:rFonts w:ascii="Times New Roman" w:hAnsi="Times New Roman" w:eastAsia="仿宋_GB2312" w:cs="Times New Roman"/>
          <w:b/>
          <w:bCs/>
          <w:snapToGrid w:val="0"/>
          <w:kern w:val="0"/>
          <w:sz w:val="24"/>
          <w:szCs w:val="24"/>
        </w:rPr>
        <w:t>应遵循的相关国家标准、行业标准、地方标准等标准、规范：</w:t>
      </w:r>
    </w:p>
    <w:p w14:paraId="03461AFD">
      <w:pPr>
        <w:autoSpaceDE w:val="0"/>
        <w:autoSpaceDN w:val="0"/>
        <w:adjustRightInd w:val="0"/>
        <w:snapToGrid w:val="0"/>
        <w:spacing w:line="360" w:lineRule="auto"/>
        <w:ind w:firstLine="480" w:firstLineChars="200"/>
        <w:jc w:val="left"/>
        <w:rPr>
          <w:rFonts w:ascii="Times New Roman" w:hAnsi="Times New Roman" w:eastAsia="仿宋_GB2312" w:cs="Times New Roman"/>
          <w:snapToGrid w:val="0"/>
          <w:kern w:val="0"/>
          <w:sz w:val="24"/>
          <w:szCs w:val="24"/>
        </w:rPr>
      </w:pPr>
      <w:r>
        <w:rPr>
          <w:rFonts w:ascii="Times New Roman" w:hAnsi="Times New Roman" w:eastAsia="仿宋_GB2312" w:cs="Times New Roman"/>
          <w:snapToGrid w:val="0"/>
          <w:kern w:val="0"/>
          <w:sz w:val="24"/>
          <w:szCs w:val="24"/>
        </w:rPr>
        <w:t>主要参考国家标准：GB  JJG  823-2014《离子色谱检定规程》</w:t>
      </w:r>
    </w:p>
    <w:p w14:paraId="33860A5E">
      <w:pPr>
        <w:autoSpaceDE w:val="0"/>
        <w:autoSpaceDN w:val="0"/>
        <w:adjustRightInd w:val="0"/>
        <w:snapToGrid w:val="0"/>
        <w:spacing w:line="360" w:lineRule="auto"/>
        <w:ind w:firstLine="482" w:firstLineChars="200"/>
        <w:jc w:val="left"/>
        <w:rPr>
          <w:rFonts w:ascii="Times New Roman" w:hAnsi="Times New Roman" w:eastAsia="仿宋_GB2312" w:cs="Times New Roman"/>
          <w:b/>
          <w:bCs/>
          <w:snapToGrid w:val="0"/>
          <w:kern w:val="0"/>
          <w:sz w:val="24"/>
          <w:szCs w:val="24"/>
        </w:rPr>
      </w:pPr>
      <w:r>
        <w:rPr>
          <w:rFonts w:hint="eastAsia" w:ascii="Times New Roman" w:hAnsi="Times New Roman" w:eastAsia="仿宋_GB2312" w:cs="Times New Roman"/>
          <w:b/>
          <w:bCs/>
          <w:snapToGrid w:val="0"/>
          <w:kern w:val="0"/>
          <w:sz w:val="24"/>
          <w:szCs w:val="24"/>
        </w:rPr>
        <w:t>3.</w:t>
      </w:r>
      <w:r>
        <w:rPr>
          <w:rFonts w:ascii="Times New Roman" w:hAnsi="Times New Roman" w:eastAsia="仿宋_GB2312" w:cs="Times New Roman"/>
          <w:b/>
          <w:bCs/>
          <w:snapToGrid w:val="0"/>
          <w:kern w:val="0"/>
          <w:sz w:val="24"/>
          <w:szCs w:val="24"/>
        </w:rPr>
        <w:t>后续运营维护、升级更新、备品备件等要求：</w:t>
      </w:r>
    </w:p>
    <w:p w14:paraId="3848834E">
      <w:pPr>
        <w:autoSpaceDE w:val="0"/>
        <w:autoSpaceDN w:val="0"/>
        <w:adjustRightInd w:val="0"/>
        <w:snapToGrid w:val="0"/>
        <w:spacing w:line="360" w:lineRule="auto"/>
        <w:ind w:firstLine="480" w:firstLineChars="200"/>
        <w:jc w:val="left"/>
        <w:rPr>
          <w:rFonts w:ascii="Times New Roman" w:hAnsi="Times New Roman" w:eastAsia="仿宋_GB2312" w:cs="Times New Roman"/>
          <w:snapToGrid w:val="0"/>
          <w:kern w:val="0"/>
          <w:sz w:val="24"/>
          <w:szCs w:val="24"/>
        </w:rPr>
      </w:pPr>
      <w:r>
        <w:rPr>
          <w:rFonts w:ascii="Times New Roman" w:hAnsi="Times New Roman" w:eastAsia="仿宋_GB2312" w:cs="Times New Roman"/>
          <w:snapToGrid w:val="0"/>
          <w:kern w:val="0"/>
          <w:sz w:val="24"/>
          <w:szCs w:val="24"/>
        </w:rPr>
        <w:t>运维服务：供应商需提供≥</w:t>
      </w:r>
      <w:r>
        <w:rPr>
          <w:rFonts w:hint="eastAsia" w:ascii="Times New Roman" w:hAnsi="Times New Roman" w:eastAsia="仿宋_GB2312" w:cs="Times New Roman"/>
          <w:snapToGrid w:val="0"/>
          <w:kern w:val="0"/>
          <w:sz w:val="24"/>
          <w:szCs w:val="24"/>
        </w:rPr>
        <w:t>2</w:t>
      </w:r>
      <w:r>
        <w:rPr>
          <w:rFonts w:ascii="Times New Roman" w:hAnsi="Times New Roman" w:eastAsia="仿宋_GB2312" w:cs="Times New Roman"/>
          <w:snapToGrid w:val="0"/>
          <w:kern w:val="0"/>
          <w:sz w:val="24"/>
          <w:szCs w:val="24"/>
        </w:rPr>
        <w:t>年整机质保，质保期内每年开展1次现场巡检，故障响应时间≤</w:t>
      </w:r>
      <w:r>
        <w:rPr>
          <w:rFonts w:hint="eastAsia" w:ascii="Times New Roman" w:hAnsi="Times New Roman" w:eastAsia="仿宋_GB2312" w:cs="Times New Roman"/>
          <w:snapToGrid w:val="0"/>
          <w:kern w:val="0"/>
          <w:sz w:val="24"/>
          <w:szCs w:val="24"/>
        </w:rPr>
        <w:t>48</w:t>
      </w:r>
      <w:r>
        <w:rPr>
          <w:rFonts w:ascii="Times New Roman" w:hAnsi="Times New Roman" w:eastAsia="仿宋_GB2312" w:cs="Times New Roman"/>
          <w:snapToGrid w:val="0"/>
          <w:kern w:val="0"/>
          <w:sz w:val="24"/>
          <w:szCs w:val="24"/>
        </w:rPr>
        <w:t>小时，修复时间≤72小时；提供2天以上现场培训，交通等与培训相关的费用均由成交供应商承担。</w:t>
      </w:r>
    </w:p>
    <w:p w14:paraId="50E218EF">
      <w:pPr>
        <w:autoSpaceDE w:val="0"/>
        <w:autoSpaceDN w:val="0"/>
        <w:adjustRightInd w:val="0"/>
        <w:snapToGrid w:val="0"/>
        <w:spacing w:line="360" w:lineRule="auto"/>
        <w:ind w:firstLine="480" w:firstLineChars="200"/>
        <w:jc w:val="left"/>
        <w:rPr>
          <w:rFonts w:ascii="Times New Roman" w:hAnsi="Times New Roman" w:eastAsia="仿宋_GB2312" w:cs="Times New Roman"/>
          <w:snapToGrid w:val="0"/>
          <w:kern w:val="0"/>
          <w:sz w:val="24"/>
          <w:szCs w:val="24"/>
        </w:rPr>
      </w:pPr>
      <w:r>
        <w:rPr>
          <w:rFonts w:ascii="Times New Roman" w:hAnsi="Times New Roman" w:eastAsia="仿宋_GB2312" w:cs="Times New Roman"/>
          <w:snapToGrid w:val="0"/>
          <w:kern w:val="0"/>
          <w:sz w:val="24"/>
          <w:szCs w:val="24"/>
        </w:rPr>
        <w:t>升级更新：设备软件终身免费升级，硬件支持后续功能扩展，供应商需在新技术推出后30日内告知用户升级方案。</w:t>
      </w:r>
    </w:p>
    <w:p w14:paraId="0CE35B40">
      <w:pPr>
        <w:autoSpaceDE w:val="0"/>
        <w:autoSpaceDN w:val="0"/>
        <w:adjustRightInd w:val="0"/>
        <w:snapToGrid w:val="0"/>
        <w:spacing w:line="360" w:lineRule="auto"/>
        <w:ind w:firstLine="480" w:firstLineChars="200"/>
        <w:jc w:val="left"/>
        <w:rPr>
          <w:rFonts w:ascii="Times New Roman" w:hAnsi="Times New Roman" w:eastAsia="仿宋_GB2312" w:cs="Times New Roman"/>
          <w:snapToGrid w:val="0"/>
          <w:kern w:val="0"/>
          <w:sz w:val="24"/>
          <w:szCs w:val="24"/>
        </w:rPr>
      </w:pPr>
      <w:r>
        <w:rPr>
          <w:rFonts w:ascii="Times New Roman" w:hAnsi="Times New Roman" w:eastAsia="仿宋_GB2312" w:cs="Times New Roman"/>
          <w:snapToGrid w:val="0"/>
          <w:kern w:val="0"/>
          <w:sz w:val="24"/>
          <w:szCs w:val="24"/>
        </w:rPr>
        <w:t>备品备件：质保期外提供全生命周期备件供应保障（承诺供应周期≥10年），常用备件需在用户提出需求后7个工作日内到货；提供备件价格清单，确保价格不高于市场同期水平。</w:t>
      </w:r>
    </w:p>
    <w:p w14:paraId="0930523D">
      <w:pPr>
        <w:autoSpaceDE w:val="0"/>
        <w:autoSpaceDN w:val="0"/>
        <w:adjustRightInd w:val="0"/>
        <w:snapToGrid w:val="0"/>
        <w:spacing w:line="360" w:lineRule="auto"/>
        <w:jc w:val="left"/>
        <w:rPr>
          <w:rFonts w:ascii="Times New Roman" w:hAnsi="Times New Roman" w:eastAsia="仿宋_GB2312" w:cs="Times New Roman"/>
          <w:snapToGrid w:val="0"/>
          <w:kern w:val="0"/>
          <w:sz w:val="24"/>
          <w:szCs w:val="24"/>
        </w:rPr>
      </w:pPr>
      <w:r>
        <w:rPr>
          <w:rFonts w:ascii="Times New Roman" w:hAnsi="Times New Roman" w:eastAsia="仿宋_GB2312" w:cs="Times New Roman"/>
          <w:b/>
          <w:bCs/>
          <w:snapToGrid w:val="0"/>
          <w:kern w:val="0"/>
          <w:sz w:val="24"/>
          <w:szCs w:val="24"/>
        </w:rPr>
        <w:t>4.各项指标要求：</w:t>
      </w:r>
    </w:p>
    <w:tbl>
      <w:tblPr>
        <w:tblStyle w:val="8"/>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395"/>
        <w:gridCol w:w="1127"/>
        <w:gridCol w:w="2864"/>
        <w:gridCol w:w="2126"/>
      </w:tblGrid>
      <w:tr w14:paraId="6E2EF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88" w:type="dxa"/>
            <w:vAlign w:val="center"/>
          </w:tcPr>
          <w:p w14:paraId="65378B57">
            <w:pPr>
              <w:spacing w:line="360" w:lineRule="auto"/>
              <w:jc w:val="center"/>
              <w:rPr>
                <w:rFonts w:ascii="Times New Roman" w:hAnsi="Times New Roman" w:eastAsia="仿宋_GB2312" w:cs="Times New Roman"/>
                <w:b/>
                <w:sz w:val="24"/>
                <w:szCs w:val="24"/>
              </w:rPr>
            </w:pPr>
            <w:r>
              <w:rPr>
                <w:rFonts w:ascii="Times New Roman" w:hAnsi="Times New Roman" w:eastAsia="仿宋_GB2312" w:cs="Times New Roman"/>
                <w:b/>
                <w:sz w:val="24"/>
                <w:szCs w:val="24"/>
              </w:rPr>
              <w:t>序号</w:t>
            </w:r>
          </w:p>
        </w:tc>
        <w:tc>
          <w:tcPr>
            <w:tcW w:w="1395" w:type="dxa"/>
            <w:vAlign w:val="center"/>
          </w:tcPr>
          <w:p w14:paraId="1EE96E9F">
            <w:pPr>
              <w:widowControl/>
              <w:spacing w:line="360" w:lineRule="auto"/>
              <w:jc w:val="center"/>
              <w:rPr>
                <w:rFonts w:ascii="Times New Roman" w:hAnsi="Times New Roman" w:eastAsia="仿宋_GB2312" w:cs="Times New Roman"/>
                <w:b/>
                <w:sz w:val="24"/>
                <w:szCs w:val="24"/>
              </w:rPr>
            </w:pPr>
            <w:r>
              <w:rPr>
                <w:rFonts w:ascii="Times New Roman" w:hAnsi="Times New Roman" w:eastAsia="仿宋_GB2312" w:cs="Times New Roman"/>
                <w:b/>
                <w:sz w:val="24"/>
                <w:szCs w:val="24"/>
              </w:rPr>
              <w:t>指标项</w:t>
            </w:r>
          </w:p>
        </w:tc>
        <w:tc>
          <w:tcPr>
            <w:tcW w:w="1127" w:type="dxa"/>
            <w:vAlign w:val="center"/>
          </w:tcPr>
          <w:p w14:paraId="7C459C08">
            <w:pPr>
              <w:widowControl/>
              <w:spacing w:line="360" w:lineRule="auto"/>
              <w:jc w:val="center"/>
              <w:rPr>
                <w:rFonts w:ascii="Times New Roman" w:hAnsi="Times New Roman" w:eastAsia="仿宋_GB2312" w:cs="Times New Roman"/>
                <w:b/>
                <w:sz w:val="24"/>
                <w:szCs w:val="24"/>
              </w:rPr>
            </w:pPr>
            <w:r>
              <w:rPr>
                <w:rFonts w:ascii="Times New Roman" w:hAnsi="Times New Roman" w:eastAsia="仿宋_GB2312" w:cs="Times New Roman"/>
                <w:b/>
                <w:sz w:val="24"/>
                <w:szCs w:val="24"/>
              </w:rPr>
              <w:t>重要性</w:t>
            </w:r>
          </w:p>
        </w:tc>
        <w:tc>
          <w:tcPr>
            <w:tcW w:w="2864" w:type="dxa"/>
            <w:vAlign w:val="center"/>
          </w:tcPr>
          <w:p w14:paraId="157FC9AF">
            <w:pPr>
              <w:widowControl/>
              <w:spacing w:line="360" w:lineRule="auto"/>
              <w:jc w:val="center"/>
              <w:rPr>
                <w:rFonts w:ascii="Times New Roman" w:hAnsi="Times New Roman" w:eastAsia="仿宋_GB2312" w:cs="Times New Roman"/>
                <w:b/>
                <w:sz w:val="24"/>
                <w:szCs w:val="24"/>
              </w:rPr>
            </w:pPr>
            <w:r>
              <w:rPr>
                <w:rFonts w:ascii="Times New Roman" w:hAnsi="Times New Roman" w:eastAsia="仿宋_GB2312" w:cs="Times New Roman"/>
                <w:b/>
                <w:sz w:val="24"/>
                <w:szCs w:val="24"/>
              </w:rPr>
              <w:t>指标要求</w:t>
            </w:r>
          </w:p>
        </w:tc>
        <w:tc>
          <w:tcPr>
            <w:tcW w:w="2126" w:type="dxa"/>
            <w:vAlign w:val="center"/>
          </w:tcPr>
          <w:p w14:paraId="6268EBE7">
            <w:pPr>
              <w:widowControl/>
              <w:spacing w:line="360" w:lineRule="auto"/>
              <w:jc w:val="center"/>
              <w:rPr>
                <w:rFonts w:ascii="Times New Roman" w:hAnsi="Times New Roman" w:eastAsia="仿宋_GB2312" w:cs="Times New Roman"/>
                <w:b/>
                <w:sz w:val="24"/>
                <w:szCs w:val="24"/>
              </w:rPr>
            </w:pPr>
            <w:r>
              <w:rPr>
                <w:rFonts w:ascii="Times New Roman" w:hAnsi="Times New Roman" w:eastAsia="仿宋_GB2312" w:cs="Times New Roman"/>
                <w:b/>
                <w:sz w:val="24"/>
                <w:szCs w:val="24"/>
              </w:rPr>
              <w:t>证明材料要求</w:t>
            </w:r>
          </w:p>
        </w:tc>
      </w:tr>
      <w:tr w14:paraId="126F9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88" w:type="dxa"/>
            <w:vAlign w:val="center"/>
          </w:tcPr>
          <w:p w14:paraId="1B13470D">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1</w:t>
            </w:r>
          </w:p>
        </w:tc>
        <w:tc>
          <w:tcPr>
            <w:tcW w:w="1395" w:type="dxa"/>
            <w:vAlign w:val="center"/>
          </w:tcPr>
          <w:p w14:paraId="4D996D4D">
            <w:pPr>
              <w:widowControl/>
              <w:shd w:val="clear" w:color="auto" w:fill="FFFFFF"/>
              <w:spacing w:line="360" w:lineRule="auto"/>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仪器配置</w:t>
            </w:r>
          </w:p>
        </w:tc>
        <w:tc>
          <w:tcPr>
            <w:tcW w:w="1127" w:type="dxa"/>
            <w:vAlign w:val="center"/>
          </w:tcPr>
          <w:p w14:paraId="120309ED">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val="zh-CN"/>
              </w:rPr>
              <w:t>★</w:t>
            </w:r>
          </w:p>
        </w:tc>
        <w:tc>
          <w:tcPr>
            <w:tcW w:w="2864" w:type="dxa"/>
            <w:vAlign w:val="center"/>
          </w:tcPr>
          <w:p w14:paraId="4024FF0D">
            <w:pPr>
              <w:widowControl/>
              <w:shd w:val="clear" w:color="auto" w:fill="FFFFFF"/>
              <w:spacing w:line="360" w:lineRule="auto"/>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一体化离子色谱系统：包括高压泵1套，内置柱温箱1套，保护柱2套，阴离子色谱柱2套，阴离子抑制器2套，电导检测器1套，淋洗液发生器1套，软件工作站1套，报警传感器1套，进样瓶≥200个，针头过滤器≥500个</w:t>
            </w:r>
          </w:p>
        </w:tc>
        <w:tc>
          <w:tcPr>
            <w:tcW w:w="2126" w:type="dxa"/>
            <w:vAlign w:val="center"/>
          </w:tcPr>
          <w:p w14:paraId="66597F25">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否</w:t>
            </w:r>
          </w:p>
        </w:tc>
      </w:tr>
      <w:tr w14:paraId="2D704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88" w:type="dxa"/>
            <w:vAlign w:val="center"/>
          </w:tcPr>
          <w:p w14:paraId="5F107E31">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2</w:t>
            </w:r>
          </w:p>
        </w:tc>
        <w:tc>
          <w:tcPr>
            <w:tcW w:w="1395" w:type="dxa"/>
            <w:vAlign w:val="center"/>
          </w:tcPr>
          <w:p w14:paraId="16C61397">
            <w:pPr>
              <w:widowControl/>
              <w:shd w:val="clear" w:color="auto" w:fill="FFFFFF"/>
              <w:spacing w:line="360" w:lineRule="auto"/>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最小检测浓度</w:t>
            </w:r>
          </w:p>
        </w:tc>
        <w:tc>
          <w:tcPr>
            <w:tcW w:w="1127" w:type="dxa"/>
            <w:vAlign w:val="center"/>
          </w:tcPr>
          <w:p w14:paraId="47EA5003">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val="zh-CN"/>
              </w:rPr>
              <w:t>#</w:t>
            </w:r>
          </w:p>
        </w:tc>
        <w:tc>
          <w:tcPr>
            <w:tcW w:w="2864" w:type="dxa"/>
            <w:vAlign w:val="center"/>
          </w:tcPr>
          <w:p w14:paraId="48418B04">
            <w:pPr>
              <w:widowControl/>
              <w:shd w:val="clear" w:color="auto" w:fill="FFFFFF"/>
              <w:spacing w:line="360" w:lineRule="auto"/>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最小检测浓度：</w:t>
            </w:r>
          </w:p>
          <w:p w14:paraId="030C59DC">
            <w:pPr>
              <w:widowControl/>
              <w:shd w:val="clear" w:color="auto" w:fill="FFFFFF"/>
              <w:spacing w:line="360" w:lineRule="auto"/>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Cl</w:t>
            </w:r>
            <w:r>
              <w:rPr>
                <w:rFonts w:ascii="Times New Roman" w:hAnsi="Times New Roman" w:eastAsia="仿宋_GB2312" w:cs="Times New Roman"/>
                <w:sz w:val="24"/>
                <w:szCs w:val="24"/>
                <w:vertAlign w:val="superscript"/>
              </w:rPr>
              <w:t>-</w:t>
            </w:r>
            <w:r>
              <w:rPr>
                <w:rFonts w:ascii="Times New Roman" w:hAnsi="Times New Roman" w:eastAsia="仿宋_GB2312" w:cs="Times New Roman"/>
                <w:sz w:val="24"/>
                <w:szCs w:val="24"/>
              </w:rPr>
              <w:t>≤0.0001μg/mL  Li</w:t>
            </w:r>
            <w:r>
              <w:rPr>
                <w:rFonts w:ascii="Times New Roman" w:hAnsi="Times New Roman" w:eastAsia="仿宋_GB2312" w:cs="Times New Roman"/>
                <w:sz w:val="24"/>
                <w:szCs w:val="24"/>
                <w:vertAlign w:val="superscript"/>
              </w:rPr>
              <w:t>+</w:t>
            </w:r>
            <w:r>
              <w:rPr>
                <w:rFonts w:ascii="Times New Roman" w:hAnsi="Times New Roman" w:eastAsia="仿宋_GB2312" w:cs="Times New Roman"/>
                <w:sz w:val="24"/>
                <w:szCs w:val="24"/>
              </w:rPr>
              <w:t>≤0.0001μg/mL；</w:t>
            </w:r>
          </w:p>
        </w:tc>
        <w:tc>
          <w:tcPr>
            <w:tcW w:w="2126" w:type="dxa"/>
            <w:vAlign w:val="center"/>
          </w:tcPr>
          <w:p w14:paraId="0BE00D70">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val="zh-CN"/>
              </w:rPr>
              <w:t>是</w:t>
            </w:r>
          </w:p>
        </w:tc>
      </w:tr>
      <w:tr w14:paraId="266A5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88" w:type="dxa"/>
            <w:vAlign w:val="center"/>
          </w:tcPr>
          <w:p w14:paraId="46F63AEE">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3</w:t>
            </w:r>
          </w:p>
        </w:tc>
        <w:tc>
          <w:tcPr>
            <w:tcW w:w="1395" w:type="dxa"/>
            <w:vAlign w:val="center"/>
          </w:tcPr>
          <w:p w14:paraId="6F3F8D32">
            <w:pPr>
              <w:widowControl/>
              <w:shd w:val="clear" w:color="auto" w:fill="FFFFFF"/>
              <w:spacing w:line="360" w:lineRule="auto"/>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性能要求</w:t>
            </w:r>
          </w:p>
        </w:tc>
        <w:tc>
          <w:tcPr>
            <w:tcW w:w="1127" w:type="dxa"/>
            <w:vAlign w:val="center"/>
          </w:tcPr>
          <w:p w14:paraId="74189951">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val="zh-CN"/>
              </w:rPr>
              <w:t>#</w:t>
            </w:r>
          </w:p>
        </w:tc>
        <w:tc>
          <w:tcPr>
            <w:tcW w:w="2864" w:type="dxa"/>
            <w:vAlign w:val="center"/>
          </w:tcPr>
          <w:p w14:paraId="6EBEB6D4">
            <w:pPr>
              <w:widowControl/>
              <w:shd w:val="clear" w:color="auto" w:fill="FFFFFF"/>
              <w:spacing w:line="360" w:lineRule="auto"/>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应用模拟放大技术，采用先进的屏蔽技术及精确控温设计，能有效避免仪器内部硬件的电磁干扰，能确保基线快速稳定、实验数据重复性好，检测灵敏度高。；</w:t>
            </w:r>
          </w:p>
        </w:tc>
        <w:tc>
          <w:tcPr>
            <w:tcW w:w="2126" w:type="dxa"/>
            <w:vAlign w:val="center"/>
          </w:tcPr>
          <w:p w14:paraId="2578CD57">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是</w:t>
            </w:r>
          </w:p>
        </w:tc>
      </w:tr>
      <w:tr w14:paraId="2C2C9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88" w:type="dxa"/>
            <w:vAlign w:val="center"/>
          </w:tcPr>
          <w:p w14:paraId="57F963A3">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4</w:t>
            </w:r>
          </w:p>
        </w:tc>
        <w:tc>
          <w:tcPr>
            <w:tcW w:w="1395" w:type="dxa"/>
            <w:vAlign w:val="center"/>
          </w:tcPr>
          <w:p w14:paraId="15705A61">
            <w:pPr>
              <w:widowControl/>
              <w:shd w:val="clear" w:color="auto" w:fill="FFFFFF"/>
              <w:spacing w:line="360" w:lineRule="auto"/>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色谱柱性能要求</w:t>
            </w:r>
          </w:p>
        </w:tc>
        <w:tc>
          <w:tcPr>
            <w:tcW w:w="1127" w:type="dxa"/>
            <w:vAlign w:val="center"/>
          </w:tcPr>
          <w:p w14:paraId="1247FFE0">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val="zh-CN"/>
              </w:rPr>
              <w:t>#</w:t>
            </w:r>
          </w:p>
        </w:tc>
        <w:tc>
          <w:tcPr>
            <w:tcW w:w="2864" w:type="dxa"/>
            <w:vAlign w:val="center"/>
          </w:tcPr>
          <w:p w14:paraId="6F2FF689">
            <w:pPr>
              <w:widowControl/>
              <w:shd w:val="clear" w:color="auto" w:fill="FFFFFF"/>
              <w:spacing w:line="360" w:lineRule="auto"/>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Cl</w:t>
            </w:r>
            <w:r>
              <w:rPr>
                <w:rFonts w:ascii="Times New Roman" w:hAnsi="Times New Roman" w:eastAsia="仿宋_GB2312" w:cs="Times New Roman"/>
                <w:sz w:val="24"/>
                <w:szCs w:val="24"/>
                <w:vertAlign w:val="superscript"/>
              </w:rPr>
              <w:t>-</w:t>
            </w:r>
            <w:r>
              <w:rPr>
                <w:rFonts w:ascii="Times New Roman" w:hAnsi="Times New Roman" w:eastAsia="仿宋_GB2312" w:cs="Times New Roman"/>
                <w:sz w:val="24"/>
                <w:szCs w:val="24"/>
              </w:rPr>
              <w:t>：NO</w:t>
            </w:r>
            <w:r>
              <w:rPr>
                <w:rFonts w:ascii="Times New Roman" w:hAnsi="Times New Roman" w:eastAsia="仿宋_GB2312" w:cs="Times New Roman"/>
                <w:sz w:val="24"/>
                <w:szCs w:val="24"/>
                <w:vertAlign w:val="superscript"/>
              </w:rPr>
              <w:t>2-</w:t>
            </w:r>
            <w:r>
              <w:rPr>
                <w:rFonts w:ascii="Times New Roman" w:hAnsi="Times New Roman" w:eastAsia="仿宋_GB2312" w:cs="Times New Roman"/>
                <w:sz w:val="24"/>
                <w:szCs w:val="24"/>
              </w:rPr>
              <w:t>的分离能力可达到10000:1，适用于高氯基体样品中痕量亚硝酸盐的分析。</w:t>
            </w:r>
          </w:p>
        </w:tc>
        <w:tc>
          <w:tcPr>
            <w:tcW w:w="2126" w:type="dxa"/>
            <w:vAlign w:val="center"/>
          </w:tcPr>
          <w:p w14:paraId="1E11CE86">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是</w:t>
            </w:r>
          </w:p>
        </w:tc>
      </w:tr>
      <w:tr w14:paraId="64DEF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88" w:type="dxa"/>
            <w:vAlign w:val="center"/>
          </w:tcPr>
          <w:p w14:paraId="46603A57">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5</w:t>
            </w:r>
          </w:p>
        </w:tc>
        <w:tc>
          <w:tcPr>
            <w:tcW w:w="1395" w:type="dxa"/>
            <w:vAlign w:val="center"/>
          </w:tcPr>
          <w:p w14:paraId="74AB05C7">
            <w:pPr>
              <w:widowControl/>
              <w:shd w:val="clear" w:color="auto" w:fill="FFFFFF"/>
              <w:spacing w:line="360" w:lineRule="auto"/>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工作站软件要求</w:t>
            </w:r>
          </w:p>
        </w:tc>
        <w:tc>
          <w:tcPr>
            <w:tcW w:w="1127" w:type="dxa"/>
            <w:vAlign w:val="center"/>
          </w:tcPr>
          <w:p w14:paraId="60098BE4">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val="zh-CN"/>
              </w:rPr>
              <w:t>#</w:t>
            </w:r>
          </w:p>
        </w:tc>
        <w:tc>
          <w:tcPr>
            <w:tcW w:w="2864" w:type="dxa"/>
            <w:vAlign w:val="center"/>
          </w:tcPr>
          <w:p w14:paraId="6948998B">
            <w:pPr>
              <w:widowControl/>
              <w:shd w:val="clear" w:color="auto" w:fill="FFFFFF"/>
              <w:spacing w:line="360" w:lineRule="auto"/>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色谱工作站软件，中文操作界面，匹配Windows系统，可兼容国产麒麟操作系统</w:t>
            </w:r>
            <w:r>
              <w:rPr>
                <w:rFonts w:hint="eastAsia" w:ascii="Times New Roman" w:hAnsi="Times New Roman" w:eastAsia="仿宋_GB2312" w:cs="Times New Roman"/>
                <w:sz w:val="24"/>
                <w:szCs w:val="24"/>
              </w:rPr>
              <w:t>。</w:t>
            </w:r>
          </w:p>
        </w:tc>
        <w:tc>
          <w:tcPr>
            <w:tcW w:w="2126" w:type="dxa"/>
            <w:vAlign w:val="center"/>
          </w:tcPr>
          <w:p w14:paraId="21376308">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是</w:t>
            </w:r>
          </w:p>
        </w:tc>
      </w:tr>
      <w:tr w14:paraId="1926F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88" w:type="dxa"/>
            <w:vAlign w:val="center"/>
          </w:tcPr>
          <w:p w14:paraId="5871E126">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6</w:t>
            </w:r>
          </w:p>
        </w:tc>
        <w:tc>
          <w:tcPr>
            <w:tcW w:w="1395" w:type="dxa"/>
            <w:vAlign w:val="center"/>
          </w:tcPr>
          <w:p w14:paraId="23D7420D">
            <w:pPr>
              <w:widowControl/>
              <w:shd w:val="clear" w:color="auto" w:fill="FFFFFF"/>
              <w:spacing w:line="360" w:lineRule="auto"/>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虚拟柱技术</w:t>
            </w:r>
          </w:p>
        </w:tc>
        <w:tc>
          <w:tcPr>
            <w:tcW w:w="1127" w:type="dxa"/>
            <w:vAlign w:val="center"/>
          </w:tcPr>
          <w:p w14:paraId="140DBEFF">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val="zh-CN"/>
              </w:rPr>
              <w:t>#</w:t>
            </w:r>
          </w:p>
        </w:tc>
        <w:tc>
          <w:tcPr>
            <w:tcW w:w="2864" w:type="dxa"/>
            <w:vAlign w:val="center"/>
          </w:tcPr>
          <w:p w14:paraId="6E65010B">
            <w:pPr>
              <w:widowControl/>
              <w:shd w:val="clear" w:color="auto" w:fill="FFFFFF"/>
              <w:spacing w:line="360" w:lineRule="auto"/>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工作站标</w:t>
            </w:r>
            <w:r>
              <w:rPr>
                <w:rFonts w:hint="eastAsia" w:ascii="Times New Roman" w:hAnsi="Times New Roman" w:eastAsia="仿宋_GB2312" w:cs="Times New Roman"/>
                <w:sz w:val="24"/>
                <w:szCs w:val="24"/>
              </w:rPr>
              <w:t>可</w:t>
            </w:r>
            <w:r>
              <w:rPr>
                <w:rFonts w:ascii="Times New Roman" w:hAnsi="Times New Roman" w:eastAsia="仿宋_GB2312" w:cs="Times New Roman"/>
                <w:sz w:val="24"/>
                <w:szCs w:val="24"/>
              </w:rPr>
              <w:t>模拟不同色谱柱对不同离子的分离效果，可帮助进行快速方法开发及辅助未知物定性</w:t>
            </w:r>
            <w:r>
              <w:rPr>
                <w:rFonts w:hint="eastAsia" w:ascii="Times New Roman" w:hAnsi="Times New Roman" w:eastAsia="仿宋_GB2312" w:cs="Times New Roman"/>
                <w:sz w:val="24"/>
                <w:szCs w:val="24"/>
              </w:rPr>
              <w:t>。提供软件实际使用截图</w:t>
            </w:r>
          </w:p>
        </w:tc>
        <w:tc>
          <w:tcPr>
            <w:tcW w:w="2126" w:type="dxa"/>
            <w:vAlign w:val="center"/>
          </w:tcPr>
          <w:p w14:paraId="33E5FCFB">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是</w:t>
            </w:r>
          </w:p>
        </w:tc>
      </w:tr>
      <w:tr w14:paraId="06EF5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88" w:type="dxa"/>
            <w:vAlign w:val="center"/>
          </w:tcPr>
          <w:p w14:paraId="070261FF">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7</w:t>
            </w:r>
          </w:p>
        </w:tc>
        <w:tc>
          <w:tcPr>
            <w:tcW w:w="1395" w:type="dxa"/>
            <w:vAlign w:val="center"/>
          </w:tcPr>
          <w:p w14:paraId="017622C5">
            <w:pPr>
              <w:widowControl/>
              <w:shd w:val="clear" w:color="auto" w:fill="FFFFFF"/>
              <w:spacing w:line="360" w:lineRule="auto"/>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打印报告设置</w:t>
            </w:r>
          </w:p>
        </w:tc>
        <w:tc>
          <w:tcPr>
            <w:tcW w:w="1127" w:type="dxa"/>
            <w:vAlign w:val="center"/>
          </w:tcPr>
          <w:p w14:paraId="2C209CB6">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val="zh-CN"/>
              </w:rPr>
              <w:t>#</w:t>
            </w:r>
          </w:p>
        </w:tc>
        <w:tc>
          <w:tcPr>
            <w:tcW w:w="2864" w:type="dxa"/>
            <w:vAlign w:val="center"/>
          </w:tcPr>
          <w:p w14:paraId="7A28ADFC">
            <w:pPr>
              <w:widowControl/>
              <w:shd w:val="clear" w:color="auto" w:fill="FFFFFF"/>
              <w:spacing w:line="360" w:lineRule="auto"/>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打印设置自定义报告模板，布局随意调整，可实现谱图、数据等插入设置</w:t>
            </w:r>
          </w:p>
        </w:tc>
        <w:tc>
          <w:tcPr>
            <w:tcW w:w="2126" w:type="dxa"/>
            <w:vAlign w:val="center"/>
          </w:tcPr>
          <w:p w14:paraId="05A786E9">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是</w:t>
            </w:r>
          </w:p>
        </w:tc>
      </w:tr>
      <w:tr w14:paraId="2F404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88" w:type="dxa"/>
            <w:vAlign w:val="center"/>
          </w:tcPr>
          <w:p w14:paraId="273C3C6F">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8</w:t>
            </w:r>
          </w:p>
        </w:tc>
        <w:tc>
          <w:tcPr>
            <w:tcW w:w="1395" w:type="dxa"/>
            <w:vAlign w:val="center"/>
          </w:tcPr>
          <w:p w14:paraId="4CE72D30">
            <w:pPr>
              <w:widowControl/>
              <w:shd w:val="clear" w:color="auto" w:fill="FFFFFF"/>
              <w:spacing w:line="360" w:lineRule="auto"/>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离子色谱数据传输装置</w:t>
            </w:r>
          </w:p>
        </w:tc>
        <w:tc>
          <w:tcPr>
            <w:tcW w:w="1127" w:type="dxa"/>
            <w:vAlign w:val="center"/>
          </w:tcPr>
          <w:p w14:paraId="5BBD737C">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val="zh-CN"/>
              </w:rPr>
              <w:t>#</w:t>
            </w:r>
          </w:p>
        </w:tc>
        <w:tc>
          <w:tcPr>
            <w:tcW w:w="2864" w:type="dxa"/>
            <w:vAlign w:val="center"/>
          </w:tcPr>
          <w:p w14:paraId="0E044F37">
            <w:pPr>
              <w:widowControl/>
              <w:shd w:val="clear" w:color="auto" w:fill="FFFFFF"/>
              <w:spacing w:line="360" w:lineRule="auto"/>
              <w:jc w:val="left"/>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数据传输模块：此装置可以兼顾高速、低速数据运转采集及实现多通道数据采集，从而实现更广范围内的数据采集。</w:t>
            </w:r>
          </w:p>
        </w:tc>
        <w:tc>
          <w:tcPr>
            <w:tcW w:w="2126" w:type="dxa"/>
            <w:vAlign w:val="center"/>
          </w:tcPr>
          <w:p w14:paraId="565FAB6C">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是</w:t>
            </w:r>
          </w:p>
        </w:tc>
      </w:tr>
      <w:tr w14:paraId="2FBA9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88" w:type="dxa"/>
            <w:vAlign w:val="center"/>
          </w:tcPr>
          <w:p w14:paraId="4F368591">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9</w:t>
            </w:r>
          </w:p>
        </w:tc>
        <w:tc>
          <w:tcPr>
            <w:tcW w:w="1395" w:type="dxa"/>
            <w:vAlign w:val="center"/>
          </w:tcPr>
          <w:p w14:paraId="79AEFCBD">
            <w:pPr>
              <w:widowControl/>
              <w:shd w:val="clear" w:color="auto" w:fill="FFFFFF"/>
              <w:spacing w:line="360" w:lineRule="auto"/>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离子色谱数据补偿装置</w:t>
            </w:r>
          </w:p>
        </w:tc>
        <w:tc>
          <w:tcPr>
            <w:tcW w:w="1127" w:type="dxa"/>
            <w:vAlign w:val="center"/>
          </w:tcPr>
          <w:p w14:paraId="4922E289">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val="zh-CN"/>
              </w:rPr>
              <w:t>#</w:t>
            </w:r>
          </w:p>
        </w:tc>
        <w:tc>
          <w:tcPr>
            <w:tcW w:w="2864" w:type="dxa"/>
            <w:vAlign w:val="center"/>
          </w:tcPr>
          <w:p w14:paraId="5A596F9E">
            <w:pPr>
              <w:widowControl/>
              <w:shd w:val="clear" w:color="auto" w:fill="FFFFFF"/>
              <w:spacing w:line="360" w:lineRule="auto"/>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数据补偿</w:t>
            </w:r>
            <w:r>
              <w:rPr>
                <w:rFonts w:hint="eastAsia" w:ascii="Times New Roman" w:hAnsi="Times New Roman" w:eastAsia="仿宋_GB2312" w:cs="Times New Roman"/>
                <w:sz w:val="24"/>
                <w:szCs w:val="24"/>
              </w:rPr>
              <w:t>模块</w:t>
            </w:r>
            <w:r>
              <w:rPr>
                <w:rFonts w:ascii="Times New Roman" w:hAnsi="Times New Roman" w:eastAsia="仿宋_GB2312" w:cs="Times New Roman"/>
                <w:sz w:val="24"/>
                <w:szCs w:val="24"/>
              </w:rPr>
              <w:t>：可以对由于室温变化及仪器自身温度变化等因素造成的仪器信号波动而进行补偿，从而使仪器的稳定性更好。</w:t>
            </w:r>
          </w:p>
        </w:tc>
        <w:tc>
          <w:tcPr>
            <w:tcW w:w="2126" w:type="dxa"/>
            <w:vAlign w:val="center"/>
          </w:tcPr>
          <w:p w14:paraId="341BF609">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是</w:t>
            </w:r>
          </w:p>
        </w:tc>
      </w:tr>
      <w:tr w14:paraId="63C98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88" w:type="dxa"/>
            <w:vAlign w:val="center"/>
          </w:tcPr>
          <w:p w14:paraId="24606535">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10</w:t>
            </w:r>
          </w:p>
        </w:tc>
        <w:tc>
          <w:tcPr>
            <w:tcW w:w="1395" w:type="dxa"/>
            <w:vAlign w:val="center"/>
          </w:tcPr>
          <w:p w14:paraId="21176205">
            <w:pPr>
              <w:widowControl/>
              <w:shd w:val="clear" w:color="auto" w:fill="FFFFFF"/>
              <w:spacing w:line="360" w:lineRule="auto"/>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气液分离器</w:t>
            </w:r>
          </w:p>
        </w:tc>
        <w:tc>
          <w:tcPr>
            <w:tcW w:w="1127" w:type="dxa"/>
            <w:vAlign w:val="center"/>
          </w:tcPr>
          <w:p w14:paraId="19182366">
            <w:pPr>
              <w:widowControl/>
              <w:shd w:val="clear" w:color="auto" w:fill="FFFFFF"/>
              <w:spacing w:line="360" w:lineRule="auto"/>
              <w:ind w:firstLine="480" w:firstLineChars="200"/>
              <w:jc w:val="center"/>
              <w:rPr>
                <w:rFonts w:ascii="Times New Roman" w:hAnsi="Times New Roman" w:eastAsia="仿宋_GB2312" w:cs="Times New Roman"/>
                <w:sz w:val="24"/>
                <w:szCs w:val="24"/>
                <w:lang w:val="zh-CN"/>
              </w:rPr>
            </w:pPr>
            <w:r>
              <w:rPr>
                <w:rFonts w:ascii="Times New Roman" w:hAnsi="Times New Roman" w:eastAsia="仿宋_GB2312" w:cs="Times New Roman"/>
                <w:sz w:val="24"/>
                <w:szCs w:val="24"/>
                <w:lang w:val="zh-CN"/>
              </w:rPr>
              <w:t>#</w:t>
            </w:r>
          </w:p>
        </w:tc>
        <w:tc>
          <w:tcPr>
            <w:tcW w:w="2864" w:type="dxa"/>
            <w:vAlign w:val="center"/>
          </w:tcPr>
          <w:p w14:paraId="4E12C1C4">
            <w:pPr>
              <w:widowControl/>
              <w:shd w:val="clear" w:color="auto" w:fill="FFFFFF"/>
              <w:spacing w:line="360" w:lineRule="auto"/>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气液分离器，可以拦截流路出现的气泡，保证系统稳定运行</w:t>
            </w:r>
          </w:p>
        </w:tc>
        <w:tc>
          <w:tcPr>
            <w:tcW w:w="2126" w:type="dxa"/>
            <w:vAlign w:val="center"/>
          </w:tcPr>
          <w:p w14:paraId="40A06182">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是</w:t>
            </w:r>
          </w:p>
        </w:tc>
      </w:tr>
      <w:tr w14:paraId="4682F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88" w:type="dxa"/>
            <w:vAlign w:val="center"/>
          </w:tcPr>
          <w:p w14:paraId="448883C8">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11</w:t>
            </w:r>
          </w:p>
        </w:tc>
        <w:tc>
          <w:tcPr>
            <w:tcW w:w="1395" w:type="dxa"/>
            <w:vAlign w:val="center"/>
          </w:tcPr>
          <w:p w14:paraId="443470D7">
            <w:pPr>
              <w:widowControl/>
              <w:shd w:val="clear" w:color="auto" w:fill="FFFFFF"/>
              <w:spacing w:line="360" w:lineRule="auto"/>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售后服务</w:t>
            </w:r>
          </w:p>
        </w:tc>
        <w:tc>
          <w:tcPr>
            <w:tcW w:w="1127" w:type="dxa"/>
            <w:vAlign w:val="center"/>
          </w:tcPr>
          <w:p w14:paraId="2AD9B223">
            <w:pPr>
              <w:widowControl/>
              <w:shd w:val="clear" w:color="auto" w:fill="FFFFFF"/>
              <w:spacing w:line="360" w:lineRule="auto"/>
              <w:ind w:firstLine="480" w:firstLineChars="200"/>
              <w:jc w:val="center"/>
              <w:rPr>
                <w:rFonts w:ascii="Times New Roman" w:hAnsi="Times New Roman" w:eastAsia="仿宋_GB2312" w:cs="Times New Roman"/>
                <w:sz w:val="24"/>
                <w:szCs w:val="24"/>
                <w:lang w:val="zh-CN"/>
              </w:rPr>
            </w:pPr>
            <w:r>
              <w:rPr>
                <w:rFonts w:ascii="Times New Roman" w:hAnsi="Times New Roman" w:eastAsia="仿宋_GB2312" w:cs="Times New Roman"/>
                <w:sz w:val="24"/>
                <w:szCs w:val="24"/>
                <w:lang w:val="zh-CN"/>
              </w:rPr>
              <w:t>#</w:t>
            </w:r>
          </w:p>
        </w:tc>
        <w:tc>
          <w:tcPr>
            <w:tcW w:w="2864" w:type="dxa"/>
            <w:vAlign w:val="center"/>
          </w:tcPr>
          <w:p w14:paraId="7C93ADDF">
            <w:pPr>
              <w:widowControl/>
              <w:shd w:val="clear" w:color="auto" w:fill="FFFFFF"/>
              <w:spacing w:line="360" w:lineRule="auto"/>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提供售后服务，实行7*24小时的服务支持，30分钟电话响应，48小时内赶到现场处理问题。</w:t>
            </w:r>
          </w:p>
        </w:tc>
        <w:tc>
          <w:tcPr>
            <w:tcW w:w="2126" w:type="dxa"/>
            <w:vAlign w:val="center"/>
          </w:tcPr>
          <w:p w14:paraId="488236F4">
            <w:pPr>
              <w:widowControl/>
              <w:shd w:val="clear" w:color="auto" w:fill="FFFFFF"/>
              <w:spacing w:line="360" w:lineRule="auto"/>
              <w:ind w:firstLine="480" w:firstLineChars="200"/>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是</w:t>
            </w:r>
          </w:p>
        </w:tc>
      </w:tr>
    </w:tbl>
    <w:p w14:paraId="176A1A65">
      <w:pPr>
        <w:autoSpaceDE w:val="0"/>
        <w:autoSpaceDN w:val="0"/>
        <w:adjustRightInd w:val="0"/>
        <w:snapToGrid w:val="0"/>
        <w:spacing w:line="360" w:lineRule="auto"/>
        <w:jc w:val="left"/>
        <w:rPr>
          <w:rFonts w:ascii="Times New Roman" w:hAnsi="Times New Roman" w:eastAsia="仿宋_GB2312" w:cs="Times New Roman"/>
          <w:b/>
          <w:snapToGrid w:val="0"/>
          <w:kern w:val="0"/>
          <w:sz w:val="24"/>
          <w:szCs w:val="24"/>
        </w:rPr>
      </w:pPr>
      <w:r>
        <w:rPr>
          <w:rFonts w:ascii="Times New Roman" w:hAnsi="Times New Roman" w:eastAsia="仿宋_GB2312" w:cs="Times New Roman"/>
          <w:b/>
          <w:snapToGrid w:val="0"/>
          <w:kern w:val="0"/>
          <w:sz w:val="24"/>
          <w:szCs w:val="24"/>
        </w:rPr>
        <w:t>说明：</w:t>
      </w:r>
    </w:p>
    <w:p w14:paraId="5C835A00">
      <w:pPr>
        <w:autoSpaceDE w:val="0"/>
        <w:autoSpaceDN w:val="0"/>
        <w:adjustRightInd w:val="0"/>
        <w:snapToGrid w:val="0"/>
        <w:spacing w:line="360" w:lineRule="auto"/>
        <w:jc w:val="left"/>
        <w:rPr>
          <w:rFonts w:ascii="Times New Roman" w:hAnsi="Times New Roman" w:eastAsia="仿宋_GB2312" w:cs="Times New Roman"/>
          <w:snapToGrid w:val="0"/>
          <w:kern w:val="0"/>
          <w:sz w:val="24"/>
          <w:szCs w:val="24"/>
        </w:rPr>
      </w:pPr>
      <w:r>
        <w:rPr>
          <w:rFonts w:ascii="Times New Roman" w:hAnsi="Times New Roman" w:eastAsia="仿宋_GB2312" w:cs="Times New Roman"/>
          <w:snapToGrid w:val="0"/>
          <w:kern w:val="0"/>
          <w:sz w:val="24"/>
          <w:szCs w:val="24"/>
        </w:rPr>
        <w:fldChar w:fldCharType="begin"/>
      </w:r>
      <w:r>
        <w:rPr>
          <w:rFonts w:ascii="Times New Roman" w:hAnsi="Times New Roman" w:eastAsia="仿宋_GB2312" w:cs="Times New Roman"/>
          <w:snapToGrid w:val="0"/>
          <w:kern w:val="0"/>
          <w:sz w:val="24"/>
          <w:szCs w:val="24"/>
        </w:rPr>
        <w:instrText xml:space="preserve">= 1 \* GB3</w:instrText>
      </w:r>
      <w:r>
        <w:rPr>
          <w:rFonts w:ascii="Times New Roman" w:hAnsi="Times New Roman" w:eastAsia="仿宋_GB2312" w:cs="Times New Roman"/>
          <w:snapToGrid w:val="0"/>
          <w:kern w:val="0"/>
          <w:sz w:val="24"/>
          <w:szCs w:val="24"/>
        </w:rPr>
        <w:fldChar w:fldCharType="separate"/>
      </w:r>
      <w:r>
        <w:rPr>
          <w:rFonts w:ascii="Cambria Math" w:hAnsi="Cambria Math" w:eastAsia="仿宋_GB2312" w:cs="Cambria Math"/>
          <w:snapToGrid w:val="0"/>
          <w:kern w:val="0"/>
          <w:sz w:val="24"/>
          <w:szCs w:val="24"/>
        </w:rPr>
        <w:t>①</w:t>
      </w:r>
      <w:r>
        <w:rPr>
          <w:rFonts w:ascii="Times New Roman" w:hAnsi="Times New Roman" w:eastAsia="仿宋_GB2312" w:cs="Times New Roman"/>
          <w:snapToGrid w:val="0"/>
          <w:kern w:val="0"/>
          <w:sz w:val="24"/>
          <w:szCs w:val="24"/>
        </w:rPr>
        <w:fldChar w:fldCharType="end"/>
      </w:r>
      <w:r>
        <w:rPr>
          <w:rFonts w:ascii="Times New Roman" w:hAnsi="Times New Roman" w:eastAsia="仿宋_GB2312" w:cs="Times New Roman"/>
          <w:snapToGrid w:val="0"/>
          <w:kern w:val="0"/>
          <w:sz w:val="24"/>
          <w:szCs w:val="24"/>
        </w:rPr>
        <w:t>重要性可用“</w:t>
      </w:r>
      <w:r>
        <w:rPr>
          <w:rFonts w:ascii="Segoe UI Symbol" w:hAnsi="Segoe UI Symbol" w:eastAsia="仿宋_GB2312" w:cs="Segoe UI Symbol"/>
          <w:snapToGrid w:val="0"/>
          <w:kern w:val="0"/>
          <w:sz w:val="24"/>
          <w:szCs w:val="24"/>
        </w:rPr>
        <w:t>★</w:t>
      </w:r>
      <w:r>
        <w:rPr>
          <w:rFonts w:ascii="Times New Roman" w:hAnsi="Times New Roman" w:eastAsia="仿宋_GB2312" w:cs="Times New Roman"/>
          <w:snapToGrid w:val="0"/>
          <w:kern w:val="0"/>
          <w:sz w:val="24"/>
          <w:szCs w:val="24"/>
        </w:rPr>
        <w:t>”“#”表示，“</w:t>
      </w:r>
      <w:r>
        <w:rPr>
          <w:rFonts w:ascii="Segoe UI Symbol" w:hAnsi="Segoe UI Symbol" w:eastAsia="仿宋_GB2312" w:cs="Segoe UI Symbol"/>
          <w:snapToGrid w:val="0"/>
          <w:kern w:val="0"/>
          <w:sz w:val="24"/>
          <w:szCs w:val="24"/>
        </w:rPr>
        <w:t>★</w:t>
      </w:r>
      <w:r>
        <w:rPr>
          <w:rFonts w:ascii="Times New Roman" w:hAnsi="Times New Roman" w:eastAsia="仿宋_GB2312" w:cs="Times New Roman"/>
          <w:snapToGrid w:val="0"/>
          <w:kern w:val="0"/>
          <w:sz w:val="24"/>
          <w:szCs w:val="24"/>
        </w:rPr>
        <w:t>”代表关键指标，不满足该指标项将导致响应被拒绝；“#”代表重要指标；无标识则表示属一般指标项。</w:t>
      </w:r>
    </w:p>
    <w:p w14:paraId="36208C84">
      <w:pPr>
        <w:autoSpaceDE w:val="0"/>
        <w:autoSpaceDN w:val="0"/>
        <w:adjustRightInd w:val="0"/>
        <w:snapToGrid w:val="0"/>
        <w:spacing w:line="360" w:lineRule="auto"/>
        <w:jc w:val="left"/>
        <w:rPr>
          <w:rFonts w:ascii="Times New Roman" w:hAnsi="Times New Roman" w:eastAsia="仿宋_GB2312" w:cs="Times New Roman"/>
          <w:snapToGrid w:val="0"/>
          <w:kern w:val="0"/>
          <w:sz w:val="24"/>
          <w:szCs w:val="24"/>
        </w:rPr>
      </w:pPr>
      <w:r>
        <w:rPr>
          <w:rFonts w:ascii="Times New Roman" w:hAnsi="Times New Roman" w:eastAsia="仿宋_GB2312" w:cs="Times New Roman"/>
          <w:snapToGrid w:val="0"/>
          <w:kern w:val="0"/>
          <w:sz w:val="24"/>
          <w:szCs w:val="24"/>
        </w:rPr>
        <w:fldChar w:fldCharType="begin"/>
      </w:r>
      <w:r>
        <w:rPr>
          <w:rFonts w:ascii="Times New Roman" w:hAnsi="Times New Roman" w:eastAsia="仿宋_GB2312" w:cs="Times New Roman"/>
          <w:snapToGrid w:val="0"/>
          <w:kern w:val="0"/>
          <w:sz w:val="24"/>
          <w:szCs w:val="24"/>
        </w:rPr>
        <w:instrText xml:space="preserve">= 2 \* GB3</w:instrText>
      </w:r>
      <w:r>
        <w:rPr>
          <w:rFonts w:ascii="Times New Roman" w:hAnsi="Times New Roman" w:eastAsia="仿宋_GB2312" w:cs="Times New Roman"/>
          <w:snapToGrid w:val="0"/>
          <w:kern w:val="0"/>
          <w:sz w:val="24"/>
          <w:szCs w:val="24"/>
        </w:rPr>
        <w:fldChar w:fldCharType="separate"/>
      </w:r>
      <w:r>
        <w:rPr>
          <w:rFonts w:ascii="Cambria Math" w:hAnsi="Cambria Math" w:eastAsia="仿宋_GB2312" w:cs="Cambria Math"/>
          <w:snapToGrid w:val="0"/>
          <w:kern w:val="0"/>
          <w:sz w:val="24"/>
          <w:szCs w:val="24"/>
        </w:rPr>
        <w:t>②</w:t>
      </w:r>
      <w:r>
        <w:rPr>
          <w:rFonts w:ascii="Times New Roman" w:hAnsi="Times New Roman" w:eastAsia="仿宋_GB2312" w:cs="Times New Roman"/>
          <w:snapToGrid w:val="0"/>
          <w:kern w:val="0"/>
          <w:sz w:val="24"/>
          <w:szCs w:val="24"/>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r>
        <w:rPr>
          <w:rFonts w:ascii="仿宋_GB2312" w:hAnsi="宋体" w:eastAsia="仿宋_GB2312" w:cs="宋体"/>
          <w:snapToGrid w:val="0"/>
          <w:kern w:val="0"/>
          <w:sz w:val="24"/>
          <w:szCs w:val="24"/>
          <w:lang w:val="zh-CN"/>
        </w:rPr>
        <w:t>填写“否”的提供技术参数偏离表或承诺响应，未提供或提供的偏离表中或承诺有负偏离的，则该指标按不满足处理。若供应商偏离表中与响应文件所列证明材料内容不一致时，将以证明材料内容为准进行评审。</w:t>
      </w:r>
    </w:p>
    <w:p w14:paraId="19BB679E">
      <w:pPr>
        <w:widowControl/>
        <w:shd w:val="clear" w:color="auto" w:fill="FFFFFF"/>
        <w:spacing w:line="360" w:lineRule="auto"/>
        <w:jc w:val="center"/>
        <w:rPr>
          <w:rFonts w:ascii="Times New Roman" w:hAnsi="Times New Roman" w:eastAsia="仿宋_GB2312" w:cs="Times New Roman"/>
          <w:color w:val="000000"/>
          <w:kern w:val="0"/>
          <w:sz w:val="28"/>
          <w:szCs w:val="28"/>
          <w:shd w:val="clear" w:color="auto" w:fill="FFFFFF"/>
        </w:rPr>
      </w:pPr>
      <w:r>
        <w:rPr>
          <w:rFonts w:ascii="Times New Roman" w:hAnsi="Times New Roman" w:eastAsia="仿宋_GB2312" w:cs="Times New Roman"/>
          <w:color w:val="000000"/>
          <w:kern w:val="0"/>
          <w:sz w:val="28"/>
          <w:szCs w:val="28"/>
          <w:shd w:val="clear" w:color="auto" w:fill="FFFFFF"/>
        </w:rPr>
        <w:t>（六）高效液相色谱仪（1台）</w:t>
      </w:r>
    </w:p>
    <w:p w14:paraId="4582CCB3">
      <w:pPr>
        <w:widowControl/>
        <w:shd w:val="clear" w:color="auto" w:fill="FFFFFF"/>
        <w:spacing w:line="360" w:lineRule="auto"/>
        <w:ind w:firstLine="482" w:firstLineChars="200"/>
        <w:jc w:val="left"/>
        <w:rPr>
          <w:rFonts w:ascii="Times New Roman" w:hAnsi="Times New Roman" w:eastAsia="仿宋_GB2312" w:cs="Times New Roman"/>
          <w:b/>
          <w:bCs/>
          <w:i/>
          <w:iCs/>
          <w:sz w:val="24"/>
          <w:szCs w:val="24"/>
        </w:rPr>
      </w:pPr>
      <w:r>
        <w:rPr>
          <w:rFonts w:ascii="Times New Roman" w:hAnsi="Times New Roman" w:eastAsia="仿宋_GB2312" w:cs="Times New Roman"/>
          <w:b/>
          <w:bCs/>
          <w:sz w:val="24"/>
          <w:szCs w:val="24"/>
        </w:rPr>
        <w:t>1.功能要求：</w:t>
      </w:r>
    </w:p>
    <w:p w14:paraId="45F3C0A0">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本设备用于支撑地球化学、地球生物学、地球物质科学等领域的教学与科研，重点服务于《地球化学》、《地球生物学》、《生物地球化学》、《环境生态毒理学》、《湿地演化与生态修复》等专业特色课程的实践教学，满足地球生物学方向对痕量生物标志物的高精度检测需求。</w:t>
      </w:r>
    </w:p>
    <w:p w14:paraId="33318C8C">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该设备能实现：水体有机污染物的监测如：多环芳烃 PAHs、酚类、农药残留、抗生素、微塑料降解有机物的含量检测；土壤沉积物 PAHs、酚类、芳香生物标志物常规检测；</w:t>
      </w:r>
    </w:p>
    <w:p w14:paraId="0EE9A935">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该设备应具备双波长紫外检测器满足水体或者土壤有机污染物全面分析。</w:t>
      </w:r>
    </w:p>
    <w:p w14:paraId="350D21A2">
      <w:pPr>
        <w:widowControl/>
        <w:numPr>
          <w:ilvl w:val="0"/>
          <w:numId w:val="7"/>
        </w:numPr>
        <w:shd w:val="clear" w:color="auto" w:fill="FFFFFF"/>
        <w:spacing w:line="360" w:lineRule="auto"/>
        <w:ind w:firstLine="482" w:firstLineChars="200"/>
        <w:jc w:val="left"/>
        <w:rPr>
          <w:rFonts w:ascii="Times New Roman" w:hAnsi="Times New Roman" w:eastAsia="仿宋_GB2312" w:cs="Times New Roman"/>
          <w:b/>
          <w:bCs/>
          <w:sz w:val="24"/>
          <w:szCs w:val="24"/>
        </w:rPr>
      </w:pPr>
      <w:r>
        <w:rPr>
          <w:rFonts w:ascii="Times New Roman" w:hAnsi="Times New Roman" w:eastAsia="仿宋_GB2312" w:cs="Times New Roman"/>
          <w:b/>
          <w:bCs/>
          <w:sz w:val="24"/>
          <w:szCs w:val="24"/>
        </w:rPr>
        <w:t>应遵循的相关国家标准、行业标准、地方标准等标准、规范：</w:t>
      </w:r>
    </w:p>
    <w:p w14:paraId="53D01359">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主要参考国家标准HJ-478-2009《土壤和沉积物多环芳烃的测定高效液相色谱法》，GB/T 26792-2019《高效液相色谱仪通则》等。</w:t>
      </w:r>
    </w:p>
    <w:p w14:paraId="708332D1">
      <w:pPr>
        <w:widowControl/>
        <w:numPr>
          <w:ilvl w:val="0"/>
          <w:numId w:val="7"/>
        </w:numPr>
        <w:shd w:val="clear" w:color="auto" w:fill="FFFFFF"/>
        <w:spacing w:line="360" w:lineRule="auto"/>
        <w:ind w:firstLine="482" w:firstLineChars="200"/>
        <w:rPr>
          <w:rFonts w:ascii="Times New Roman" w:hAnsi="Times New Roman" w:eastAsia="仿宋_GB2312" w:cs="Times New Roman"/>
          <w:b/>
          <w:bCs/>
          <w:sz w:val="24"/>
          <w:szCs w:val="24"/>
        </w:rPr>
      </w:pPr>
      <w:r>
        <w:rPr>
          <w:rFonts w:ascii="Times New Roman" w:hAnsi="Times New Roman" w:eastAsia="仿宋_GB2312" w:cs="Times New Roman"/>
          <w:b/>
          <w:bCs/>
          <w:sz w:val="24"/>
          <w:szCs w:val="24"/>
        </w:rPr>
        <w:t>后续运营维护、升级更新、备品备件等要求：</w:t>
      </w:r>
    </w:p>
    <w:p w14:paraId="378BF778">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运维服务：供应商需提供≥2年整机质保（耗材除外），质保期内每半年开展1次现场巡检，故障响应时间≤</w:t>
      </w:r>
      <w:r>
        <w:rPr>
          <w:rFonts w:hint="eastAsia" w:ascii="Times New Roman" w:hAnsi="Times New Roman" w:eastAsia="仿宋_GB2312" w:cs="Times New Roman"/>
          <w:sz w:val="24"/>
          <w:szCs w:val="24"/>
        </w:rPr>
        <w:t>48</w:t>
      </w:r>
      <w:r>
        <w:rPr>
          <w:rFonts w:ascii="Times New Roman" w:hAnsi="Times New Roman" w:eastAsia="仿宋_GB2312" w:cs="Times New Roman"/>
          <w:sz w:val="24"/>
          <w:szCs w:val="24"/>
        </w:rPr>
        <w:t>小时，修复时间≤72小时；提供2天以上现场培训，交通等与培训相关的费用均由成交供应商承担。</w:t>
      </w:r>
    </w:p>
    <w:p w14:paraId="0E2FDC27">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升级更新：设备软件终身免费升级，硬件支持后续功能扩展（如新增示差检测器、荧光检测器等），供应商需在新技术推出后30日内告知用户升级方案。</w:t>
      </w:r>
    </w:p>
    <w:p w14:paraId="5D1D8A39">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备品备件：质保期外提供全生命周期备件供应保障（承诺供应周期≥10年），常用备件（如氘灯、柱塞杆、密封圈等）需在用户提出需求后7个工作日内到货；提供备件价格清单，确保价格不高于市场同期水平。</w:t>
      </w:r>
    </w:p>
    <w:p w14:paraId="514CA68A">
      <w:pPr>
        <w:spacing w:line="360" w:lineRule="auto"/>
        <w:ind w:firstLine="482" w:firstLineChars="200"/>
        <w:outlineLvl w:val="0"/>
        <w:rPr>
          <w:rFonts w:ascii="Times New Roman" w:hAnsi="Times New Roman" w:eastAsia="仿宋_GB2312" w:cs="Times New Roman"/>
          <w:sz w:val="24"/>
          <w:szCs w:val="24"/>
        </w:rPr>
      </w:pPr>
      <w:r>
        <w:rPr>
          <w:rFonts w:ascii="Times New Roman" w:hAnsi="Times New Roman" w:eastAsia="仿宋_GB2312" w:cs="Times New Roman"/>
          <w:b/>
          <w:bCs/>
          <w:sz w:val="24"/>
          <w:szCs w:val="24"/>
        </w:rPr>
        <w:t>4.各项指标要求：</w:t>
      </w:r>
    </w:p>
    <w:tbl>
      <w:tblPr>
        <w:tblStyle w:val="8"/>
        <w:tblW w:w="8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1075"/>
        <w:gridCol w:w="1162"/>
        <w:gridCol w:w="3919"/>
        <w:gridCol w:w="1900"/>
      </w:tblGrid>
      <w:tr w14:paraId="2A4A9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64" w:type="dxa"/>
            <w:vAlign w:val="center"/>
          </w:tcPr>
          <w:p w14:paraId="438F1223">
            <w:pPr>
              <w:spacing w:line="360" w:lineRule="auto"/>
              <w:jc w:val="center"/>
              <w:rPr>
                <w:rFonts w:ascii="Times New Roman" w:hAnsi="Times New Roman" w:eastAsia="仿宋_GB2312" w:cs="Times New Roman"/>
                <w:b/>
                <w:szCs w:val="21"/>
              </w:rPr>
            </w:pPr>
            <w:r>
              <w:rPr>
                <w:rFonts w:ascii="Times New Roman" w:hAnsi="Times New Roman" w:eastAsia="仿宋_GB2312" w:cs="Times New Roman"/>
                <w:b/>
                <w:szCs w:val="21"/>
              </w:rPr>
              <w:t>序号</w:t>
            </w:r>
          </w:p>
        </w:tc>
        <w:tc>
          <w:tcPr>
            <w:tcW w:w="1075" w:type="dxa"/>
            <w:vAlign w:val="center"/>
          </w:tcPr>
          <w:p w14:paraId="62B79A4F">
            <w:pPr>
              <w:widowControl/>
              <w:spacing w:line="360" w:lineRule="auto"/>
              <w:jc w:val="center"/>
              <w:rPr>
                <w:rFonts w:ascii="Times New Roman" w:hAnsi="Times New Roman" w:eastAsia="仿宋_GB2312" w:cs="Times New Roman"/>
                <w:b/>
                <w:szCs w:val="21"/>
              </w:rPr>
            </w:pPr>
            <w:r>
              <w:rPr>
                <w:rFonts w:ascii="Times New Roman" w:hAnsi="Times New Roman" w:eastAsia="仿宋_GB2312" w:cs="Times New Roman"/>
                <w:b/>
                <w:szCs w:val="21"/>
              </w:rPr>
              <w:t>指标项</w:t>
            </w:r>
          </w:p>
        </w:tc>
        <w:tc>
          <w:tcPr>
            <w:tcW w:w="1162" w:type="dxa"/>
            <w:vAlign w:val="center"/>
          </w:tcPr>
          <w:p w14:paraId="38A7C17C">
            <w:pPr>
              <w:widowControl/>
              <w:spacing w:line="360" w:lineRule="auto"/>
              <w:jc w:val="center"/>
              <w:rPr>
                <w:rFonts w:ascii="Times New Roman" w:hAnsi="Times New Roman" w:eastAsia="仿宋_GB2312" w:cs="Times New Roman"/>
                <w:b/>
                <w:szCs w:val="21"/>
              </w:rPr>
            </w:pPr>
            <w:r>
              <w:rPr>
                <w:rFonts w:ascii="Times New Roman" w:hAnsi="Times New Roman" w:eastAsia="仿宋_GB2312" w:cs="Times New Roman"/>
                <w:b/>
                <w:szCs w:val="21"/>
              </w:rPr>
              <w:t>重要性</w:t>
            </w:r>
          </w:p>
        </w:tc>
        <w:tc>
          <w:tcPr>
            <w:tcW w:w="3919" w:type="dxa"/>
            <w:vAlign w:val="center"/>
          </w:tcPr>
          <w:p w14:paraId="16B68465">
            <w:pPr>
              <w:widowControl/>
              <w:spacing w:line="360" w:lineRule="auto"/>
              <w:jc w:val="center"/>
              <w:rPr>
                <w:rFonts w:ascii="Times New Roman" w:hAnsi="Times New Roman" w:eastAsia="仿宋_GB2312" w:cs="Times New Roman"/>
                <w:b/>
                <w:szCs w:val="21"/>
              </w:rPr>
            </w:pPr>
            <w:r>
              <w:rPr>
                <w:rFonts w:ascii="Times New Roman" w:hAnsi="Times New Roman" w:eastAsia="仿宋_GB2312" w:cs="Times New Roman"/>
                <w:b/>
                <w:szCs w:val="21"/>
              </w:rPr>
              <w:t>指标要求</w:t>
            </w:r>
          </w:p>
        </w:tc>
        <w:tc>
          <w:tcPr>
            <w:tcW w:w="1900" w:type="dxa"/>
            <w:vAlign w:val="center"/>
          </w:tcPr>
          <w:p w14:paraId="7301E211">
            <w:pPr>
              <w:widowControl/>
              <w:spacing w:line="360" w:lineRule="auto"/>
              <w:jc w:val="center"/>
              <w:rPr>
                <w:rFonts w:ascii="Times New Roman" w:hAnsi="Times New Roman" w:eastAsia="仿宋_GB2312" w:cs="Times New Roman"/>
                <w:b/>
                <w:szCs w:val="21"/>
              </w:rPr>
            </w:pPr>
            <w:r>
              <w:rPr>
                <w:rFonts w:ascii="Times New Roman" w:hAnsi="Times New Roman" w:eastAsia="仿宋_GB2312" w:cs="Times New Roman"/>
                <w:b/>
                <w:szCs w:val="21"/>
              </w:rPr>
              <w:t>证明材料要求</w:t>
            </w:r>
          </w:p>
        </w:tc>
      </w:tr>
      <w:tr w14:paraId="1FE7C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64" w:type="dxa"/>
            <w:vAlign w:val="center"/>
          </w:tcPr>
          <w:p w14:paraId="0B50FAD6">
            <w:pPr>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1</w:t>
            </w:r>
          </w:p>
        </w:tc>
        <w:tc>
          <w:tcPr>
            <w:tcW w:w="1075" w:type="dxa"/>
            <w:vAlign w:val="center"/>
          </w:tcPr>
          <w:p w14:paraId="3CB396FE">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输液泵</w:t>
            </w:r>
          </w:p>
        </w:tc>
        <w:tc>
          <w:tcPr>
            <w:tcW w:w="1162" w:type="dxa"/>
            <w:vAlign w:val="center"/>
          </w:tcPr>
          <w:p w14:paraId="50B47167">
            <w:pPr>
              <w:widowControl/>
              <w:spacing w:line="360" w:lineRule="auto"/>
              <w:jc w:val="center"/>
              <w:rPr>
                <w:rFonts w:ascii="Times New Roman" w:hAnsi="Times New Roman" w:eastAsia="仿宋_GB2312" w:cs="Times New Roman"/>
                <w:szCs w:val="21"/>
              </w:rPr>
            </w:pPr>
          </w:p>
        </w:tc>
        <w:tc>
          <w:tcPr>
            <w:tcW w:w="3919" w:type="dxa"/>
            <w:vAlign w:val="center"/>
          </w:tcPr>
          <w:p w14:paraId="356F622C">
            <w:pPr>
              <w:widowControl/>
              <w:spacing w:line="360" w:lineRule="auto"/>
              <w:jc w:val="left"/>
              <w:rPr>
                <w:rFonts w:ascii="Times New Roman" w:hAnsi="Times New Roman" w:eastAsia="仿宋_GB2312" w:cs="Times New Roman"/>
                <w:szCs w:val="21"/>
              </w:rPr>
            </w:pPr>
            <w:r>
              <w:rPr>
                <w:rFonts w:ascii="Times New Roman" w:hAnsi="Times New Roman" w:eastAsia="仿宋_GB2312" w:cs="Times New Roman"/>
                <w:szCs w:val="21"/>
              </w:rPr>
              <w:t>泵类型：低脉动高精度串联式双柱塞高效液相色谱泵</w:t>
            </w:r>
          </w:p>
        </w:tc>
        <w:tc>
          <w:tcPr>
            <w:tcW w:w="1900" w:type="dxa"/>
            <w:vAlign w:val="center"/>
          </w:tcPr>
          <w:p w14:paraId="0D15FF17">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napToGrid w:val="0"/>
                <w:kern w:val="0"/>
                <w:szCs w:val="21"/>
                <w:lang w:val="zh-CN"/>
              </w:rPr>
              <w:t>是</w:t>
            </w:r>
          </w:p>
        </w:tc>
      </w:tr>
      <w:tr w14:paraId="167C6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64" w:type="dxa"/>
            <w:vAlign w:val="center"/>
          </w:tcPr>
          <w:p w14:paraId="19894B22">
            <w:pPr>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2</w:t>
            </w:r>
          </w:p>
        </w:tc>
        <w:tc>
          <w:tcPr>
            <w:tcW w:w="1075" w:type="dxa"/>
            <w:vAlign w:val="center"/>
          </w:tcPr>
          <w:p w14:paraId="43140C40">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输液泵</w:t>
            </w:r>
          </w:p>
        </w:tc>
        <w:tc>
          <w:tcPr>
            <w:tcW w:w="1162" w:type="dxa"/>
            <w:vAlign w:val="center"/>
          </w:tcPr>
          <w:p w14:paraId="7326D63A">
            <w:pPr>
              <w:widowControl/>
              <w:spacing w:line="360" w:lineRule="auto"/>
              <w:jc w:val="center"/>
              <w:rPr>
                <w:rFonts w:ascii="Times New Roman" w:hAnsi="Times New Roman" w:eastAsia="仿宋_GB2312" w:cs="Times New Roman"/>
                <w:szCs w:val="21"/>
              </w:rPr>
            </w:pPr>
          </w:p>
        </w:tc>
        <w:tc>
          <w:tcPr>
            <w:tcW w:w="3919" w:type="dxa"/>
            <w:vAlign w:val="center"/>
          </w:tcPr>
          <w:p w14:paraId="33F56D40">
            <w:pPr>
              <w:widowControl/>
              <w:spacing w:line="360" w:lineRule="auto"/>
              <w:jc w:val="left"/>
              <w:rPr>
                <w:rFonts w:ascii="Times New Roman" w:hAnsi="Times New Roman" w:eastAsia="仿宋_GB2312" w:cs="Times New Roman"/>
                <w:szCs w:val="21"/>
              </w:rPr>
            </w:pPr>
            <w:r>
              <w:rPr>
                <w:rFonts w:ascii="Times New Roman" w:hAnsi="Times New Roman" w:eastAsia="仿宋_GB2312" w:cs="Times New Roman"/>
                <w:szCs w:val="21"/>
              </w:rPr>
              <w:t>流量范围：0.001-10.000 mL/min，设置步长：0.001mL/min</w:t>
            </w:r>
          </w:p>
        </w:tc>
        <w:tc>
          <w:tcPr>
            <w:tcW w:w="1900" w:type="dxa"/>
            <w:vAlign w:val="center"/>
          </w:tcPr>
          <w:p w14:paraId="696D0597">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否</w:t>
            </w:r>
          </w:p>
        </w:tc>
      </w:tr>
      <w:tr w14:paraId="48D85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64" w:type="dxa"/>
            <w:vAlign w:val="center"/>
          </w:tcPr>
          <w:p w14:paraId="3E8CA27E">
            <w:pPr>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3</w:t>
            </w:r>
          </w:p>
        </w:tc>
        <w:tc>
          <w:tcPr>
            <w:tcW w:w="1075" w:type="dxa"/>
            <w:vAlign w:val="center"/>
          </w:tcPr>
          <w:p w14:paraId="344299E2">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输液泵</w:t>
            </w:r>
          </w:p>
        </w:tc>
        <w:tc>
          <w:tcPr>
            <w:tcW w:w="1162" w:type="dxa"/>
            <w:vAlign w:val="center"/>
          </w:tcPr>
          <w:p w14:paraId="7A165255">
            <w:pPr>
              <w:widowControl/>
              <w:spacing w:line="360" w:lineRule="auto"/>
              <w:jc w:val="center"/>
              <w:rPr>
                <w:rFonts w:ascii="Times New Roman" w:hAnsi="Times New Roman" w:eastAsia="仿宋_GB2312" w:cs="Times New Roman"/>
                <w:szCs w:val="21"/>
              </w:rPr>
            </w:pPr>
          </w:p>
        </w:tc>
        <w:tc>
          <w:tcPr>
            <w:tcW w:w="3919" w:type="dxa"/>
            <w:vAlign w:val="center"/>
          </w:tcPr>
          <w:p w14:paraId="456181E9">
            <w:pPr>
              <w:widowControl/>
              <w:spacing w:line="360" w:lineRule="auto"/>
              <w:jc w:val="left"/>
              <w:rPr>
                <w:rFonts w:ascii="Times New Roman" w:hAnsi="Times New Roman" w:eastAsia="仿宋_GB2312" w:cs="Times New Roman"/>
                <w:szCs w:val="21"/>
              </w:rPr>
            </w:pPr>
            <w:r>
              <w:rPr>
                <w:rFonts w:ascii="Times New Roman" w:hAnsi="Times New Roman" w:eastAsia="仿宋_GB2312" w:cs="Times New Roman"/>
                <w:szCs w:val="21"/>
              </w:rPr>
              <w:t>流量稳定性：≤0.06%</w:t>
            </w:r>
          </w:p>
        </w:tc>
        <w:tc>
          <w:tcPr>
            <w:tcW w:w="1900" w:type="dxa"/>
            <w:vAlign w:val="center"/>
          </w:tcPr>
          <w:p w14:paraId="48C1AB60">
            <w:pPr>
              <w:widowControl/>
              <w:spacing w:line="360" w:lineRule="auto"/>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60BCD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64" w:type="dxa"/>
            <w:vAlign w:val="center"/>
          </w:tcPr>
          <w:p w14:paraId="2DE77CCD">
            <w:pPr>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4</w:t>
            </w:r>
          </w:p>
        </w:tc>
        <w:tc>
          <w:tcPr>
            <w:tcW w:w="1075" w:type="dxa"/>
            <w:vAlign w:val="center"/>
          </w:tcPr>
          <w:p w14:paraId="24AB9DCA">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输液泵</w:t>
            </w:r>
          </w:p>
        </w:tc>
        <w:tc>
          <w:tcPr>
            <w:tcW w:w="1162" w:type="dxa"/>
            <w:vAlign w:val="center"/>
          </w:tcPr>
          <w:p w14:paraId="66D115A3">
            <w:pPr>
              <w:widowControl/>
              <w:spacing w:line="360" w:lineRule="auto"/>
              <w:jc w:val="center"/>
              <w:rPr>
                <w:rFonts w:ascii="Times New Roman" w:hAnsi="Times New Roman" w:eastAsia="仿宋_GB2312" w:cs="Times New Roman"/>
                <w:szCs w:val="21"/>
              </w:rPr>
            </w:pPr>
            <w:r>
              <w:rPr>
                <w:rFonts w:ascii="Segoe UI Symbol" w:hAnsi="Segoe UI Symbol" w:eastAsia="仿宋_GB2312" w:cs="Segoe UI Symbol"/>
                <w:snapToGrid w:val="0"/>
                <w:kern w:val="0"/>
                <w:szCs w:val="21"/>
                <w:lang w:val="zh-CN"/>
              </w:rPr>
              <w:t>★</w:t>
            </w:r>
          </w:p>
        </w:tc>
        <w:tc>
          <w:tcPr>
            <w:tcW w:w="3919" w:type="dxa"/>
            <w:vAlign w:val="center"/>
          </w:tcPr>
          <w:p w14:paraId="7E380473">
            <w:pPr>
              <w:widowControl/>
              <w:spacing w:line="360" w:lineRule="auto"/>
              <w:jc w:val="left"/>
              <w:rPr>
                <w:rFonts w:ascii="Times New Roman" w:hAnsi="Times New Roman" w:eastAsia="仿宋_GB2312" w:cs="Times New Roman"/>
                <w:szCs w:val="21"/>
              </w:rPr>
            </w:pPr>
            <w:r>
              <w:rPr>
                <w:rFonts w:ascii="Times New Roman" w:hAnsi="Times New Roman" w:eastAsia="仿宋_GB2312" w:cs="Times New Roman"/>
                <w:szCs w:val="21"/>
              </w:rPr>
              <w:t>最高工作压力：70MPa</w:t>
            </w:r>
          </w:p>
        </w:tc>
        <w:tc>
          <w:tcPr>
            <w:tcW w:w="1900" w:type="dxa"/>
            <w:vAlign w:val="center"/>
          </w:tcPr>
          <w:p w14:paraId="460FA1BE">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napToGrid w:val="0"/>
                <w:kern w:val="0"/>
                <w:szCs w:val="21"/>
                <w:lang w:val="zh-CN"/>
              </w:rPr>
              <w:t>是</w:t>
            </w:r>
          </w:p>
        </w:tc>
      </w:tr>
      <w:tr w14:paraId="667A7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64" w:type="dxa"/>
            <w:vAlign w:val="center"/>
          </w:tcPr>
          <w:p w14:paraId="48175098">
            <w:pPr>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5</w:t>
            </w:r>
          </w:p>
        </w:tc>
        <w:tc>
          <w:tcPr>
            <w:tcW w:w="1075" w:type="dxa"/>
            <w:vAlign w:val="center"/>
          </w:tcPr>
          <w:p w14:paraId="417BA6DE">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输液泵</w:t>
            </w:r>
          </w:p>
        </w:tc>
        <w:tc>
          <w:tcPr>
            <w:tcW w:w="1162" w:type="dxa"/>
            <w:vAlign w:val="center"/>
          </w:tcPr>
          <w:p w14:paraId="3FBD6FB6">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napToGrid w:val="0"/>
                <w:kern w:val="0"/>
                <w:szCs w:val="21"/>
                <w:lang w:val="zh-CN"/>
              </w:rPr>
              <w:t>#</w:t>
            </w:r>
          </w:p>
        </w:tc>
        <w:tc>
          <w:tcPr>
            <w:tcW w:w="3919" w:type="dxa"/>
            <w:vAlign w:val="center"/>
          </w:tcPr>
          <w:p w14:paraId="61736385">
            <w:pPr>
              <w:widowControl/>
              <w:spacing w:line="360" w:lineRule="auto"/>
              <w:jc w:val="left"/>
              <w:rPr>
                <w:rFonts w:ascii="Times New Roman" w:hAnsi="Times New Roman" w:eastAsia="仿宋_GB2312" w:cs="Times New Roman"/>
                <w:szCs w:val="21"/>
              </w:rPr>
            </w:pPr>
            <w:r>
              <w:rPr>
                <w:rFonts w:ascii="Times New Roman" w:hAnsi="Times New Roman" w:eastAsia="仿宋_GB2312" w:cs="Times New Roman"/>
                <w:szCs w:val="21"/>
              </w:rPr>
              <w:t>系统具备优异的梯度混合精度，可满足1:99的双流路混合应用</w:t>
            </w:r>
          </w:p>
        </w:tc>
        <w:tc>
          <w:tcPr>
            <w:tcW w:w="1900" w:type="dxa"/>
            <w:vAlign w:val="center"/>
          </w:tcPr>
          <w:p w14:paraId="22BDCD52">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2813B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64" w:type="dxa"/>
            <w:vAlign w:val="center"/>
          </w:tcPr>
          <w:p w14:paraId="03C4589F">
            <w:pPr>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6</w:t>
            </w:r>
          </w:p>
        </w:tc>
        <w:tc>
          <w:tcPr>
            <w:tcW w:w="1075" w:type="dxa"/>
            <w:vAlign w:val="center"/>
          </w:tcPr>
          <w:p w14:paraId="1E886DB5">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输液泵</w:t>
            </w:r>
          </w:p>
        </w:tc>
        <w:tc>
          <w:tcPr>
            <w:tcW w:w="1162" w:type="dxa"/>
            <w:vAlign w:val="center"/>
          </w:tcPr>
          <w:p w14:paraId="72E57717">
            <w:pPr>
              <w:widowControl/>
              <w:spacing w:line="360" w:lineRule="auto"/>
              <w:jc w:val="center"/>
              <w:rPr>
                <w:rFonts w:ascii="Times New Roman" w:hAnsi="Times New Roman" w:eastAsia="仿宋_GB2312" w:cs="Times New Roman"/>
                <w:szCs w:val="21"/>
              </w:rPr>
            </w:pPr>
          </w:p>
        </w:tc>
        <w:tc>
          <w:tcPr>
            <w:tcW w:w="3919" w:type="dxa"/>
            <w:vAlign w:val="center"/>
          </w:tcPr>
          <w:p w14:paraId="6816B25A">
            <w:pPr>
              <w:widowControl/>
              <w:spacing w:line="360" w:lineRule="auto"/>
              <w:jc w:val="left"/>
              <w:rPr>
                <w:rFonts w:ascii="Times New Roman" w:hAnsi="Times New Roman" w:eastAsia="仿宋_GB2312" w:cs="Times New Roman"/>
                <w:szCs w:val="21"/>
              </w:rPr>
            </w:pPr>
            <w:r>
              <w:rPr>
                <w:rFonts w:ascii="Times New Roman" w:hAnsi="Times New Roman" w:eastAsia="仿宋_GB2312" w:cs="Times New Roman"/>
                <w:szCs w:val="21"/>
              </w:rPr>
              <w:t>柱塞清洗：内置柱塞清洗功能，并可选择不清洗、间歇清洗、持续清洗，可编程；清洗隔膜泵免维护</w:t>
            </w:r>
          </w:p>
        </w:tc>
        <w:tc>
          <w:tcPr>
            <w:tcW w:w="1900" w:type="dxa"/>
            <w:vAlign w:val="center"/>
          </w:tcPr>
          <w:p w14:paraId="49C5106B">
            <w:pPr>
              <w:widowControl/>
              <w:spacing w:line="360" w:lineRule="auto"/>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10BEB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864" w:type="dxa"/>
            <w:vAlign w:val="center"/>
          </w:tcPr>
          <w:p w14:paraId="186DCE43">
            <w:pPr>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7</w:t>
            </w:r>
          </w:p>
        </w:tc>
        <w:tc>
          <w:tcPr>
            <w:tcW w:w="1075" w:type="dxa"/>
            <w:vAlign w:val="center"/>
          </w:tcPr>
          <w:p w14:paraId="478EB143">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输液泵</w:t>
            </w:r>
          </w:p>
        </w:tc>
        <w:tc>
          <w:tcPr>
            <w:tcW w:w="1162" w:type="dxa"/>
            <w:vAlign w:val="center"/>
          </w:tcPr>
          <w:p w14:paraId="483337C6">
            <w:pPr>
              <w:widowControl/>
              <w:spacing w:line="360" w:lineRule="auto"/>
              <w:jc w:val="center"/>
              <w:rPr>
                <w:rFonts w:ascii="Times New Roman" w:hAnsi="Times New Roman" w:eastAsia="仿宋_GB2312" w:cs="Times New Roman"/>
                <w:szCs w:val="21"/>
              </w:rPr>
            </w:pPr>
          </w:p>
        </w:tc>
        <w:tc>
          <w:tcPr>
            <w:tcW w:w="3919" w:type="dxa"/>
            <w:vAlign w:val="center"/>
          </w:tcPr>
          <w:p w14:paraId="6FEF7800">
            <w:pPr>
              <w:widowControl/>
              <w:spacing w:line="360" w:lineRule="auto"/>
              <w:jc w:val="left"/>
              <w:rPr>
                <w:rFonts w:ascii="Times New Roman" w:hAnsi="Times New Roman" w:eastAsia="仿宋_GB2312" w:cs="Times New Roman"/>
                <w:szCs w:val="21"/>
              </w:rPr>
            </w:pPr>
            <w:r>
              <w:rPr>
                <w:rFonts w:ascii="Times New Roman" w:hAnsi="Times New Roman" w:eastAsia="仿宋_GB2312" w:cs="Times New Roman"/>
                <w:szCs w:val="21"/>
              </w:rPr>
              <w:t>漏液报警：具有双漏液传感器</w:t>
            </w:r>
          </w:p>
        </w:tc>
        <w:tc>
          <w:tcPr>
            <w:tcW w:w="1900" w:type="dxa"/>
            <w:vAlign w:val="center"/>
          </w:tcPr>
          <w:p w14:paraId="50DB865E">
            <w:pPr>
              <w:widowControl/>
              <w:spacing w:line="360" w:lineRule="auto"/>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63BA0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64" w:type="dxa"/>
            <w:vAlign w:val="center"/>
          </w:tcPr>
          <w:p w14:paraId="7EF5DF97">
            <w:pPr>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8</w:t>
            </w:r>
          </w:p>
        </w:tc>
        <w:tc>
          <w:tcPr>
            <w:tcW w:w="1075" w:type="dxa"/>
            <w:vAlign w:val="center"/>
          </w:tcPr>
          <w:p w14:paraId="398FAE40">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检测器</w:t>
            </w:r>
          </w:p>
        </w:tc>
        <w:tc>
          <w:tcPr>
            <w:tcW w:w="1162" w:type="dxa"/>
            <w:vAlign w:val="center"/>
          </w:tcPr>
          <w:p w14:paraId="581C939B">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napToGrid w:val="0"/>
                <w:kern w:val="0"/>
                <w:szCs w:val="21"/>
                <w:lang w:val="zh-CN"/>
              </w:rPr>
              <w:t>#</w:t>
            </w:r>
          </w:p>
        </w:tc>
        <w:tc>
          <w:tcPr>
            <w:tcW w:w="3919" w:type="dxa"/>
            <w:vAlign w:val="center"/>
          </w:tcPr>
          <w:p w14:paraId="5B5790A7">
            <w:pPr>
              <w:widowControl/>
              <w:spacing w:line="360" w:lineRule="auto"/>
              <w:jc w:val="left"/>
              <w:rPr>
                <w:rFonts w:ascii="Times New Roman" w:hAnsi="Times New Roman" w:eastAsia="仿宋_GB2312" w:cs="Times New Roman"/>
                <w:szCs w:val="21"/>
              </w:rPr>
            </w:pPr>
            <w:r>
              <w:rPr>
                <w:rFonts w:ascii="Times New Roman" w:hAnsi="Times New Roman" w:eastAsia="仿宋_GB2312" w:cs="Times New Roman"/>
                <w:szCs w:val="21"/>
              </w:rPr>
              <w:t>光源：氘灯+钨灯</w:t>
            </w:r>
          </w:p>
        </w:tc>
        <w:tc>
          <w:tcPr>
            <w:tcW w:w="1900" w:type="dxa"/>
            <w:vAlign w:val="center"/>
          </w:tcPr>
          <w:p w14:paraId="49552D5C">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16C1F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64" w:type="dxa"/>
            <w:vAlign w:val="center"/>
          </w:tcPr>
          <w:p w14:paraId="71F83D89">
            <w:pPr>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9</w:t>
            </w:r>
          </w:p>
        </w:tc>
        <w:tc>
          <w:tcPr>
            <w:tcW w:w="1075" w:type="dxa"/>
            <w:vAlign w:val="center"/>
          </w:tcPr>
          <w:p w14:paraId="5B5D959F">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检测器</w:t>
            </w:r>
          </w:p>
        </w:tc>
        <w:tc>
          <w:tcPr>
            <w:tcW w:w="1162" w:type="dxa"/>
            <w:vAlign w:val="center"/>
          </w:tcPr>
          <w:p w14:paraId="3041E17C">
            <w:pPr>
              <w:widowControl/>
              <w:spacing w:line="360" w:lineRule="auto"/>
              <w:jc w:val="center"/>
              <w:rPr>
                <w:rFonts w:ascii="Times New Roman" w:hAnsi="Times New Roman" w:eastAsia="仿宋_GB2312" w:cs="Times New Roman"/>
                <w:szCs w:val="21"/>
              </w:rPr>
            </w:pPr>
          </w:p>
        </w:tc>
        <w:tc>
          <w:tcPr>
            <w:tcW w:w="3919" w:type="dxa"/>
            <w:vAlign w:val="center"/>
          </w:tcPr>
          <w:p w14:paraId="033DB23D">
            <w:pPr>
              <w:widowControl/>
              <w:spacing w:line="360" w:lineRule="auto"/>
              <w:jc w:val="left"/>
              <w:rPr>
                <w:rFonts w:ascii="Times New Roman" w:hAnsi="Times New Roman" w:eastAsia="仿宋_GB2312" w:cs="Times New Roman"/>
                <w:szCs w:val="21"/>
              </w:rPr>
            </w:pPr>
            <w:r>
              <w:rPr>
                <w:rFonts w:ascii="Times New Roman" w:hAnsi="Times New Roman" w:eastAsia="仿宋_GB2312" w:cs="Times New Roman"/>
                <w:szCs w:val="21"/>
              </w:rPr>
              <w:t>波长范围覆盖：190-800nm</w:t>
            </w:r>
          </w:p>
        </w:tc>
        <w:tc>
          <w:tcPr>
            <w:tcW w:w="1900" w:type="dxa"/>
            <w:vAlign w:val="center"/>
          </w:tcPr>
          <w:p w14:paraId="70EB87B4">
            <w:pPr>
              <w:widowControl/>
              <w:spacing w:line="360" w:lineRule="auto"/>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495B0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64" w:type="dxa"/>
            <w:vAlign w:val="center"/>
          </w:tcPr>
          <w:p w14:paraId="29574501">
            <w:pPr>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10</w:t>
            </w:r>
          </w:p>
        </w:tc>
        <w:tc>
          <w:tcPr>
            <w:tcW w:w="1075" w:type="dxa"/>
            <w:vAlign w:val="center"/>
          </w:tcPr>
          <w:p w14:paraId="13FEF482">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检测器</w:t>
            </w:r>
          </w:p>
        </w:tc>
        <w:tc>
          <w:tcPr>
            <w:tcW w:w="1162" w:type="dxa"/>
            <w:vAlign w:val="center"/>
          </w:tcPr>
          <w:p w14:paraId="36F6DB18">
            <w:pPr>
              <w:widowControl/>
              <w:spacing w:line="360" w:lineRule="auto"/>
              <w:jc w:val="center"/>
              <w:rPr>
                <w:rFonts w:ascii="Times New Roman" w:hAnsi="Times New Roman" w:eastAsia="仿宋_GB2312" w:cs="Times New Roman"/>
                <w:szCs w:val="21"/>
              </w:rPr>
            </w:pPr>
          </w:p>
        </w:tc>
        <w:tc>
          <w:tcPr>
            <w:tcW w:w="3919" w:type="dxa"/>
            <w:vAlign w:val="center"/>
          </w:tcPr>
          <w:p w14:paraId="37400694">
            <w:pPr>
              <w:widowControl/>
              <w:spacing w:line="360" w:lineRule="auto"/>
              <w:jc w:val="left"/>
              <w:rPr>
                <w:rFonts w:ascii="Times New Roman" w:hAnsi="Times New Roman" w:eastAsia="仿宋_GB2312" w:cs="Times New Roman"/>
                <w:szCs w:val="21"/>
              </w:rPr>
            </w:pPr>
            <w:r>
              <w:rPr>
                <w:rFonts w:ascii="Times New Roman" w:hAnsi="Times New Roman" w:eastAsia="仿宋_GB2312" w:cs="Times New Roman"/>
                <w:szCs w:val="21"/>
              </w:rPr>
              <w:t>漂移： ±0.5×10-4AU/h；噪音：±0.25×10-5 AU</w:t>
            </w:r>
          </w:p>
        </w:tc>
        <w:tc>
          <w:tcPr>
            <w:tcW w:w="1900" w:type="dxa"/>
            <w:vAlign w:val="center"/>
          </w:tcPr>
          <w:p w14:paraId="2E4933F5">
            <w:pPr>
              <w:widowControl/>
              <w:spacing w:line="360" w:lineRule="auto"/>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6AA38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64" w:type="dxa"/>
            <w:vAlign w:val="center"/>
          </w:tcPr>
          <w:p w14:paraId="457AF8FA">
            <w:pPr>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11</w:t>
            </w:r>
          </w:p>
        </w:tc>
        <w:tc>
          <w:tcPr>
            <w:tcW w:w="1075" w:type="dxa"/>
            <w:vAlign w:val="center"/>
          </w:tcPr>
          <w:p w14:paraId="19AE7B2B">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检测器</w:t>
            </w:r>
          </w:p>
        </w:tc>
        <w:tc>
          <w:tcPr>
            <w:tcW w:w="1162" w:type="dxa"/>
            <w:vAlign w:val="center"/>
          </w:tcPr>
          <w:p w14:paraId="55B7ED1F">
            <w:pPr>
              <w:widowControl/>
              <w:spacing w:line="360" w:lineRule="auto"/>
              <w:jc w:val="center"/>
              <w:rPr>
                <w:rFonts w:ascii="Times New Roman" w:hAnsi="Times New Roman" w:eastAsia="仿宋_GB2312" w:cs="Times New Roman"/>
                <w:szCs w:val="21"/>
              </w:rPr>
            </w:pPr>
          </w:p>
        </w:tc>
        <w:tc>
          <w:tcPr>
            <w:tcW w:w="3919" w:type="dxa"/>
            <w:vAlign w:val="center"/>
          </w:tcPr>
          <w:p w14:paraId="0C10A990">
            <w:pPr>
              <w:widowControl/>
              <w:spacing w:line="360" w:lineRule="auto"/>
              <w:jc w:val="left"/>
              <w:rPr>
                <w:rFonts w:ascii="Times New Roman" w:hAnsi="Times New Roman" w:eastAsia="仿宋_GB2312" w:cs="Times New Roman"/>
                <w:szCs w:val="21"/>
              </w:rPr>
            </w:pPr>
            <w:r>
              <w:rPr>
                <w:rFonts w:ascii="Times New Roman" w:hAnsi="Times New Roman" w:eastAsia="仿宋_GB2312" w:cs="Times New Roman"/>
                <w:szCs w:val="21"/>
              </w:rPr>
              <w:t>检测池耐压：≥10.3 MPa</w:t>
            </w:r>
          </w:p>
        </w:tc>
        <w:tc>
          <w:tcPr>
            <w:tcW w:w="1900" w:type="dxa"/>
            <w:vAlign w:val="center"/>
          </w:tcPr>
          <w:p w14:paraId="7645B0FB">
            <w:pPr>
              <w:widowControl/>
              <w:spacing w:line="360" w:lineRule="auto"/>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49340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64" w:type="dxa"/>
            <w:vAlign w:val="center"/>
          </w:tcPr>
          <w:p w14:paraId="1F378381">
            <w:pPr>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12</w:t>
            </w:r>
          </w:p>
        </w:tc>
        <w:tc>
          <w:tcPr>
            <w:tcW w:w="1075" w:type="dxa"/>
            <w:vAlign w:val="center"/>
          </w:tcPr>
          <w:p w14:paraId="2FBCB6A5">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检测器</w:t>
            </w:r>
          </w:p>
        </w:tc>
        <w:tc>
          <w:tcPr>
            <w:tcW w:w="1162" w:type="dxa"/>
            <w:vAlign w:val="center"/>
          </w:tcPr>
          <w:p w14:paraId="75B7960E">
            <w:pPr>
              <w:widowControl/>
              <w:spacing w:line="360" w:lineRule="auto"/>
              <w:jc w:val="center"/>
              <w:rPr>
                <w:rFonts w:ascii="Times New Roman" w:hAnsi="Times New Roman" w:eastAsia="仿宋_GB2312" w:cs="Times New Roman"/>
                <w:snapToGrid w:val="0"/>
                <w:kern w:val="0"/>
                <w:szCs w:val="21"/>
                <w:lang w:val="zh-CN"/>
              </w:rPr>
            </w:pPr>
          </w:p>
        </w:tc>
        <w:tc>
          <w:tcPr>
            <w:tcW w:w="3919" w:type="dxa"/>
            <w:vAlign w:val="center"/>
          </w:tcPr>
          <w:p w14:paraId="1F04872E">
            <w:pPr>
              <w:widowControl/>
              <w:spacing w:line="360" w:lineRule="auto"/>
              <w:jc w:val="left"/>
              <w:rPr>
                <w:rFonts w:ascii="Times New Roman" w:hAnsi="Times New Roman" w:eastAsia="仿宋_GB2312" w:cs="Times New Roman"/>
                <w:szCs w:val="21"/>
              </w:rPr>
            </w:pPr>
            <w:r>
              <w:rPr>
                <w:rFonts w:ascii="Times New Roman" w:hAnsi="Times New Roman" w:eastAsia="仿宋_GB2312" w:cs="Times New Roman"/>
                <w:szCs w:val="21"/>
              </w:rPr>
              <w:t>分析池（光程：10mm，池体积：11μL）</w:t>
            </w:r>
          </w:p>
        </w:tc>
        <w:tc>
          <w:tcPr>
            <w:tcW w:w="1900" w:type="dxa"/>
            <w:vAlign w:val="center"/>
          </w:tcPr>
          <w:p w14:paraId="0BC2BF5D">
            <w:pPr>
              <w:widowControl/>
              <w:spacing w:line="360" w:lineRule="auto"/>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68495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64" w:type="dxa"/>
            <w:vAlign w:val="center"/>
          </w:tcPr>
          <w:p w14:paraId="6C5CA473">
            <w:pPr>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13</w:t>
            </w:r>
          </w:p>
        </w:tc>
        <w:tc>
          <w:tcPr>
            <w:tcW w:w="1075" w:type="dxa"/>
            <w:vAlign w:val="center"/>
          </w:tcPr>
          <w:p w14:paraId="391DB7C7">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检测器</w:t>
            </w:r>
          </w:p>
        </w:tc>
        <w:tc>
          <w:tcPr>
            <w:tcW w:w="1162" w:type="dxa"/>
            <w:vAlign w:val="center"/>
          </w:tcPr>
          <w:p w14:paraId="44202BA1">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napToGrid w:val="0"/>
                <w:kern w:val="0"/>
                <w:szCs w:val="21"/>
                <w:lang w:val="zh-CN"/>
              </w:rPr>
              <w:t>#</w:t>
            </w:r>
          </w:p>
        </w:tc>
        <w:tc>
          <w:tcPr>
            <w:tcW w:w="3919" w:type="dxa"/>
            <w:vAlign w:val="center"/>
          </w:tcPr>
          <w:p w14:paraId="21368D44">
            <w:pPr>
              <w:widowControl/>
              <w:spacing w:line="360" w:lineRule="auto"/>
              <w:jc w:val="left"/>
              <w:rPr>
                <w:rFonts w:ascii="Times New Roman" w:hAnsi="Times New Roman" w:eastAsia="仿宋_GB2312" w:cs="Times New Roman"/>
                <w:szCs w:val="21"/>
              </w:rPr>
            </w:pPr>
            <w:r>
              <w:rPr>
                <w:rFonts w:ascii="Times New Roman" w:hAnsi="Times New Roman" w:eastAsia="仿宋_GB2312" w:cs="Times New Roman"/>
                <w:szCs w:val="21"/>
              </w:rPr>
              <w:t>具有停泵光谱扫描功能（提供软件截图以及第三方出具的证明文件）</w:t>
            </w:r>
          </w:p>
        </w:tc>
        <w:tc>
          <w:tcPr>
            <w:tcW w:w="1900" w:type="dxa"/>
            <w:vAlign w:val="center"/>
          </w:tcPr>
          <w:p w14:paraId="44D63202">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0A878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64" w:type="dxa"/>
            <w:vAlign w:val="center"/>
          </w:tcPr>
          <w:p w14:paraId="61456998">
            <w:pPr>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14</w:t>
            </w:r>
          </w:p>
        </w:tc>
        <w:tc>
          <w:tcPr>
            <w:tcW w:w="1075" w:type="dxa"/>
            <w:vAlign w:val="center"/>
          </w:tcPr>
          <w:p w14:paraId="3EF0D5DE">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检测器</w:t>
            </w:r>
          </w:p>
        </w:tc>
        <w:tc>
          <w:tcPr>
            <w:tcW w:w="1162" w:type="dxa"/>
            <w:vAlign w:val="center"/>
          </w:tcPr>
          <w:p w14:paraId="384983D6">
            <w:pPr>
              <w:widowControl/>
              <w:spacing w:line="360" w:lineRule="auto"/>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lang w:val="zh-CN"/>
              </w:rPr>
              <w:t>#</w:t>
            </w:r>
          </w:p>
        </w:tc>
        <w:tc>
          <w:tcPr>
            <w:tcW w:w="3919" w:type="dxa"/>
            <w:vAlign w:val="center"/>
          </w:tcPr>
          <w:p w14:paraId="77536894">
            <w:pPr>
              <w:widowControl/>
              <w:spacing w:line="360" w:lineRule="auto"/>
              <w:jc w:val="left"/>
              <w:rPr>
                <w:rFonts w:ascii="Times New Roman" w:hAnsi="Times New Roman" w:eastAsia="仿宋_GB2312" w:cs="Times New Roman"/>
                <w:szCs w:val="21"/>
              </w:rPr>
            </w:pPr>
            <w:r>
              <w:rPr>
                <w:rFonts w:ascii="Times New Roman" w:hAnsi="Times New Roman" w:eastAsia="仿宋_GB2312" w:cs="Times New Roman"/>
                <w:szCs w:val="21"/>
              </w:rPr>
              <w:t>检测器应具备有效消除高次光谱(如二级光谱)干扰的能力，确保在宽波长范围内均能获得纯净、准确的光谱信号(（需提供第三方出具的证明文件）</w:t>
            </w:r>
          </w:p>
        </w:tc>
        <w:tc>
          <w:tcPr>
            <w:tcW w:w="1900" w:type="dxa"/>
            <w:vAlign w:val="center"/>
          </w:tcPr>
          <w:p w14:paraId="55DFECAD">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55B3E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64" w:type="dxa"/>
            <w:vAlign w:val="center"/>
          </w:tcPr>
          <w:p w14:paraId="0D345A06">
            <w:pPr>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15</w:t>
            </w:r>
          </w:p>
        </w:tc>
        <w:tc>
          <w:tcPr>
            <w:tcW w:w="1075" w:type="dxa"/>
            <w:vAlign w:val="center"/>
          </w:tcPr>
          <w:p w14:paraId="2C6E5A31">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软件操作系统</w:t>
            </w:r>
          </w:p>
        </w:tc>
        <w:tc>
          <w:tcPr>
            <w:tcW w:w="1162" w:type="dxa"/>
            <w:vAlign w:val="center"/>
          </w:tcPr>
          <w:p w14:paraId="2086E49E">
            <w:pPr>
              <w:widowControl/>
              <w:spacing w:line="360" w:lineRule="auto"/>
              <w:jc w:val="center"/>
              <w:rPr>
                <w:rFonts w:ascii="Times New Roman" w:hAnsi="Times New Roman" w:eastAsia="仿宋_GB2312" w:cs="Times New Roman"/>
                <w:snapToGrid w:val="0"/>
                <w:kern w:val="0"/>
                <w:szCs w:val="21"/>
                <w:lang w:val="zh-CN"/>
              </w:rPr>
            </w:pPr>
          </w:p>
        </w:tc>
        <w:tc>
          <w:tcPr>
            <w:tcW w:w="3919" w:type="dxa"/>
            <w:vAlign w:val="center"/>
          </w:tcPr>
          <w:p w14:paraId="71FD3A91">
            <w:pPr>
              <w:widowControl/>
              <w:spacing w:line="360" w:lineRule="auto"/>
              <w:jc w:val="left"/>
              <w:rPr>
                <w:rFonts w:ascii="Times New Roman" w:hAnsi="Times New Roman" w:eastAsia="仿宋_GB2312" w:cs="Times New Roman"/>
                <w:szCs w:val="21"/>
              </w:rPr>
            </w:pPr>
            <w:r>
              <w:rPr>
                <w:rFonts w:ascii="Times New Roman" w:hAnsi="Times New Roman" w:eastAsia="仿宋_GB2312" w:cs="Times New Roman"/>
                <w:szCs w:val="21"/>
              </w:rPr>
              <w:t>审计追踪：审计追踪以及电子签名符合CFDA、GMP、CGMP、21CFR Part11、ICH指南等法律法规要求的数据完整性管理规范。</w:t>
            </w:r>
          </w:p>
        </w:tc>
        <w:tc>
          <w:tcPr>
            <w:tcW w:w="1900" w:type="dxa"/>
            <w:vAlign w:val="center"/>
          </w:tcPr>
          <w:p w14:paraId="1ABCBD38">
            <w:pPr>
              <w:widowControl/>
              <w:spacing w:line="360" w:lineRule="auto"/>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68167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64" w:type="dxa"/>
            <w:vAlign w:val="center"/>
          </w:tcPr>
          <w:p w14:paraId="70BBD320">
            <w:pPr>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16</w:t>
            </w:r>
          </w:p>
        </w:tc>
        <w:tc>
          <w:tcPr>
            <w:tcW w:w="1075" w:type="dxa"/>
            <w:vAlign w:val="center"/>
          </w:tcPr>
          <w:p w14:paraId="709F5D65">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软件操作系统</w:t>
            </w:r>
          </w:p>
        </w:tc>
        <w:tc>
          <w:tcPr>
            <w:tcW w:w="1162" w:type="dxa"/>
            <w:vAlign w:val="center"/>
          </w:tcPr>
          <w:p w14:paraId="2CCEE5C0">
            <w:pPr>
              <w:widowControl/>
              <w:spacing w:line="360" w:lineRule="auto"/>
              <w:jc w:val="center"/>
              <w:rPr>
                <w:rFonts w:ascii="Times New Roman" w:hAnsi="Times New Roman" w:eastAsia="仿宋_GB2312" w:cs="Times New Roman"/>
                <w:snapToGrid w:val="0"/>
                <w:kern w:val="0"/>
                <w:szCs w:val="21"/>
                <w:lang w:val="zh-CN"/>
              </w:rPr>
            </w:pPr>
          </w:p>
        </w:tc>
        <w:tc>
          <w:tcPr>
            <w:tcW w:w="3919" w:type="dxa"/>
            <w:vAlign w:val="center"/>
          </w:tcPr>
          <w:p w14:paraId="1850CC8C">
            <w:pPr>
              <w:widowControl/>
              <w:spacing w:line="360" w:lineRule="auto"/>
              <w:jc w:val="left"/>
              <w:rPr>
                <w:rFonts w:ascii="Times New Roman" w:hAnsi="Times New Roman" w:eastAsia="仿宋_GB2312" w:cs="Times New Roman"/>
                <w:szCs w:val="21"/>
              </w:rPr>
            </w:pPr>
            <w:r>
              <w:rPr>
                <w:rFonts w:ascii="Times New Roman" w:hAnsi="Times New Roman" w:eastAsia="仿宋_GB2312" w:cs="Times New Roman"/>
                <w:szCs w:val="21"/>
              </w:rPr>
              <w:t>数据存储：具有完备的Mysql数据库存储功能，安全性符合CFDA要求</w:t>
            </w:r>
          </w:p>
        </w:tc>
        <w:tc>
          <w:tcPr>
            <w:tcW w:w="1900" w:type="dxa"/>
            <w:vAlign w:val="center"/>
          </w:tcPr>
          <w:p w14:paraId="6EC3C982">
            <w:pPr>
              <w:widowControl/>
              <w:spacing w:line="360" w:lineRule="auto"/>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5B2A2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64" w:type="dxa"/>
            <w:vAlign w:val="center"/>
          </w:tcPr>
          <w:p w14:paraId="41135BAD">
            <w:pPr>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17</w:t>
            </w:r>
          </w:p>
        </w:tc>
        <w:tc>
          <w:tcPr>
            <w:tcW w:w="1075" w:type="dxa"/>
            <w:vAlign w:val="center"/>
          </w:tcPr>
          <w:p w14:paraId="1EB0CCEC">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软件操作系统</w:t>
            </w:r>
          </w:p>
        </w:tc>
        <w:tc>
          <w:tcPr>
            <w:tcW w:w="1162" w:type="dxa"/>
            <w:vAlign w:val="center"/>
          </w:tcPr>
          <w:p w14:paraId="7FB241BD">
            <w:pPr>
              <w:widowControl/>
              <w:spacing w:line="360" w:lineRule="auto"/>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lang w:val="zh-CN"/>
              </w:rPr>
              <w:t>#</w:t>
            </w:r>
          </w:p>
        </w:tc>
        <w:tc>
          <w:tcPr>
            <w:tcW w:w="3919" w:type="dxa"/>
            <w:vAlign w:val="center"/>
          </w:tcPr>
          <w:p w14:paraId="7490DEDA">
            <w:pPr>
              <w:widowControl/>
              <w:spacing w:line="360" w:lineRule="auto"/>
              <w:jc w:val="left"/>
              <w:rPr>
                <w:rFonts w:ascii="Times New Roman" w:hAnsi="Times New Roman" w:eastAsia="仿宋_GB2312" w:cs="Times New Roman"/>
                <w:szCs w:val="21"/>
              </w:rPr>
            </w:pPr>
            <w:r>
              <w:rPr>
                <w:rFonts w:ascii="Times New Roman" w:hAnsi="Times New Roman" w:eastAsia="仿宋_GB2312" w:cs="Times New Roman"/>
                <w:szCs w:val="21"/>
              </w:rPr>
              <w:t>可免费升级整合微纳输液泵梯度控制软件（提供软件截图及证书）</w:t>
            </w:r>
          </w:p>
        </w:tc>
        <w:tc>
          <w:tcPr>
            <w:tcW w:w="1900" w:type="dxa"/>
            <w:vAlign w:val="center"/>
          </w:tcPr>
          <w:p w14:paraId="74C24050">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5E1CF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64" w:type="dxa"/>
            <w:vAlign w:val="center"/>
          </w:tcPr>
          <w:p w14:paraId="7AE554D5">
            <w:pPr>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18</w:t>
            </w:r>
          </w:p>
        </w:tc>
        <w:tc>
          <w:tcPr>
            <w:tcW w:w="1075" w:type="dxa"/>
            <w:vAlign w:val="center"/>
          </w:tcPr>
          <w:p w14:paraId="4AF45E1F">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柱温箱</w:t>
            </w:r>
          </w:p>
        </w:tc>
        <w:tc>
          <w:tcPr>
            <w:tcW w:w="1162" w:type="dxa"/>
            <w:vAlign w:val="center"/>
          </w:tcPr>
          <w:p w14:paraId="1BCBB716">
            <w:pPr>
              <w:widowControl/>
              <w:spacing w:line="360" w:lineRule="auto"/>
              <w:jc w:val="center"/>
              <w:rPr>
                <w:rFonts w:ascii="Times New Roman" w:hAnsi="Times New Roman" w:eastAsia="仿宋_GB2312" w:cs="Times New Roman"/>
                <w:snapToGrid w:val="0"/>
                <w:kern w:val="0"/>
                <w:szCs w:val="21"/>
                <w:lang w:val="zh-CN"/>
              </w:rPr>
            </w:pPr>
          </w:p>
        </w:tc>
        <w:tc>
          <w:tcPr>
            <w:tcW w:w="3919" w:type="dxa"/>
            <w:vAlign w:val="center"/>
          </w:tcPr>
          <w:p w14:paraId="713B8914">
            <w:pPr>
              <w:widowControl/>
              <w:spacing w:line="360" w:lineRule="auto"/>
              <w:jc w:val="left"/>
              <w:rPr>
                <w:rFonts w:ascii="Times New Roman" w:hAnsi="Times New Roman" w:eastAsia="仿宋_GB2312" w:cs="Times New Roman"/>
                <w:szCs w:val="21"/>
              </w:rPr>
            </w:pPr>
            <w:r>
              <w:rPr>
                <w:rFonts w:ascii="Times New Roman" w:hAnsi="Times New Roman" w:eastAsia="仿宋_GB2312" w:cs="Times New Roman"/>
                <w:szCs w:val="21"/>
              </w:rPr>
              <w:t>控制温度范围：室温+5~99℃</w:t>
            </w:r>
          </w:p>
        </w:tc>
        <w:tc>
          <w:tcPr>
            <w:tcW w:w="1900" w:type="dxa"/>
            <w:vAlign w:val="center"/>
          </w:tcPr>
          <w:p w14:paraId="1406A60D">
            <w:pPr>
              <w:widowControl/>
              <w:spacing w:line="360" w:lineRule="auto"/>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3984C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64" w:type="dxa"/>
            <w:vAlign w:val="center"/>
          </w:tcPr>
          <w:p w14:paraId="1810575B">
            <w:pPr>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19</w:t>
            </w:r>
          </w:p>
        </w:tc>
        <w:tc>
          <w:tcPr>
            <w:tcW w:w="1075" w:type="dxa"/>
            <w:vAlign w:val="center"/>
          </w:tcPr>
          <w:p w14:paraId="45F40983">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柱温箱</w:t>
            </w:r>
          </w:p>
        </w:tc>
        <w:tc>
          <w:tcPr>
            <w:tcW w:w="1162" w:type="dxa"/>
            <w:vAlign w:val="center"/>
          </w:tcPr>
          <w:p w14:paraId="3E1DBD0F">
            <w:pPr>
              <w:widowControl/>
              <w:spacing w:line="360" w:lineRule="auto"/>
              <w:jc w:val="center"/>
              <w:rPr>
                <w:rFonts w:ascii="Times New Roman" w:hAnsi="Times New Roman" w:eastAsia="仿宋_GB2312" w:cs="Times New Roman"/>
                <w:snapToGrid w:val="0"/>
                <w:kern w:val="0"/>
                <w:szCs w:val="21"/>
                <w:lang w:val="zh-CN"/>
              </w:rPr>
            </w:pPr>
          </w:p>
        </w:tc>
        <w:tc>
          <w:tcPr>
            <w:tcW w:w="3919" w:type="dxa"/>
            <w:vAlign w:val="center"/>
          </w:tcPr>
          <w:p w14:paraId="15EAB375">
            <w:pPr>
              <w:widowControl/>
              <w:spacing w:line="360" w:lineRule="auto"/>
              <w:jc w:val="left"/>
              <w:rPr>
                <w:rFonts w:ascii="Times New Roman" w:hAnsi="Times New Roman" w:eastAsia="仿宋_GB2312" w:cs="Times New Roman"/>
                <w:szCs w:val="21"/>
              </w:rPr>
            </w:pPr>
            <w:r>
              <w:rPr>
                <w:rFonts w:ascii="Times New Roman" w:hAnsi="Times New Roman" w:eastAsia="仿宋_GB2312" w:cs="Times New Roman"/>
                <w:szCs w:val="21"/>
              </w:rPr>
              <w:t>温度准确性：±0.5℃</w:t>
            </w:r>
          </w:p>
          <w:p w14:paraId="67F33C29">
            <w:pPr>
              <w:widowControl/>
              <w:spacing w:line="360" w:lineRule="auto"/>
              <w:jc w:val="left"/>
              <w:rPr>
                <w:rFonts w:ascii="Times New Roman" w:hAnsi="Times New Roman" w:eastAsia="仿宋_GB2312" w:cs="Times New Roman"/>
                <w:szCs w:val="21"/>
              </w:rPr>
            </w:pPr>
            <w:r>
              <w:rPr>
                <w:rFonts w:ascii="Times New Roman" w:hAnsi="Times New Roman" w:eastAsia="仿宋_GB2312" w:cs="Times New Roman"/>
                <w:szCs w:val="21"/>
              </w:rPr>
              <w:t>控温精度：≤0.1℃</w:t>
            </w:r>
          </w:p>
        </w:tc>
        <w:tc>
          <w:tcPr>
            <w:tcW w:w="1900" w:type="dxa"/>
            <w:vAlign w:val="center"/>
          </w:tcPr>
          <w:p w14:paraId="7957D49F">
            <w:pPr>
              <w:widowControl/>
              <w:spacing w:line="360" w:lineRule="auto"/>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24958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64" w:type="dxa"/>
            <w:vAlign w:val="center"/>
          </w:tcPr>
          <w:p w14:paraId="37022034">
            <w:pPr>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20</w:t>
            </w:r>
          </w:p>
        </w:tc>
        <w:tc>
          <w:tcPr>
            <w:tcW w:w="1075" w:type="dxa"/>
            <w:vAlign w:val="center"/>
          </w:tcPr>
          <w:p w14:paraId="679A2BC7">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自动进样器</w:t>
            </w:r>
          </w:p>
        </w:tc>
        <w:tc>
          <w:tcPr>
            <w:tcW w:w="1162" w:type="dxa"/>
            <w:vAlign w:val="center"/>
          </w:tcPr>
          <w:p w14:paraId="208E56AC">
            <w:pPr>
              <w:widowControl/>
              <w:spacing w:line="360" w:lineRule="auto"/>
              <w:jc w:val="center"/>
              <w:rPr>
                <w:rFonts w:ascii="Times New Roman" w:hAnsi="Times New Roman" w:eastAsia="仿宋_GB2312" w:cs="Times New Roman"/>
                <w:snapToGrid w:val="0"/>
                <w:kern w:val="0"/>
                <w:szCs w:val="21"/>
                <w:lang w:val="zh-CN"/>
              </w:rPr>
            </w:pPr>
          </w:p>
        </w:tc>
        <w:tc>
          <w:tcPr>
            <w:tcW w:w="3919" w:type="dxa"/>
            <w:vAlign w:val="center"/>
          </w:tcPr>
          <w:p w14:paraId="0F9FD51C">
            <w:pPr>
              <w:widowControl/>
              <w:spacing w:line="360" w:lineRule="auto"/>
              <w:jc w:val="left"/>
              <w:rPr>
                <w:rFonts w:ascii="Times New Roman" w:hAnsi="Times New Roman" w:eastAsia="仿宋_GB2312" w:cs="Times New Roman"/>
                <w:szCs w:val="21"/>
              </w:rPr>
            </w:pPr>
            <w:r>
              <w:rPr>
                <w:rFonts w:ascii="Times New Roman" w:hAnsi="Times New Roman" w:eastAsia="仿宋_GB2312" w:cs="Times New Roman"/>
                <w:szCs w:val="21"/>
              </w:rPr>
              <w:t>进样范围：0-100μL</w:t>
            </w:r>
          </w:p>
        </w:tc>
        <w:tc>
          <w:tcPr>
            <w:tcW w:w="1900" w:type="dxa"/>
            <w:vAlign w:val="center"/>
          </w:tcPr>
          <w:p w14:paraId="01BF57BC">
            <w:pPr>
              <w:widowControl/>
              <w:spacing w:line="360" w:lineRule="auto"/>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3B467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64" w:type="dxa"/>
            <w:vAlign w:val="center"/>
          </w:tcPr>
          <w:p w14:paraId="16BBE249">
            <w:pPr>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21</w:t>
            </w:r>
          </w:p>
        </w:tc>
        <w:tc>
          <w:tcPr>
            <w:tcW w:w="1075" w:type="dxa"/>
            <w:vAlign w:val="center"/>
          </w:tcPr>
          <w:p w14:paraId="40E4D214">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自动进样器</w:t>
            </w:r>
          </w:p>
        </w:tc>
        <w:tc>
          <w:tcPr>
            <w:tcW w:w="1162" w:type="dxa"/>
            <w:vAlign w:val="center"/>
          </w:tcPr>
          <w:p w14:paraId="255C0EA7">
            <w:pPr>
              <w:widowControl/>
              <w:spacing w:line="360" w:lineRule="auto"/>
              <w:jc w:val="center"/>
              <w:rPr>
                <w:rFonts w:ascii="Times New Roman" w:hAnsi="Times New Roman" w:eastAsia="仿宋_GB2312" w:cs="Times New Roman"/>
                <w:snapToGrid w:val="0"/>
                <w:kern w:val="0"/>
                <w:szCs w:val="21"/>
                <w:lang w:val="zh-CN"/>
              </w:rPr>
            </w:pPr>
          </w:p>
        </w:tc>
        <w:tc>
          <w:tcPr>
            <w:tcW w:w="3919" w:type="dxa"/>
            <w:vAlign w:val="center"/>
          </w:tcPr>
          <w:p w14:paraId="57AAD7C9">
            <w:pPr>
              <w:widowControl/>
              <w:spacing w:line="360" w:lineRule="auto"/>
              <w:jc w:val="left"/>
              <w:rPr>
                <w:rFonts w:ascii="Times New Roman" w:hAnsi="Times New Roman" w:eastAsia="仿宋_GB2312" w:cs="Times New Roman"/>
                <w:szCs w:val="21"/>
              </w:rPr>
            </w:pPr>
            <w:r>
              <w:rPr>
                <w:rFonts w:ascii="Times New Roman" w:hAnsi="Times New Roman" w:eastAsia="仿宋_GB2312" w:cs="Times New Roman"/>
                <w:szCs w:val="21"/>
              </w:rPr>
              <w:t>最大耐压：45MPa，可升级至102MPa、120MPa</w:t>
            </w:r>
          </w:p>
        </w:tc>
        <w:tc>
          <w:tcPr>
            <w:tcW w:w="1900" w:type="dxa"/>
            <w:vAlign w:val="center"/>
          </w:tcPr>
          <w:p w14:paraId="50251FEC">
            <w:pPr>
              <w:widowControl/>
              <w:spacing w:line="360" w:lineRule="auto"/>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3CF77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64" w:type="dxa"/>
            <w:vAlign w:val="center"/>
          </w:tcPr>
          <w:p w14:paraId="1A072902">
            <w:pPr>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22</w:t>
            </w:r>
          </w:p>
        </w:tc>
        <w:tc>
          <w:tcPr>
            <w:tcW w:w="1075" w:type="dxa"/>
            <w:vAlign w:val="center"/>
          </w:tcPr>
          <w:p w14:paraId="1FBCEF8B">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自动进样器</w:t>
            </w:r>
          </w:p>
        </w:tc>
        <w:tc>
          <w:tcPr>
            <w:tcW w:w="1162" w:type="dxa"/>
            <w:vAlign w:val="center"/>
          </w:tcPr>
          <w:p w14:paraId="2E3E7BB8">
            <w:pPr>
              <w:widowControl/>
              <w:spacing w:line="360" w:lineRule="auto"/>
              <w:jc w:val="center"/>
              <w:rPr>
                <w:rFonts w:ascii="Times New Roman" w:hAnsi="Times New Roman" w:eastAsia="仿宋_GB2312" w:cs="Times New Roman"/>
                <w:snapToGrid w:val="0"/>
                <w:kern w:val="0"/>
                <w:szCs w:val="21"/>
                <w:lang w:val="zh-CN"/>
              </w:rPr>
            </w:pPr>
          </w:p>
        </w:tc>
        <w:tc>
          <w:tcPr>
            <w:tcW w:w="3919" w:type="dxa"/>
            <w:vAlign w:val="center"/>
          </w:tcPr>
          <w:p w14:paraId="2E1CFB9D">
            <w:pPr>
              <w:widowControl/>
              <w:spacing w:line="360" w:lineRule="auto"/>
              <w:jc w:val="left"/>
              <w:rPr>
                <w:rFonts w:ascii="Times New Roman" w:hAnsi="Times New Roman" w:eastAsia="仿宋_GB2312" w:cs="Times New Roman"/>
                <w:szCs w:val="21"/>
              </w:rPr>
            </w:pPr>
            <w:r>
              <w:rPr>
                <w:rFonts w:ascii="Times New Roman" w:hAnsi="Times New Roman" w:eastAsia="仿宋_GB2312" w:cs="Times New Roman"/>
                <w:szCs w:val="21"/>
              </w:rPr>
              <w:t>样品残留：＜0.005%</w:t>
            </w:r>
          </w:p>
        </w:tc>
        <w:tc>
          <w:tcPr>
            <w:tcW w:w="1900" w:type="dxa"/>
            <w:vAlign w:val="center"/>
          </w:tcPr>
          <w:p w14:paraId="28ED9199">
            <w:pPr>
              <w:widowControl/>
              <w:spacing w:line="360" w:lineRule="auto"/>
              <w:jc w:val="center"/>
              <w:rPr>
                <w:rFonts w:ascii="Times New Roman" w:hAnsi="Times New Roman" w:eastAsia="仿宋_GB2312" w:cs="Times New Roman"/>
                <w:szCs w:val="21"/>
              </w:rPr>
            </w:pPr>
            <w:r>
              <w:rPr>
                <w:rFonts w:hint="eastAsia" w:ascii="Times New Roman" w:hAnsi="Times New Roman" w:eastAsia="仿宋_GB2312" w:cs="Times New Roman"/>
                <w:szCs w:val="21"/>
              </w:rPr>
              <w:t>否</w:t>
            </w:r>
          </w:p>
        </w:tc>
      </w:tr>
      <w:tr w14:paraId="3356A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64" w:type="dxa"/>
            <w:vAlign w:val="center"/>
          </w:tcPr>
          <w:p w14:paraId="7C06673B">
            <w:pPr>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23</w:t>
            </w:r>
          </w:p>
        </w:tc>
        <w:tc>
          <w:tcPr>
            <w:tcW w:w="1075" w:type="dxa"/>
            <w:vAlign w:val="center"/>
          </w:tcPr>
          <w:p w14:paraId="1CB33FA4">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自动进样器</w:t>
            </w:r>
          </w:p>
        </w:tc>
        <w:tc>
          <w:tcPr>
            <w:tcW w:w="1162" w:type="dxa"/>
            <w:vAlign w:val="center"/>
          </w:tcPr>
          <w:p w14:paraId="239D3E23">
            <w:pPr>
              <w:widowControl/>
              <w:spacing w:line="360" w:lineRule="auto"/>
              <w:jc w:val="center"/>
              <w:rPr>
                <w:rFonts w:ascii="Times New Roman" w:hAnsi="Times New Roman" w:eastAsia="仿宋_GB2312" w:cs="Times New Roman"/>
                <w:snapToGrid w:val="0"/>
                <w:kern w:val="0"/>
                <w:szCs w:val="21"/>
                <w:lang w:val="zh-CN"/>
              </w:rPr>
            </w:pPr>
            <w:r>
              <w:rPr>
                <w:rFonts w:ascii="Segoe UI Symbol" w:hAnsi="Segoe UI Symbol" w:eastAsia="仿宋_GB2312" w:cs="Segoe UI Symbol"/>
                <w:snapToGrid w:val="0"/>
                <w:kern w:val="0"/>
                <w:szCs w:val="21"/>
                <w:lang w:val="zh-CN"/>
              </w:rPr>
              <w:t>★</w:t>
            </w:r>
          </w:p>
        </w:tc>
        <w:tc>
          <w:tcPr>
            <w:tcW w:w="3919" w:type="dxa"/>
            <w:vAlign w:val="center"/>
          </w:tcPr>
          <w:p w14:paraId="62658A19">
            <w:pPr>
              <w:widowControl/>
              <w:spacing w:line="360" w:lineRule="auto"/>
              <w:jc w:val="left"/>
              <w:rPr>
                <w:rFonts w:ascii="Times New Roman" w:hAnsi="Times New Roman" w:eastAsia="仿宋_GB2312" w:cs="Times New Roman"/>
                <w:szCs w:val="21"/>
              </w:rPr>
            </w:pPr>
            <w:r>
              <w:rPr>
                <w:rFonts w:ascii="Times New Roman" w:hAnsi="Times New Roman" w:eastAsia="仿宋_GB2312" w:cs="Times New Roman"/>
                <w:szCs w:val="21"/>
              </w:rPr>
              <w:t>样品瓶数量及规格可选：</w:t>
            </w:r>
          </w:p>
          <w:p w14:paraId="6C6FC290">
            <w:pPr>
              <w:widowControl/>
              <w:spacing w:line="360" w:lineRule="auto"/>
              <w:jc w:val="left"/>
              <w:rPr>
                <w:rFonts w:ascii="Times New Roman" w:hAnsi="Times New Roman" w:eastAsia="仿宋_GB2312" w:cs="Times New Roman"/>
                <w:szCs w:val="21"/>
              </w:rPr>
            </w:pPr>
            <w:r>
              <w:rPr>
                <w:rFonts w:ascii="Times New Roman" w:hAnsi="Times New Roman" w:eastAsia="仿宋_GB2312" w:cs="Times New Roman"/>
                <w:szCs w:val="21"/>
              </w:rPr>
              <w:t>标配120位（2mL样品瓶）；</w:t>
            </w:r>
          </w:p>
          <w:p w14:paraId="1687F438">
            <w:pPr>
              <w:widowControl/>
              <w:spacing w:line="360" w:lineRule="auto"/>
              <w:jc w:val="left"/>
              <w:rPr>
                <w:rFonts w:ascii="Times New Roman" w:hAnsi="Times New Roman" w:eastAsia="仿宋_GB2312" w:cs="Times New Roman"/>
                <w:szCs w:val="21"/>
              </w:rPr>
            </w:pPr>
            <w:r>
              <w:rPr>
                <w:rFonts w:ascii="Times New Roman" w:hAnsi="Times New Roman" w:eastAsia="仿宋_GB2312" w:cs="Times New Roman"/>
                <w:szCs w:val="21"/>
              </w:rPr>
              <w:t>可选配72位（4mL样品瓶）；</w:t>
            </w:r>
          </w:p>
          <w:p w14:paraId="78B0BD04">
            <w:pPr>
              <w:widowControl/>
              <w:spacing w:line="360" w:lineRule="auto"/>
              <w:jc w:val="left"/>
              <w:rPr>
                <w:rFonts w:ascii="Times New Roman" w:hAnsi="Times New Roman" w:eastAsia="仿宋_GB2312" w:cs="Times New Roman"/>
                <w:szCs w:val="21"/>
              </w:rPr>
            </w:pPr>
            <w:r>
              <w:rPr>
                <w:rFonts w:ascii="Times New Roman" w:hAnsi="Times New Roman" w:eastAsia="仿宋_GB2312" w:cs="Times New Roman"/>
                <w:szCs w:val="21"/>
              </w:rPr>
              <w:t>可选配210位（1mL样品瓶）</w:t>
            </w:r>
          </w:p>
        </w:tc>
        <w:tc>
          <w:tcPr>
            <w:tcW w:w="1900" w:type="dxa"/>
            <w:vAlign w:val="center"/>
          </w:tcPr>
          <w:p w14:paraId="2F5036E5">
            <w:pPr>
              <w:widowControl/>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bl>
    <w:p w14:paraId="3EE3769F">
      <w:pPr>
        <w:autoSpaceDE w:val="0"/>
        <w:autoSpaceDN w:val="0"/>
        <w:adjustRightInd w:val="0"/>
        <w:snapToGrid w:val="0"/>
        <w:spacing w:before="156" w:beforeLines="50" w:line="360" w:lineRule="auto"/>
        <w:jc w:val="left"/>
        <w:rPr>
          <w:rFonts w:ascii="Times New Roman" w:hAnsi="Times New Roman" w:eastAsia="仿宋_GB2312" w:cs="Times New Roman"/>
          <w:b/>
          <w:snapToGrid w:val="0"/>
          <w:kern w:val="0"/>
          <w:sz w:val="24"/>
          <w:szCs w:val="24"/>
          <w:lang w:val="zh-CN"/>
        </w:rPr>
      </w:pPr>
      <w:r>
        <w:rPr>
          <w:rFonts w:ascii="Times New Roman" w:hAnsi="Times New Roman" w:eastAsia="仿宋_GB2312" w:cs="Times New Roman"/>
          <w:b/>
          <w:snapToGrid w:val="0"/>
          <w:kern w:val="0"/>
          <w:sz w:val="24"/>
          <w:szCs w:val="24"/>
          <w:lang w:val="zh-CN"/>
        </w:rPr>
        <w:t>说明：</w:t>
      </w:r>
    </w:p>
    <w:p w14:paraId="374A781F">
      <w:pPr>
        <w:autoSpaceDE w:val="0"/>
        <w:autoSpaceDN w:val="0"/>
        <w:adjustRightInd w:val="0"/>
        <w:snapToGrid w:val="0"/>
        <w:spacing w:line="360" w:lineRule="auto"/>
        <w:ind w:firstLine="480" w:firstLineChars="200"/>
        <w:jc w:val="left"/>
        <w:rPr>
          <w:rFonts w:ascii="Times New Roman" w:hAnsi="Times New Roman" w:eastAsia="仿宋_GB2312" w:cs="Times New Roman"/>
          <w:snapToGrid w:val="0"/>
          <w:kern w:val="0"/>
          <w:sz w:val="24"/>
          <w:szCs w:val="24"/>
          <w:lang w:val="zh-CN"/>
        </w:rPr>
      </w:pPr>
      <w:r>
        <w:rPr>
          <w:rFonts w:ascii="Times New Roman" w:hAnsi="Times New Roman" w:eastAsia="仿宋_GB2312" w:cs="Times New Roman"/>
          <w:snapToGrid w:val="0"/>
          <w:kern w:val="0"/>
          <w:sz w:val="24"/>
          <w:szCs w:val="24"/>
          <w:lang w:val="zh-CN"/>
        </w:rPr>
        <w:fldChar w:fldCharType="begin"/>
      </w:r>
      <w:r>
        <w:rPr>
          <w:rFonts w:ascii="Times New Roman" w:hAnsi="Times New Roman" w:eastAsia="仿宋_GB2312" w:cs="Times New Roman"/>
          <w:snapToGrid w:val="0"/>
          <w:kern w:val="0"/>
          <w:sz w:val="24"/>
          <w:szCs w:val="24"/>
          <w:lang w:val="zh-CN"/>
        </w:rPr>
        <w:instrText xml:space="preserve">= 1 \* GB3</w:instrText>
      </w:r>
      <w:r>
        <w:rPr>
          <w:rFonts w:ascii="Times New Roman" w:hAnsi="Times New Roman" w:eastAsia="仿宋_GB2312" w:cs="Times New Roman"/>
          <w:snapToGrid w:val="0"/>
          <w:kern w:val="0"/>
          <w:sz w:val="24"/>
          <w:szCs w:val="24"/>
          <w:lang w:val="zh-CN"/>
        </w:rPr>
        <w:fldChar w:fldCharType="separate"/>
      </w:r>
      <w:r>
        <w:rPr>
          <w:rFonts w:ascii="Cambria Math" w:hAnsi="Cambria Math" w:eastAsia="仿宋_GB2312" w:cs="Cambria Math"/>
          <w:snapToGrid w:val="0"/>
          <w:kern w:val="0"/>
          <w:sz w:val="24"/>
          <w:szCs w:val="24"/>
          <w:lang w:val="zh-CN"/>
        </w:rPr>
        <w:t>①</w:t>
      </w:r>
      <w:r>
        <w:rPr>
          <w:rFonts w:ascii="Times New Roman" w:hAnsi="Times New Roman" w:eastAsia="仿宋_GB2312" w:cs="Times New Roman"/>
          <w:snapToGrid w:val="0"/>
          <w:kern w:val="0"/>
          <w:sz w:val="24"/>
          <w:szCs w:val="24"/>
          <w:lang w:val="zh-CN"/>
        </w:rPr>
        <w:fldChar w:fldCharType="end"/>
      </w:r>
      <w:r>
        <w:rPr>
          <w:rFonts w:ascii="Times New Roman" w:hAnsi="Times New Roman" w:eastAsia="仿宋_GB2312" w:cs="Times New Roman"/>
          <w:snapToGrid w:val="0"/>
          <w:kern w:val="0"/>
          <w:sz w:val="24"/>
          <w:szCs w:val="24"/>
          <w:lang w:val="zh-CN"/>
        </w:rPr>
        <w:t>重要性可用“</w:t>
      </w:r>
      <w:r>
        <w:rPr>
          <w:rFonts w:ascii="Segoe UI Symbol" w:hAnsi="Segoe UI Symbol" w:eastAsia="仿宋_GB2312" w:cs="Segoe UI Symbol"/>
          <w:snapToGrid w:val="0"/>
          <w:kern w:val="0"/>
          <w:sz w:val="24"/>
          <w:szCs w:val="24"/>
          <w:lang w:val="zh-CN"/>
        </w:rPr>
        <w:t>★</w:t>
      </w:r>
      <w:r>
        <w:rPr>
          <w:rFonts w:ascii="Times New Roman" w:hAnsi="Times New Roman" w:eastAsia="仿宋_GB2312" w:cs="Times New Roman"/>
          <w:snapToGrid w:val="0"/>
          <w:kern w:val="0"/>
          <w:sz w:val="24"/>
          <w:szCs w:val="24"/>
          <w:lang w:val="zh-CN"/>
        </w:rPr>
        <w:t>”“#”表示，“</w:t>
      </w:r>
      <w:r>
        <w:rPr>
          <w:rFonts w:ascii="Segoe UI Symbol" w:hAnsi="Segoe UI Symbol" w:eastAsia="仿宋_GB2312" w:cs="Segoe UI Symbol"/>
          <w:snapToGrid w:val="0"/>
          <w:kern w:val="0"/>
          <w:sz w:val="24"/>
          <w:szCs w:val="24"/>
          <w:lang w:val="zh-CN"/>
        </w:rPr>
        <w:t>★</w:t>
      </w:r>
      <w:r>
        <w:rPr>
          <w:rFonts w:ascii="Times New Roman" w:hAnsi="Times New Roman" w:eastAsia="仿宋_GB2312" w:cs="Times New Roman"/>
          <w:snapToGrid w:val="0"/>
          <w:kern w:val="0"/>
          <w:sz w:val="24"/>
          <w:szCs w:val="24"/>
          <w:lang w:val="zh-CN"/>
        </w:rPr>
        <w:t>”代表关键指标，不满足该指标项将导致响应被拒绝；“#”代表重要指标；无标识则表示属一般指标项。</w:t>
      </w:r>
    </w:p>
    <w:p w14:paraId="3EEF063E">
      <w:pPr>
        <w:autoSpaceDE w:val="0"/>
        <w:autoSpaceDN w:val="0"/>
        <w:adjustRightInd w:val="0"/>
        <w:snapToGrid w:val="0"/>
        <w:spacing w:line="360" w:lineRule="auto"/>
        <w:ind w:firstLine="480" w:firstLineChars="200"/>
        <w:jc w:val="left"/>
        <w:rPr>
          <w:rFonts w:ascii="Times New Roman" w:hAnsi="Times New Roman" w:eastAsia="仿宋_GB2312" w:cs="Times New Roman"/>
          <w:snapToGrid w:val="0"/>
          <w:kern w:val="0"/>
          <w:sz w:val="24"/>
          <w:szCs w:val="24"/>
          <w:lang w:val="zh-CN"/>
        </w:rPr>
      </w:pPr>
      <w:r>
        <w:rPr>
          <w:rFonts w:ascii="Times New Roman" w:hAnsi="Times New Roman" w:eastAsia="仿宋_GB2312" w:cs="Times New Roman"/>
          <w:snapToGrid w:val="0"/>
          <w:kern w:val="0"/>
          <w:sz w:val="24"/>
          <w:szCs w:val="24"/>
          <w:lang w:val="zh-CN"/>
        </w:rPr>
        <w:fldChar w:fldCharType="begin"/>
      </w:r>
      <w:r>
        <w:rPr>
          <w:rFonts w:ascii="Times New Roman" w:hAnsi="Times New Roman" w:eastAsia="仿宋_GB2312" w:cs="Times New Roman"/>
          <w:snapToGrid w:val="0"/>
          <w:kern w:val="0"/>
          <w:sz w:val="24"/>
          <w:szCs w:val="24"/>
          <w:lang w:val="zh-CN"/>
        </w:rPr>
        <w:instrText xml:space="preserve">= 2 \* GB3</w:instrText>
      </w:r>
      <w:r>
        <w:rPr>
          <w:rFonts w:ascii="Times New Roman" w:hAnsi="Times New Roman" w:eastAsia="仿宋_GB2312" w:cs="Times New Roman"/>
          <w:snapToGrid w:val="0"/>
          <w:kern w:val="0"/>
          <w:sz w:val="24"/>
          <w:szCs w:val="24"/>
          <w:lang w:val="zh-CN"/>
        </w:rPr>
        <w:fldChar w:fldCharType="separate"/>
      </w:r>
      <w:r>
        <w:rPr>
          <w:rFonts w:ascii="Cambria Math" w:hAnsi="Cambria Math" w:eastAsia="仿宋_GB2312" w:cs="Cambria Math"/>
          <w:snapToGrid w:val="0"/>
          <w:kern w:val="0"/>
          <w:sz w:val="24"/>
          <w:szCs w:val="24"/>
          <w:lang w:val="zh-CN"/>
        </w:rPr>
        <w:t>②</w:t>
      </w:r>
      <w:r>
        <w:rPr>
          <w:rFonts w:ascii="Times New Roman" w:hAnsi="Times New Roman" w:eastAsia="仿宋_GB2312" w:cs="Times New Roman"/>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r>
        <w:rPr>
          <w:rFonts w:ascii="仿宋_GB2312" w:hAnsi="宋体" w:eastAsia="仿宋_GB2312" w:cs="宋体"/>
          <w:snapToGrid w:val="0"/>
          <w:kern w:val="0"/>
          <w:sz w:val="24"/>
          <w:szCs w:val="24"/>
          <w:lang w:val="zh-CN"/>
        </w:rPr>
        <w:t>填写“否”的提供技术参数偏离表或承诺响应，未提供或提供的偏离表中或承诺有负偏离的，则该指标按不满足处理。若供应商偏离表中与响应文件所列证明材料内容不一致时，将以证明材料内容为准进行评审。</w:t>
      </w:r>
    </w:p>
    <w:p w14:paraId="72CF4F36">
      <w:pPr>
        <w:widowControl/>
        <w:shd w:val="clear" w:color="auto" w:fill="FFFFFF"/>
        <w:spacing w:line="360" w:lineRule="auto"/>
        <w:jc w:val="center"/>
        <w:rPr>
          <w:rFonts w:ascii="Times New Roman" w:hAnsi="Times New Roman" w:eastAsia="仿宋_GB2312" w:cs="Times New Roman"/>
          <w:color w:val="000000"/>
          <w:kern w:val="0"/>
          <w:sz w:val="28"/>
          <w:szCs w:val="28"/>
          <w:shd w:val="clear" w:color="auto" w:fill="FFFFFF"/>
        </w:rPr>
      </w:pPr>
      <w:r>
        <w:rPr>
          <w:rFonts w:ascii="Times New Roman" w:hAnsi="Times New Roman" w:eastAsia="仿宋_GB2312" w:cs="Times New Roman"/>
          <w:color w:val="000000"/>
          <w:kern w:val="0"/>
          <w:sz w:val="28"/>
          <w:szCs w:val="28"/>
          <w:shd w:val="clear" w:color="auto" w:fill="FFFFFF"/>
        </w:rPr>
        <w:t>（七）碳硫分析仪（1台）</w:t>
      </w:r>
    </w:p>
    <w:p w14:paraId="161ED0E4">
      <w:pPr>
        <w:autoSpaceDE w:val="0"/>
        <w:autoSpaceDN w:val="0"/>
        <w:adjustRightInd w:val="0"/>
        <w:snapToGrid w:val="0"/>
        <w:spacing w:line="360" w:lineRule="auto"/>
        <w:ind w:firstLine="482" w:firstLineChars="200"/>
        <w:jc w:val="left"/>
        <w:rPr>
          <w:rFonts w:ascii="Times New Roman" w:hAnsi="Times New Roman" w:eastAsia="仿宋_GB2312" w:cs="Times New Roman"/>
          <w:b/>
          <w:bCs/>
          <w:snapToGrid w:val="0"/>
          <w:kern w:val="0"/>
          <w:sz w:val="24"/>
          <w:szCs w:val="24"/>
        </w:rPr>
      </w:pPr>
      <w:r>
        <w:rPr>
          <w:rFonts w:ascii="Times New Roman" w:hAnsi="Times New Roman" w:eastAsia="仿宋_GB2312" w:cs="Times New Roman"/>
          <w:b/>
          <w:bCs/>
          <w:snapToGrid w:val="0"/>
          <w:kern w:val="0"/>
          <w:sz w:val="24"/>
          <w:szCs w:val="24"/>
        </w:rPr>
        <w:t>1. 功能要求</w:t>
      </w:r>
    </w:p>
    <w:p w14:paraId="3740817D">
      <w:pPr>
        <w:autoSpaceDE w:val="0"/>
        <w:autoSpaceDN w:val="0"/>
        <w:adjustRightInd w:val="0"/>
        <w:snapToGrid w:val="0"/>
        <w:spacing w:line="360" w:lineRule="auto"/>
        <w:ind w:firstLine="480" w:firstLineChars="200"/>
        <w:jc w:val="left"/>
        <w:rPr>
          <w:rFonts w:ascii="Times New Roman" w:hAnsi="Times New Roman" w:eastAsia="仿宋_GB2312" w:cs="Times New Roman"/>
          <w:snapToGrid w:val="0"/>
          <w:kern w:val="0"/>
          <w:sz w:val="24"/>
          <w:szCs w:val="24"/>
        </w:rPr>
      </w:pPr>
      <w:r>
        <w:rPr>
          <w:rFonts w:ascii="Times New Roman" w:hAnsi="Times New Roman" w:eastAsia="仿宋_GB2312" w:cs="Times New Roman"/>
          <w:snapToGrid w:val="0"/>
          <w:kern w:val="0"/>
          <w:sz w:val="24"/>
          <w:szCs w:val="24"/>
        </w:rPr>
        <w:t>设备采用高频感应燃烧 - 非色散红外吸收检测原理，可一次性同步测定固体样品中总碳、总硫含量；适配钢铁、有色金属、矿石、陶瓷、新能源材料、无机粉体等样品检测；支持含水量≤20% 样品直接上机分析；设备集成全自动燃烧、气路稳压、负压除尘、自动清扫功能，配套专业分析软件，具备样品校准、数据自动存储、全程溯源、设备故障智能报警功能，可满足工业质检、科研实验、第三方检测机构出具合规数据使用需求。</w:t>
      </w:r>
    </w:p>
    <w:p w14:paraId="40B456E7">
      <w:pPr>
        <w:autoSpaceDE w:val="0"/>
        <w:autoSpaceDN w:val="0"/>
        <w:adjustRightInd w:val="0"/>
        <w:snapToGrid w:val="0"/>
        <w:spacing w:line="360" w:lineRule="auto"/>
        <w:ind w:firstLine="482" w:firstLineChars="200"/>
        <w:jc w:val="left"/>
        <w:rPr>
          <w:rFonts w:ascii="Times New Roman" w:hAnsi="Times New Roman" w:eastAsia="仿宋_GB2312" w:cs="Times New Roman"/>
          <w:b/>
          <w:bCs/>
          <w:snapToGrid w:val="0"/>
          <w:kern w:val="0"/>
          <w:sz w:val="24"/>
          <w:szCs w:val="24"/>
        </w:rPr>
      </w:pPr>
      <w:r>
        <w:rPr>
          <w:rFonts w:ascii="Times New Roman" w:hAnsi="Times New Roman" w:eastAsia="仿宋_GB2312" w:cs="Times New Roman"/>
          <w:b/>
          <w:bCs/>
          <w:snapToGrid w:val="0"/>
          <w:kern w:val="0"/>
          <w:sz w:val="24"/>
          <w:szCs w:val="24"/>
        </w:rPr>
        <w:t>2. 遵循相关标准规范</w:t>
      </w:r>
    </w:p>
    <w:p w14:paraId="6176A220">
      <w:pPr>
        <w:autoSpaceDE w:val="0"/>
        <w:autoSpaceDN w:val="0"/>
        <w:adjustRightInd w:val="0"/>
        <w:snapToGrid w:val="0"/>
        <w:spacing w:line="360" w:lineRule="auto"/>
        <w:ind w:firstLine="480" w:firstLineChars="200"/>
        <w:jc w:val="left"/>
        <w:rPr>
          <w:rFonts w:ascii="Times New Roman" w:hAnsi="Times New Roman" w:eastAsia="仿宋_GB2312" w:cs="Times New Roman"/>
          <w:snapToGrid w:val="0"/>
          <w:kern w:val="0"/>
          <w:sz w:val="24"/>
          <w:szCs w:val="24"/>
        </w:rPr>
      </w:pPr>
      <w:r>
        <w:rPr>
          <w:rFonts w:ascii="Times New Roman" w:hAnsi="Times New Roman" w:eastAsia="仿宋_GB2312" w:cs="Times New Roman"/>
          <w:snapToGrid w:val="0"/>
          <w:kern w:val="0"/>
          <w:sz w:val="24"/>
          <w:szCs w:val="24"/>
        </w:rPr>
        <w:t>设备检测误差、性能指标完全符合 GB/T 20123-2006、ISO 15350:2000、JJG 395 定碳定硫分析仪国家检定规程。</w:t>
      </w:r>
    </w:p>
    <w:p w14:paraId="1F368709">
      <w:pPr>
        <w:autoSpaceDE w:val="0"/>
        <w:autoSpaceDN w:val="0"/>
        <w:adjustRightInd w:val="0"/>
        <w:snapToGrid w:val="0"/>
        <w:spacing w:line="360" w:lineRule="auto"/>
        <w:ind w:firstLine="482" w:firstLineChars="200"/>
        <w:jc w:val="left"/>
        <w:rPr>
          <w:rFonts w:ascii="Times New Roman" w:hAnsi="Times New Roman" w:eastAsia="仿宋_GB2312" w:cs="Times New Roman"/>
          <w:b/>
          <w:bCs/>
          <w:snapToGrid w:val="0"/>
          <w:kern w:val="0"/>
          <w:sz w:val="24"/>
          <w:szCs w:val="24"/>
        </w:rPr>
      </w:pPr>
      <w:r>
        <w:rPr>
          <w:rFonts w:ascii="Times New Roman" w:hAnsi="Times New Roman" w:eastAsia="仿宋_GB2312" w:cs="Times New Roman"/>
          <w:b/>
          <w:bCs/>
          <w:snapToGrid w:val="0"/>
          <w:kern w:val="0"/>
          <w:sz w:val="24"/>
          <w:szCs w:val="24"/>
        </w:rPr>
        <w:t>3. 后续运维、升级、备品备件要求</w:t>
      </w:r>
    </w:p>
    <w:p w14:paraId="09E71CD8">
      <w:pPr>
        <w:autoSpaceDE w:val="0"/>
        <w:autoSpaceDN w:val="0"/>
        <w:adjustRightInd w:val="0"/>
        <w:snapToGrid w:val="0"/>
        <w:spacing w:line="360" w:lineRule="auto"/>
        <w:ind w:firstLine="480" w:firstLineChars="200"/>
        <w:jc w:val="left"/>
        <w:rPr>
          <w:rFonts w:ascii="Times New Roman" w:hAnsi="Times New Roman" w:eastAsia="仿宋_GB2312" w:cs="Times New Roman"/>
          <w:snapToGrid w:val="0"/>
          <w:kern w:val="0"/>
          <w:sz w:val="24"/>
          <w:szCs w:val="24"/>
        </w:rPr>
      </w:pPr>
      <w:r>
        <w:rPr>
          <w:rFonts w:ascii="Times New Roman" w:hAnsi="Times New Roman" w:eastAsia="仿宋_GB2312" w:cs="Times New Roman"/>
          <w:snapToGrid w:val="0"/>
          <w:kern w:val="0"/>
          <w:sz w:val="24"/>
          <w:szCs w:val="24"/>
        </w:rPr>
        <w:t>3.1质保服务：整机提供不少于</w:t>
      </w:r>
      <w:r>
        <w:rPr>
          <w:rFonts w:hint="eastAsia" w:ascii="Times New Roman" w:hAnsi="Times New Roman" w:eastAsia="仿宋_GB2312" w:cs="Times New Roman"/>
          <w:snapToGrid w:val="0"/>
          <w:kern w:val="0"/>
          <w:sz w:val="24"/>
          <w:szCs w:val="24"/>
        </w:rPr>
        <w:t>2</w:t>
      </w:r>
      <w:r>
        <w:rPr>
          <w:rFonts w:ascii="Times New Roman" w:hAnsi="Times New Roman" w:eastAsia="仿宋_GB2312" w:cs="Times New Roman"/>
          <w:snapToGrid w:val="0"/>
          <w:kern w:val="0"/>
          <w:sz w:val="24"/>
          <w:szCs w:val="24"/>
        </w:rPr>
        <w:t>年质保，红外检测器、高频线圈、半导体冷光源同步质保 2 年；</w:t>
      </w:r>
    </w:p>
    <w:p w14:paraId="024A4345">
      <w:pPr>
        <w:autoSpaceDE w:val="0"/>
        <w:autoSpaceDN w:val="0"/>
        <w:adjustRightInd w:val="0"/>
        <w:snapToGrid w:val="0"/>
        <w:spacing w:line="360" w:lineRule="auto"/>
        <w:ind w:firstLine="480" w:firstLineChars="200"/>
        <w:jc w:val="left"/>
        <w:rPr>
          <w:rFonts w:ascii="Times New Roman" w:hAnsi="Times New Roman" w:eastAsia="仿宋_GB2312" w:cs="Times New Roman"/>
          <w:snapToGrid w:val="0"/>
          <w:kern w:val="0"/>
          <w:sz w:val="24"/>
          <w:szCs w:val="24"/>
        </w:rPr>
      </w:pPr>
      <w:r>
        <w:rPr>
          <w:rFonts w:ascii="Times New Roman" w:hAnsi="Times New Roman" w:eastAsia="仿宋_GB2312" w:cs="Times New Roman"/>
          <w:snapToGrid w:val="0"/>
          <w:kern w:val="0"/>
          <w:sz w:val="24"/>
          <w:szCs w:val="24"/>
        </w:rPr>
        <w:t>3.2定期巡检：质保期内每半年提供 1 次免费上门整机校准、气路检漏、整机除尘维护；</w:t>
      </w:r>
    </w:p>
    <w:p w14:paraId="76035567">
      <w:pPr>
        <w:autoSpaceDE w:val="0"/>
        <w:autoSpaceDN w:val="0"/>
        <w:adjustRightInd w:val="0"/>
        <w:snapToGrid w:val="0"/>
        <w:spacing w:line="360" w:lineRule="auto"/>
        <w:ind w:firstLine="480" w:firstLineChars="200"/>
        <w:jc w:val="left"/>
        <w:rPr>
          <w:rFonts w:ascii="Times New Roman" w:hAnsi="Times New Roman" w:eastAsia="仿宋_GB2312" w:cs="Times New Roman"/>
          <w:snapToGrid w:val="0"/>
          <w:kern w:val="0"/>
          <w:sz w:val="24"/>
          <w:szCs w:val="24"/>
        </w:rPr>
      </w:pPr>
      <w:r>
        <w:rPr>
          <w:rFonts w:ascii="Times New Roman" w:hAnsi="Times New Roman" w:eastAsia="仿宋_GB2312" w:cs="Times New Roman"/>
          <w:snapToGrid w:val="0"/>
          <w:kern w:val="0"/>
          <w:sz w:val="24"/>
          <w:szCs w:val="24"/>
        </w:rPr>
        <w:t>3.3故障响应：设备故障线上 2小时技术响应，</w:t>
      </w:r>
      <w:r>
        <w:rPr>
          <w:rFonts w:hint="eastAsia" w:ascii="Times New Roman" w:hAnsi="Times New Roman" w:eastAsia="仿宋_GB2312" w:cs="Times New Roman"/>
          <w:snapToGrid w:val="0"/>
          <w:kern w:val="0"/>
          <w:sz w:val="24"/>
          <w:szCs w:val="24"/>
        </w:rPr>
        <w:t>48</w:t>
      </w:r>
      <w:r>
        <w:rPr>
          <w:rFonts w:ascii="Times New Roman" w:hAnsi="Times New Roman" w:eastAsia="仿宋_GB2312" w:cs="Times New Roman"/>
          <w:snapToGrid w:val="0"/>
          <w:kern w:val="0"/>
          <w:sz w:val="24"/>
          <w:szCs w:val="24"/>
        </w:rPr>
        <w:t>小时工程师到达现场检修；</w:t>
      </w:r>
    </w:p>
    <w:p w14:paraId="78F0381E">
      <w:pPr>
        <w:autoSpaceDE w:val="0"/>
        <w:autoSpaceDN w:val="0"/>
        <w:adjustRightInd w:val="0"/>
        <w:snapToGrid w:val="0"/>
        <w:spacing w:line="360" w:lineRule="auto"/>
        <w:ind w:firstLine="480" w:firstLineChars="200"/>
        <w:jc w:val="left"/>
        <w:rPr>
          <w:rFonts w:ascii="Times New Roman" w:hAnsi="Times New Roman" w:eastAsia="仿宋_GB2312" w:cs="Times New Roman"/>
          <w:snapToGrid w:val="0"/>
          <w:kern w:val="0"/>
          <w:sz w:val="24"/>
          <w:szCs w:val="24"/>
        </w:rPr>
      </w:pPr>
      <w:r>
        <w:rPr>
          <w:rFonts w:ascii="Times New Roman" w:hAnsi="Times New Roman" w:eastAsia="仿宋_GB2312" w:cs="Times New Roman"/>
          <w:snapToGrid w:val="0"/>
          <w:kern w:val="0"/>
          <w:sz w:val="24"/>
          <w:szCs w:val="24"/>
        </w:rPr>
        <w:t>3.4软件服务：配套分析软件终身免费版本更新、检测方法库升级；</w:t>
      </w:r>
    </w:p>
    <w:p w14:paraId="32A5D6CD">
      <w:pPr>
        <w:autoSpaceDE w:val="0"/>
        <w:autoSpaceDN w:val="0"/>
        <w:adjustRightInd w:val="0"/>
        <w:snapToGrid w:val="0"/>
        <w:spacing w:line="360" w:lineRule="auto"/>
        <w:ind w:firstLine="480" w:firstLineChars="200"/>
        <w:jc w:val="left"/>
        <w:rPr>
          <w:rFonts w:ascii="Times New Roman" w:hAnsi="Times New Roman" w:eastAsia="仿宋_GB2312" w:cs="Times New Roman"/>
          <w:snapToGrid w:val="0"/>
          <w:kern w:val="0"/>
          <w:sz w:val="24"/>
          <w:szCs w:val="24"/>
        </w:rPr>
      </w:pPr>
      <w:r>
        <w:rPr>
          <w:rFonts w:ascii="Times New Roman" w:hAnsi="Times New Roman" w:eastAsia="仿宋_GB2312" w:cs="Times New Roman"/>
          <w:snapToGrid w:val="0"/>
          <w:kern w:val="0"/>
          <w:sz w:val="24"/>
          <w:szCs w:val="24"/>
        </w:rPr>
        <w:t>3.5硬件扩展：设备预留硬件升级接口，后期可拓展全自动进样、卤素吸附等功能模块；</w:t>
      </w:r>
    </w:p>
    <w:p w14:paraId="1F2E52B6">
      <w:pPr>
        <w:autoSpaceDE w:val="0"/>
        <w:autoSpaceDN w:val="0"/>
        <w:adjustRightInd w:val="0"/>
        <w:snapToGrid w:val="0"/>
        <w:spacing w:line="360" w:lineRule="auto"/>
        <w:ind w:firstLine="480" w:firstLineChars="200"/>
        <w:jc w:val="left"/>
        <w:rPr>
          <w:rFonts w:ascii="Times New Roman" w:hAnsi="Times New Roman" w:eastAsia="仿宋_GB2312" w:cs="Times New Roman"/>
          <w:snapToGrid w:val="0"/>
          <w:kern w:val="0"/>
          <w:sz w:val="24"/>
          <w:szCs w:val="24"/>
        </w:rPr>
      </w:pPr>
      <w:r>
        <w:rPr>
          <w:rFonts w:ascii="Times New Roman" w:hAnsi="Times New Roman" w:eastAsia="仿宋_GB2312" w:cs="Times New Roman"/>
          <w:snapToGrid w:val="0"/>
          <w:kern w:val="0"/>
          <w:sz w:val="24"/>
          <w:szCs w:val="24"/>
        </w:rPr>
        <w:t>3.6备件保障：供应商承诺设备停产后 10 年内持续供应原厂易损件，燃烧管、过滤网、光源等常规备件 7 个工作日内交付，提供官方备件报价清单；</w:t>
      </w:r>
    </w:p>
    <w:p w14:paraId="4F27DA98">
      <w:pPr>
        <w:autoSpaceDE w:val="0"/>
        <w:autoSpaceDN w:val="0"/>
        <w:adjustRightInd w:val="0"/>
        <w:snapToGrid w:val="0"/>
        <w:spacing w:line="360" w:lineRule="auto"/>
        <w:ind w:firstLine="480" w:firstLineChars="200"/>
        <w:jc w:val="left"/>
        <w:rPr>
          <w:rFonts w:ascii="Times New Roman" w:hAnsi="Times New Roman" w:eastAsia="仿宋_GB2312" w:cs="Times New Roman"/>
          <w:snapToGrid w:val="0"/>
          <w:kern w:val="0"/>
          <w:sz w:val="24"/>
          <w:szCs w:val="24"/>
        </w:rPr>
      </w:pPr>
      <w:r>
        <w:rPr>
          <w:rFonts w:ascii="Times New Roman" w:hAnsi="Times New Roman" w:eastAsia="仿宋_GB2312" w:cs="Times New Roman"/>
          <w:snapToGrid w:val="0"/>
          <w:kern w:val="0"/>
          <w:sz w:val="24"/>
          <w:szCs w:val="24"/>
        </w:rPr>
        <w:t xml:space="preserve">3.7实操培训：原厂工程师现场开展不少于 </w:t>
      </w:r>
      <w:r>
        <w:rPr>
          <w:rFonts w:hint="eastAsia" w:ascii="Times New Roman" w:hAnsi="Times New Roman" w:eastAsia="仿宋_GB2312" w:cs="Times New Roman"/>
          <w:snapToGrid w:val="0"/>
          <w:kern w:val="0"/>
          <w:sz w:val="24"/>
          <w:szCs w:val="24"/>
        </w:rPr>
        <w:t>2</w:t>
      </w:r>
      <w:r>
        <w:rPr>
          <w:rFonts w:ascii="Times New Roman" w:hAnsi="Times New Roman" w:eastAsia="仿宋_GB2312" w:cs="Times New Roman"/>
          <w:snapToGrid w:val="0"/>
          <w:kern w:val="0"/>
          <w:sz w:val="24"/>
          <w:szCs w:val="24"/>
        </w:rPr>
        <w:t>天理论 + 实操培训，不限参训人数，覆盖设备操作、标样校准、故障排查、日常维护全流程。</w:t>
      </w:r>
    </w:p>
    <w:p w14:paraId="46F9E830">
      <w:pPr>
        <w:autoSpaceDE w:val="0"/>
        <w:autoSpaceDN w:val="0"/>
        <w:adjustRightInd w:val="0"/>
        <w:snapToGrid w:val="0"/>
        <w:spacing w:line="360" w:lineRule="auto"/>
        <w:ind w:firstLine="482" w:firstLineChars="200"/>
        <w:jc w:val="left"/>
        <w:rPr>
          <w:rFonts w:ascii="Times New Roman" w:hAnsi="Times New Roman" w:eastAsia="仿宋_GB2312" w:cs="Times New Roman"/>
          <w:b/>
          <w:bCs/>
          <w:snapToGrid w:val="0"/>
          <w:kern w:val="0"/>
          <w:sz w:val="24"/>
          <w:szCs w:val="24"/>
        </w:rPr>
      </w:pPr>
      <w:r>
        <w:rPr>
          <w:rFonts w:ascii="Times New Roman" w:hAnsi="Times New Roman" w:eastAsia="仿宋_GB2312" w:cs="Times New Roman"/>
          <w:b/>
          <w:bCs/>
          <w:snapToGrid w:val="0"/>
          <w:kern w:val="0"/>
          <w:sz w:val="24"/>
          <w:szCs w:val="24"/>
        </w:rPr>
        <w:t>4.分项技术指标明细</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7"/>
        <w:gridCol w:w="1905"/>
        <w:gridCol w:w="900"/>
        <w:gridCol w:w="3606"/>
        <w:gridCol w:w="1114"/>
      </w:tblGrid>
      <w:tr w14:paraId="7B772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dxa"/>
            <w:vAlign w:val="center"/>
          </w:tcPr>
          <w:p w14:paraId="2D368B56">
            <w:pPr>
              <w:widowControl/>
              <w:spacing w:line="180" w:lineRule="atLeast"/>
              <w:jc w:val="center"/>
              <w:rPr>
                <w:rFonts w:ascii="Times New Roman" w:hAnsi="Times New Roman" w:cs="Times New Roman"/>
                <w:b/>
                <w:bCs/>
                <w:color w:val="000000"/>
                <w:szCs w:val="21"/>
              </w:rPr>
            </w:pPr>
            <w:r>
              <w:rPr>
                <w:rFonts w:ascii="Times New Roman" w:hAnsi="Times New Roman" w:cs="Times New Roman"/>
                <w:b/>
                <w:bCs/>
                <w:color w:val="000000"/>
                <w:kern w:val="0"/>
                <w:szCs w:val="21"/>
                <w:lang w:bidi="ar"/>
              </w:rPr>
              <w:t>序号</w:t>
            </w:r>
          </w:p>
        </w:tc>
        <w:tc>
          <w:tcPr>
            <w:tcW w:w="1905" w:type="dxa"/>
            <w:vAlign w:val="center"/>
          </w:tcPr>
          <w:p w14:paraId="208C32F1">
            <w:pPr>
              <w:widowControl/>
              <w:spacing w:line="180" w:lineRule="atLeast"/>
              <w:jc w:val="center"/>
              <w:rPr>
                <w:rFonts w:ascii="Times New Roman" w:hAnsi="Times New Roman" w:cs="Times New Roman"/>
                <w:b/>
                <w:bCs/>
                <w:color w:val="000000"/>
                <w:szCs w:val="21"/>
              </w:rPr>
            </w:pPr>
            <w:r>
              <w:rPr>
                <w:rFonts w:ascii="Times New Roman" w:hAnsi="Times New Roman" w:cs="Times New Roman"/>
                <w:b/>
                <w:bCs/>
                <w:color w:val="000000"/>
                <w:kern w:val="0"/>
                <w:szCs w:val="21"/>
                <w:lang w:bidi="ar"/>
              </w:rPr>
              <w:t>指标项</w:t>
            </w:r>
          </w:p>
        </w:tc>
        <w:tc>
          <w:tcPr>
            <w:tcW w:w="900" w:type="dxa"/>
            <w:vAlign w:val="center"/>
          </w:tcPr>
          <w:p w14:paraId="3D8B1314">
            <w:pPr>
              <w:widowControl/>
              <w:spacing w:line="180" w:lineRule="atLeast"/>
              <w:jc w:val="center"/>
              <w:rPr>
                <w:rFonts w:ascii="Times New Roman" w:hAnsi="Times New Roman" w:cs="Times New Roman"/>
                <w:b/>
                <w:bCs/>
                <w:color w:val="000000"/>
                <w:szCs w:val="21"/>
              </w:rPr>
            </w:pPr>
            <w:r>
              <w:rPr>
                <w:rFonts w:ascii="Times New Roman" w:hAnsi="Times New Roman" w:cs="Times New Roman"/>
                <w:b/>
                <w:bCs/>
                <w:color w:val="000000"/>
                <w:kern w:val="0"/>
                <w:szCs w:val="21"/>
                <w:lang w:bidi="ar"/>
              </w:rPr>
              <w:t>重要性</w:t>
            </w:r>
          </w:p>
        </w:tc>
        <w:tc>
          <w:tcPr>
            <w:tcW w:w="3606" w:type="dxa"/>
            <w:vAlign w:val="center"/>
          </w:tcPr>
          <w:p w14:paraId="1B67C3B4">
            <w:pPr>
              <w:widowControl/>
              <w:spacing w:line="180" w:lineRule="atLeast"/>
              <w:jc w:val="center"/>
              <w:rPr>
                <w:rFonts w:ascii="Times New Roman" w:hAnsi="Times New Roman" w:cs="Times New Roman"/>
                <w:b/>
                <w:bCs/>
                <w:color w:val="000000"/>
                <w:szCs w:val="21"/>
              </w:rPr>
            </w:pPr>
            <w:r>
              <w:rPr>
                <w:rFonts w:ascii="Times New Roman" w:hAnsi="Times New Roman" w:cs="Times New Roman"/>
                <w:b/>
                <w:bCs/>
                <w:color w:val="000000"/>
                <w:kern w:val="0"/>
                <w:szCs w:val="21"/>
                <w:lang w:bidi="ar"/>
              </w:rPr>
              <w:t>指标要求</w:t>
            </w:r>
          </w:p>
        </w:tc>
        <w:tc>
          <w:tcPr>
            <w:tcW w:w="1114" w:type="dxa"/>
            <w:vAlign w:val="center"/>
          </w:tcPr>
          <w:p w14:paraId="76CB9745">
            <w:pPr>
              <w:widowControl/>
              <w:spacing w:line="180" w:lineRule="atLeast"/>
              <w:jc w:val="center"/>
              <w:rPr>
                <w:rFonts w:ascii="Times New Roman" w:hAnsi="Times New Roman" w:cs="Times New Roman"/>
                <w:b/>
                <w:bCs/>
                <w:color w:val="000000"/>
                <w:szCs w:val="21"/>
              </w:rPr>
            </w:pPr>
            <w:r>
              <w:rPr>
                <w:rFonts w:ascii="Times New Roman" w:hAnsi="Times New Roman" w:cs="Times New Roman"/>
                <w:b/>
                <w:bCs/>
                <w:color w:val="000000"/>
                <w:kern w:val="0"/>
                <w:szCs w:val="21"/>
                <w:lang w:bidi="ar"/>
              </w:rPr>
              <w:t>证明材料要求</w:t>
            </w:r>
          </w:p>
        </w:tc>
      </w:tr>
      <w:tr w14:paraId="23368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dxa"/>
            <w:vAlign w:val="center"/>
          </w:tcPr>
          <w:p w14:paraId="25D91DF0">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1</w:t>
            </w:r>
          </w:p>
        </w:tc>
        <w:tc>
          <w:tcPr>
            <w:tcW w:w="1905" w:type="dxa"/>
            <w:vAlign w:val="center"/>
          </w:tcPr>
          <w:p w14:paraId="155E4367">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检测元素及分析原理</w:t>
            </w:r>
          </w:p>
        </w:tc>
        <w:tc>
          <w:tcPr>
            <w:tcW w:w="900" w:type="dxa"/>
            <w:vAlign w:val="center"/>
          </w:tcPr>
          <w:p w14:paraId="5C4C7745">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w:t>
            </w:r>
          </w:p>
        </w:tc>
        <w:tc>
          <w:tcPr>
            <w:tcW w:w="3606" w:type="dxa"/>
            <w:vAlign w:val="center"/>
          </w:tcPr>
          <w:p w14:paraId="7C887C63">
            <w:pPr>
              <w:widowControl/>
              <w:spacing w:line="180" w:lineRule="atLeast"/>
              <w:jc w:val="left"/>
              <w:rPr>
                <w:rFonts w:ascii="Times New Roman" w:hAnsi="Times New Roman" w:cs="Times New Roman"/>
                <w:color w:val="000000"/>
                <w:szCs w:val="21"/>
              </w:rPr>
            </w:pPr>
            <w:r>
              <w:rPr>
                <w:rFonts w:ascii="Times New Roman" w:hAnsi="Times New Roman" w:cs="Times New Roman"/>
                <w:color w:val="000000"/>
                <w:kern w:val="0"/>
                <w:szCs w:val="21"/>
                <w:lang w:bidi="ar"/>
              </w:rPr>
              <w:t>碳、硫同步联测；高频感应炉燃烧 + 非色散红外吸收法</w:t>
            </w:r>
          </w:p>
        </w:tc>
        <w:tc>
          <w:tcPr>
            <w:tcW w:w="1114" w:type="dxa"/>
            <w:vAlign w:val="center"/>
          </w:tcPr>
          <w:p w14:paraId="1B18D881">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否</w:t>
            </w:r>
          </w:p>
        </w:tc>
      </w:tr>
      <w:tr w14:paraId="4E1C1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dxa"/>
            <w:vAlign w:val="center"/>
          </w:tcPr>
          <w:p w14:paraId="7EF7437A">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2</w:t>
            </w:r>
          </w:p>
        </w:tc>
        <w:tc>
          <w:tcPr>
            <w:tcW w:w="1905" w:type="dxa"/>
            <w:vAlign w:val="center"/>
          </w:tcPr>
          <w:p w14:paraId="6EE4A810">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碳硫分析范围</w:t>
            </w:r>
          </w:p>
        </w:tc>
        <w:tc>
          <w:tcPr>
            <w:tcW w:w="900" w:type="dxa"/>
            <w:vAlign w:val="center"/>
          </w:tcPr>
          <w:p w14:paraId="55105AAF">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w:t>
            </w:r>
          </w:p>
        </w:tc>
        <w:tc>
          <w:tcPr>
            <w:tcW w:w="3606" w:type="dxa"/>
            <w:vAlign w:val="center"/>
          </w:tcPr>
          <w:p w14:paraId="6F73C290">
            <w:pPr>
              <w:widowControl/>
              <w:spacing w:line="180" w:lineRule="atLeast"/>
              <w:jc w:val="left"/>
              <w:rPr>
                <w:rFonts w:ascii="Times New Roman" w:hAnsi="Times New Roman" w:cs="Times New Roman"/>
                <w:color w:val="000000"/>
                <w:szCs w:val="21"/>
              </w:rPr>
            </w:pPr>
            <w:r>
              <w:rPr>
                <w:rFonts w:ascii="Times New Roman" w:hAnsi="Times New Roman" w:cs="Times New Roman"/>
                <w:color w:val="000000"/>
                <w:kern w:val="0"/>
                <w:szCs w:val="21"/>
                <w:lang w:bidi="ar"/>
              </w:rPr>
              <w:t>碳：0.00001%~99.999%；硫：0.00001%~99.999%</w:t>
            </w:r>
          </w:p>
        </w:tc>
        <w:tc>
          <w:tcPr>
            <w:tcW w:w="1114" w:type="dxa"/>
            <w:vAlign w:val="center"/>
          </w:tcPr>
          <w:p w14:paraId="46FC0A18">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否</w:t>
            </w:r>
          </w:p>
        </w:tc>
      </w:tr>
      <w:tr w14:paraId="0E7B3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dxa"/>
            <w:vAlign w:val="center"/>
          </w:tcPr>
          <w:p w14:paraId="26B4FEF8">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3</w:t>
            </w:r>
          </w:p>
        </w:tc>
        <w:tc>
          <w:tcPr>
            <w:tcW w:w="1905" w:type="dxa"/>
            <w:vAlign w:val="center"/>
          </w:tcPr>
          <w:p w14:paraId="08A62838">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检测最小读数灵敏度</w:t>
            </w:r>
          </w:p>
        </w:tc>
        <w:tc>
          <w:tcPr>
            <w:tcW w:w="900" w:type="dxa"/>
          </w:tcPr>
          <w:p w14:paraId="6961A1B1">
            <w:pPr>
              <w:widowControl/>
              <w:spacing w:line="180" w:lineRule="atLeast"/>
              <w:jc w:val="center"/>
              <w:rPr>
                <w:rFonts w:ascii="Times New Roman" w:hAnsi="Times New Roman" w:cs="Times New Roman"/>
                <w:color w:val="000000"/>
                <w:szCs w:val="21"/>
              </w:rPr>
            </w:pPr>
            <w:r>
              <w:rPr>
                <w:rFonts w:ascii="Segoe UI Symbol" w:hAnsi="Segoe UI Symbol" w:cs="Segoe UI Symbol"/>
                <w:szCs w:val="21"/>
              </w:rPr>
              <w:t>★</w:t>
            </w:r>
          </w:p>
        </w:tc>
        <w:tc>
          <w:tcPr>
            <w:tcW w:w="3606" w:type="dxa"/>
            <w:vAlign w:val="center"/>
          </w:tcPr>
          <w:p w14:paraId="6184E9BA">
            <w:pPr>
              <w:widowControl/>
              <w:spacing w:line="180" w:lineRule="atLeast"/>
              <w:jc w:val="left"/>
              <w:rPr>
                <w:rFonts w:ascii="Times New Roman" w:hAnsi="Times New Roman" w:cs="Times New Roman"/>
                <w:color w:val="000000"/>
                <w:szCs w:val="21"/>
              </w:rPr>
            </w:pPr>
            <w:r>
              <w:rPr>
                <w:rFonts w:ascii="Times New Roman" w:hAnsi="Times New Roman" w:cs="Times New Roman"/>
                <w:color w:val="000000"/>
                <w:kern w:val="0"/>
                <w:szCs w:val="21"/>
                <w:lang w:bidi="ar"/>
              </w:rPr>
              <w:t>碳、硫最小读数均≤0.01ppm</w:t>
            </w:r>
          </w:p>
        </w:tc>
        <w:tc>
          <w:tcPr>
            <w:tcW w:w="1114" w:type="dxa"/>
            <w:vAlign w:val="center"/>
          </w:tcPr>
          <w:p w14:paraId="43076A06">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否</w:t>
            </w:r>
          </w:p>
        </w:tc>
      </w:tr>
      <w:tr w14:paraId="17AB0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dxa"/>
            <w:vAlign w:val="center"/>
          </w:tcPr>
          <w:p w14:paraId="294A4F5F">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4</w:t>
            </w:r>
          </w:p>
        </w:tc>
        <w:tc>
          <w:tcPr>
            <w:tcW w:w="1905" w:type="dxa"/>
            <w:vAlign w:val="center"/>
          </w:tcPr>
          <w:p w14:paraId="22D3AB15">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检测精密度重复性</w:t>
            </w:r>
          </w:p>
        </w:tc>
        <w:tc>
          <w:tcPr>
            <w:tcW w:w="900" w:type="dxa"/>
          </w:tcPr>
          <w:p w14:paraId="2D57079E">
            <w:pPr>
              <w:widowControl/>
              <w:spacing w:line="180" w:lineRule="atLeast"/>
              <w:jc w:val="center"/>
              <w:rPr>
                <w:rFonts w:ascii="Times New Roman" w:hAnsi="Times New Roman" w:cs="Times New Roman"/>
                <w:color w:val="000000"/>
                <w:szCs w:val="21"/>
              </w:rPr>
            </w:pPr>
            <w:r>
              <w:rPr>
                <w:rFonts w:ascii="Segoe UI Symbol" w:hAnsi="Segoe UI Symbol" w:cs="Segoe UI Symbol"/>
                <w:szCs w:val="21"/>
              </w:rPr>
              <w:t>★</w:t>
            </w:r>
          </w:p>
        </w:tc>
        <w:tc>
          <w:tcPr>
            <w:tcW w:w="3606" w:type="dxa"/>
            <w:vAlign w:val="center"/>
          </w:tcPr>
          <w:p w14:paraId="7ECBFAB5">
            <w:pPr>
              <w:widowControl/>
              <w:spacing w:line="180" w:lineRule="atLeast"/>
              <w:jc w:val="left"/>
              <w:rPr>
                <w:rFonts w:ascii="Times New Roman" w:hAnsi="Times New Roman" w:cs="Times New Roman"/>
                <w:color w:val="000000"/>
                <w:szCs w:val="21"/>
              </w:rPr>
            </w:pPr>
            <w:r>
              <w:rPr>
                <w:rFonts w:ascii="Times New Roman" w:hAnsi="Times New Roman" w:cs="Times New Roman"/>
                <w:color w:val="000000"/>
                <w:kern w:val="0"/>
                <w:szCs w:val="21"/>
                <w:lang w:bidi="ar"/>
              </w:rPr>
              <w:t>碳≤1ppm 或 RSD≤1%；硫≤1ppm 或RSD≤1.0%</w:t>
            </w:r>
          </w:p>
        </w:tc>
        <w:tc>
          <w:tcPr>
            <w:tcW w:w="1114" w:type="dxa"/>
            <w:vAlign w:val="center"/>
          </w:tcPr>
          <w:p w14:paraId="725DE870">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否</w:t>
            </w:r>
          </w:p>
        </w:tc>
      </w:tr>
      <w:tr w14:paraId="7C6F1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dxa"/>
            <w:vAlign w:val="center"/>
          </w:tcPr>
          <w:p w14:paraId="1715DF33">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5</w:t>
            </w:r>
          </w:p>
        </w:tc>
        <w:tc>
          <w:tcPr>
            <w:tcW w:w="1905" w:type="dxa"/>
            <w:vAlign w:val="center"/>
          </w:tcPr>
          <w:p w14:paraId="3D207381">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红外检测通道配置</w:t>
            </w:r>
          </w:p>
        </w:tc>
        <w:tc>
          <w:tcPr>
            <w:tcW w:w="900" w:type="dxa"/>
          </w:tcPr>
          <w:p w14:paraId="20FBFCBF">
            <w:pPr>
              <w:widowControl/>
              <w:spacing w:line="180" w:lineRule="atLeast"/>
              <w:jc w:val="center"/>
              <w:rPr>
                <w:rFonts w:ascii="Times New Roman" w:hAnsi="Times New Roman" w:cs="Times New Roman"/>
                <w:color w:val="000000"/>
                <w:szCs w:val="21"/>
              </w:rPr>
            </w:pPr>
            <w:r>
              <w:rPr>
                <w:rFonts w:ascii="Segoe UI Symbol" w:hAnsi="Segoe UI Symbol" w:cs="Segoe UI Symbol"/>
                <w:szCs w:val="21"/>
              </w:rPr>
              <w:t>★</w:t>
            </w:r>
          </w:p>
        </w:tc>
        <w:tc>
          <w:tcPr>
            <w:tcW w:w="3606" w:type="dxa"/>
            <w:vAlign w:val="center"/>
          </w:tcPr>
          <w:p w14:paraId="7E1BFFE7">
            <w:pPr>
              <w:widowControl/>
              <w:spacing w:line="180" w:lineRule="atLeast"/>
              <w:jc w:val="left"/>
              <w:rPr>
                <w:rFonts w:ascii="Times New Roman" w:hAnsi="Times New Roman" w:cs="Times New Roman"/>
                <w:color w:val="000000"/>
                <w:szCs w:val="21"/>
              </w:rPr>
            </w:pPr>
            <w:r>
              <w:rPr>
                <w:rFonts w:ascii="Times New Roman" w:hAnsi="Times New Roman" w:cs="Times New Roman"/>
                <w:color w:val="000000"/>
                <w:kern w:val="0"/>
                <w:szCs w:val="21"/>
                <w:lang w:bidi="ar"/>
              </w:rPr>
              <w:t>独立 4 通道检测池，区分低碳、高碳、低硫、高硫通道</w:t>
            </w:r>
          </w:p>
        </w:tc>
        <w:tc>
          <w:tcPr>
            <w:tcW w:w="1114" w:type="dxa"/>
            <w:vAlign w:val="center"/>
          </w:tcPr>
          <w:p w14:paraId="13353CED">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否</w:t>
            </w:r>
          </w:p>
        </w:tc>
      </w:tr>
      <w:tr w14:paraId="7FCFB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dxa"/>
            <w:vAlign w:val="center"/>
          </w:tcPr>
          <w:p w14:paraId="4D754735">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6</w:t>
            </w:r>
          </w:p>
        </w:tc>
        <w:tc>
          <w:tcPr>
            <w:tcW w:w="1905" w:type="dxa"/>
            <w:vAlign w:val="center"/>
          </w:tcPr>
          <w:p w14:paraId="273997E5">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炉头恒温系统</w:t>
            </w:r>
          </w:p>
        </w:tc>
        <w:tc>
          <w:tcPr>
            <w:tcW w:w="900" w:type="dxa"/>
            <w:vAlign w:val="center"/>
          </w:tcPr>
          <w:p w14:paraId="6784E549">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w:t>
            </w:r>
          </w:p>
        </w:tc>
        <w:tc>
          <w:tcPr>
            <w:tcW w:w="3606" w:type="dxa"/>
            <w:vAlign w:val="center"/>
          </w:tcPr>
          <w:p w14:paraId="705D0B17">
            <w:pPr>
              <w:widowControl/>
              <w:spacing w:line="180" w:lineRule="atLeast"/>
              <w:jc w:val="left"/>
              <w:rPr>
                <w:rFonts w:ascii="Times New Roman" w:hAnsi="Times New Roman" w:cs="Times New Roman"/>
                <w:color w:val="000000"/>
                <w:szCs w:val="21"/>
              </w:rPr>
            </w:pPr>
            <w:r>
              <w:rPr>
                <w:rFonts w:ascii="Times New Roman" w:hAnsi="Times New Roman" w:cs="Times New Roman"/>
                <w:color w:val="000000"/>
                <w:kern w:val="0"/>
                <w:szCs w:val="21"/>
                <w:lang w:bidi="ar"/>
              </w:rPr>
              <w:t>炉头温度常温至 120℃可调，提升硫元素转化回收率</w:t>
            </w:r>
          </w:p>
        </w:tc>
        <w:tc>
          <w:tcPr>
            <w:tcW w:w="1114" w:type="dxa"/>
            <w:vAlign w:val="center"/>
          </w:tcPr>
          <w:p w14:paraId="3C7F6EF0">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否</w:t>
            </w:r>
          </w:p>
        </w:tc>
      </w:tr>
      <w:tr w14:paraId="79997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dxa"/>
            <w:vAlign w:val="center"/>
          </w:tcPr>
          <w:p w14:paraId="5DCBCEFA">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7</w:t>
            </w:r>
          </w:p>
        </w:tc>
        <w:tc>
          <w:tcPr>
            <w:tcW w:w="1905" w:type="dxa"/>
            <w:vAlign w:val="center"/>
          </w:tcPr>
          <w:p w14:paraId="6ED03472">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全自动除尘清扫系统</w:t>
            </w:r>
          </w:p>
        </w:tc>
        <w:tc>
          <w:tcPr>
            <w:tcW w:w="900" w:type="dxa"/>
            <w:vAlign w:val="center"/>
          </w:tcPr>
          <w:p w14:paraId="4478DB45">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w:t>
            </w:r>
          </w:p>
        </w:tc>
        <w:tc>
          <w:tcPr>
            <w:tcW w:w="3606" w:type="dxa"/>
            <w:vAlign w:val="center"/>
          </w:tcPr>
          <w:p w14:paraId="6B80C898">
            <w:pPr>
              <w:widowControl/>
              <w:spacing w:line="180" w:lineRule="atLeast"/>
              <w:jc w:val="left"/>
              <w:rPr>
                <w:rFonts w:ascii="Times New Roman" w:hAnsi="Times New Roman" w:cs="Times New Roman"/>
                <w:color w:val="000000"/>
                <w:szCs w:val="21"/>
              </w:rPr>
            </w:pPr>
            <w:r>
              <w:rPr>
                <w:rFonts w:ascii="Times New Roman" w:hAnsi="Times New Roman" w:cs="Times New Roman"/>
                <w:color w:val="000000"/>
                <w:kern w:val="0"/>
                <w:szCs w:val="21"/>
                <w:lang w:bidi="ar"/>
              </w:rPr>
              <w:t>炉腔双刷清扫 + 自动负压吸尘，清扫频次软件自定义设置</w:t>
            </w:r>
          </w:p>
        </w:tc>
        <w:tc>
          <w:tcPr>
            <w:tcW w:w="1114" w:type="dxa"/>
            <w:vAlign w:val="center"/>
          </w:tcPr>
          <w:p w14:paraId="469C69F4">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否</w:t>
            </w:r>
          </w:p>
        </w:tc>
      </w:tr>
      <w:tr w14:paraId="091A8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dxa"/>
            <w:vAlign w:val="center"/>
          </w:tcPr>
          <w:p w14:paraId="10705266">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8</w:t>
            </w:r>
          </w:p>
        </w:tc>
        <w:tc>
          <w:tcPr>
            <w:tcW w:w="1905" w:type="dxa"/>
            <w:vAlign w:val="center"/>
          </w:tcPr>
          <w:p w14:paraId="4015BDD7">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恒温红外检测池</w:t>
            </w:r>
          </w:p>
        </w:tc>
        <w:tc>
          <w:tcPr>
            <w:tcW w:w="900" w:type="dxa"/>
            <w:vAlign w:val="center"/>
          </w:tcPr>
          <w:p w14:paraId="1D20B015">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w:t>
            </w:r>
          </w:p>
        </w:tc>
        <w:tc>
          <w:tcPr>
            <w:tcW w:w="3606" w:type="dxa"/>
            <w:vAlign w:val="center"/>
          </w:tcPr>
          <w:p w14:paraId="0A0FDA57">
            <w:pPr>
              <w:widowControl/>
              <w:spacing w:line="180" w:lineRule="atLeast"/>
              <w:jc w:val="left"/>
              <w:rPr>
                <w:rFonts w:ascii="Times New Roman" w:hAnsi="Times New Roman" w:cs="Times New Roman"/>
                <w:color w:val="000000"/>
                <w:szCs w:val="21"/>
              </w:rPr>
            </w:pPr>
            <w:r>
              <w:rPr>
                <w:rFonts w:ascii="Times New Roman" w:hAnsi="Times New Roman" w:cs="Times New Roman"/>
                <w:color w:val="000000"/>
                <w:kern w:val="0"/>
                <w:szCs w:val="21"/>
                <w:lang w:bidi="ar"/>
              </w:rPr>
              <w:t>检测池恒温控制，控温精度±0.1℃，降低环境温度漂移干扰</w:t>
            </w:r>
          </w:p>
        </w:tc>
        <w:tc>
          <w:tcPr>
            <w:tcW w:w="1114" w:type="dxa"/>
            <w:vAlign w:val="center"/>
          </w:tcPr>
          <w:p w14:paraId="1D3804BD">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否</w:t>
            </w:r>
          </w:p>
        </w:tc>
      </w:tr>
      <w:tr w14:paraId="26807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dxa"/>
            <w:vAlign w:val="center"/>
          </w:tcPr>
          <w:p w14:paraId="596A4FC3">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9</w:t>
            </w:r>
          </w:p>
        </w:tc>
        <w:tc>
          <w:tcPr>
            <w:tcW w:w="1905" w:type="dxa"/>
            <w:vAlign w:val="center"/>
          </w:tcPr>
          <w:p w14:paraId="5E82D99C">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红外光源配置</w:t>
            </w:r>
          </w:p>
        </w:tc>
        <w:tc>
          <w:tcPr>
            <w:tcW w:w="900" w:type="dxa"/>
            <w:vAlign w:val="center"/>
          </w:tcPr>
          <w:p w14:paraId="5CE3137B">
            <w:pPr>
              <w:widowControl/>
              <w:spacing w:line="180" w:lineRule="atLeast"/>
              <w:jc w:val="center"/>
              <w:rPr>
                <w:rFonts w:ascii="Times New Roman" w:hAnsi="Times New Roman" w:cs="Times New Roman"/>
                <w:color w:val="000000"/>
                <w:szCs w:val="21"/>
              </w:rPr>
            </w:pPr>
            <w:r>
              <w:rPr>
                <w:rFonts w:ascii="Segoe UI Symbol" w:hAnsi="Segoe UI Symbol" w:cs="Segoe UI Symbol"/>
                <w:color w:val="000000"/>
                <w:kern w:val="0"/>
                <w:szCs w:val="21"/>
                <w:lang w:bidi="ar"/>
              </w:rPr>
              <w:t>★</w:t>
            </w:r>
          </w:p>
        </w:tc>
        <w:tc>
          <w:tcPr>
            <w:tcW w:w="3606" w:type="dxa"/>
            <w:vAlign w:val="center"/>
          </w:tcPr>
          <w:p w14:paraId="0E6F3F69">
            <w:pPr>
              <w:widowControl/>
              <w:spacing w:line="180" w:lineRule="atLeast"/>
              <w:jc w:val="left"/>
              <w:rPr>
                <w:rFonts w:ascii="Times New Roman" w:hAnsi="Times New Roman" w:cs="Times New Roman"/>
                <w:color w:val="000000"/>
                <w:szCs w:val="21"/>
              </w:rPr>
            </w:pPr>
            <w:r>
              <w:rPr>
                <w:rFonts w:ascii="Times New Roman" w:hAnsi="Times New Roman" w:cs="Times New Roman"/>
                <w:color w:val="000000"/>
                <w:kern w:val="0"/>
                <w:szCs w:val="21"/>
                <w:lang w:bidi="ar"/>
              </w:rPr>
              <w:t>采用半导体不发热冷光源；投标文件须提供证明材料</w:t>
            </w:r>
          </w:p>
        </w:tc>
        <w:tc>
          <w:tcPr>
            <w:tcW w:w="1114" w:type="dxa"/>
            <w:vAlign w:val="center"/>
          </w:tcPr>
          <w:p w14:paraId="5CE05DEF">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是</w:t>
            </w:r>
          </w:p>
        </w:tc>
      </w:tr>
      <w:tr w14:paraId="3E950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dxa"/>
            <w:vAlign w:val="center"/>
          </w:tcPr>
          <w:p w14:paraId="2A1E4435">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10</w:t>
            </w:r>
          </w:p>
        </w:tc>
        <w:tc>
          <w:tcPr>
            <w:tcW w:w="1905" w:type="dxa"/>
            <w:vAlign w:val="center"/>
          </w:tcPr>
          <w:p w14:paraId="662B5F52">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物理选择性除水装置</w:t>
            </w:r>
          </w:p>
        </w:tc>
        <w:tc>
          <w:tcPr>
            <w:tcW w:w="900" w:type="dxa"/>
            <w:vAlign w:val="center"/>
          </w:tcPr>
          <w:p w14:paraId="28F4C43A">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w:t>
            </w:r>
          </w:p>
        </w:tc>
        <w:tc>
          <w:tcPr>
            <w:tcW w:w="3606" w:type="dxa"/>
            <w:vAlign w:val="center"/>
          </w:tcPr>
          <w:p w14:paraId="5118AD13">
            <w:pPr>
              <w:widowControl/>
              <w:spacing w:line="180" w:lineRule="atLeast"/>
              <w:jc w:val="left"/>
              <w:rPr>
                <w:rFonts w:ascii="Times New Roman" w:hAnsi="Times New Roman" w:cs="Times New Roman"/>
                <w:color w:val="000000"/>
                <w:szCs w:val="21"/>
              </w:rPr>
            </w:pPr>
            <w:r>
              <w:rPr>
                <w:rFonts w:ascii="Times New Roman" w:hAnsi="Times New Roman" w:cs="Times New Roman"/>
                <w:color w:val="000000"/>
                <w:kern w:val="0"/>
                <w:szCs w:val="21"/>
                <w:lang w:bidi="ar"/>
              </w:rPr>
              <w:t>配备渗透式除水组件，含水量 20% 以内样品可直接检测</w:t>
            </w:r>
          </w:p>
        </w:tc>
        <w:tc>
          <w:tcPr>
            <w:tcW w:w="1114" w:type="dxa"/>
            <w:vAlign w:val="center"/>
          </w:tcPr>
          <w:p w14:paraId="3AB4A119">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是</w:t>
            </w:r>
          </w:p>
        </w:tc>
      </w:tr>
      <w:tr w14:paraId="429F1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dxa"/>
            <w:vAlign w:val="center"/>
          </w:tcPr>
          <w:p w14:paraId="75E76DE4">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11</w:t>
            </w:r>
          </w:p>
        </w:tc>
        <w:tc>
          <w:tcPr>
            <w:tcW w:w="1905" w:type="dxa"/>
            <w:vAlign w:val="center"/>
          </w:tcPr>
          <w:p w14:paraId="4A6FB019">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整机全状态监控功能</w:t>
            </w:r>
          </w:p>
        </w:tc>
        <w:tc>
          <w:tcPr>
            <w:tcW w:w="900" w:type="dxa"/>
            <w:vAlign w:val="center"/>
          </w:tcPr>
          <w:p w14:paraId="39C39B0E">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w:t>
            </w:r>
          </w:p>
        </w:tc>
        <w:tc>
          <w:tcPr>
            <w:tcW w:w="3606" w:type="dxa"/>
            <w:vAlign w:val="center"/>
          </w:tcPr>
          <w:p w14:paraId="2020381D">
            <w:pPr>
              <w:widowControl/>
              <w:spacing w:line="180" w:lineRule="atLeast"/>
              <w:jc w:val="left"/>
              <w:rPr>
                <w:rFonts w:ascii="Times New Roman" w:hAnsi="Times New Roman" w:cs="Times New Roman"/>
                <w:color w:val="000000"/>
                <w:szCs w:val="21"/>
              </w:rPr>
            </w:pPr>
            <w:r>
              <w:rPr>
                <w:rFonts w:ascii="Times New Roman" w:hAnsi="Times New Roman" w:cs="Times New Roman"/>
                <w:color w:val="000000"/>
                <w:kern w:val="0"/>
                <w:szCs w:val="21"/>
                <w:lang w:bidi="ar"/>
              </w:rPr>
              <w:t>实时监测气路压力、MFC 流量、检测池温度、转化炉温度、高频栅流板流，异常自动报警停机</w:t>
            </w:r>
          </w:p>
        </w:tc>
        <w:tc>
          <w:tcPr>
            <w:tcW w:w="1114" w:type="dxa"/>
            <w:vAlign w:val="center"/>
          </w:tcPr>
          <w:p w14:paraId="0F1563B7">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是</w:t>
            </w:r>
          </w:p>
        </w:tc>
      </w:tr>
      <w:tr w14:paraId="00CF9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dxa"/>
            <w:vAlign w:val="center"/>
          </w:tcPr>
          <w:p w14:paraId="6C99A2AA">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12</w:t>
            </w:r>
          </w:p>
        </w:tc>
        <w:tc>
          <w:tcPr>
            <w:tcW w:w="1905" w:type="dxa"/>
            <w:vAlign w:val="center"/>
          </w:tcPr>
          <w:p w14:paraId="5D0246D9">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曲线自动校正功能</w:t>
            </w:r>
          </w:p>
        </w:tc>
        <w:tc>
          <w:tcPr>
            <w:tcW w:w="900" w:type="dxa"/>
            <w:vAlign w:val="center"/>
          </w:tcPr>
          <w:p w14:paraId="3B64CCAC">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w:t>
            </w:r>
          </w:p>
        </w:tc>
        <w:tc>
          <w:tcPr>
            <w:tcW w:w="3606" w:type="dxa"/>
            <w:vAlign w:val="center"/>
          </w:tcPr>
          <w:p w14:paraId="250CB428">
            <w:pPr>
              <w:widowControl/>
              <w:spacing w:line="180" w:lineRule="atLeast"/>
              <w:jc w:val="left"/>
              <w:rPr>
                <w:rFonts w:ascii="Times New Roman" w:hAnsi="Times New Roman" w:cs="Times New Roman"/>
                <w:color w:val="000000"/>
                <w:szCs w:val="21"/>
              </w:rPr>
            </w:pPr>
            <w:r>
              <w:rPr>
                <w:rFonts w:ascii="Times New Roman" w:hAnsi="Times New Roman" w:cs="Times New Roman"/>
                <w:color w:val="000000"/>
                <w:kern w:val="0"/>
                <w:szCs w:val="21"/>
                <w:lang w:bidi="ar"/>
              </w:rPr>
              <w:t>软件具备一键线性曲线平移校正功能，抵消温压、气体膨胀带来的检测误差，投标提供软件操作截图佐证</w:t>
            </w:r>
          </w:p>
        </w:tc>
        <w:tc>
          <w:tcPr>
            <w:tcW w:w="1114" w:type="dxa"/>
            <w:vAlign w:val="center"/>
          </w:tcPr>
          <w:p w14:paraId="73683BEB">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是</w:t>
            </w:r>
          </w:p>
        </w:tc>
      </w:tr>
      <w:tr w14:paraId="18DC5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dxa"/>
            <w:vAlign w:val="center"/>
          </w:tcPr>
          <w:p w14:paraId="37789B1F">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13</w:t>
            </w:r>
          </w:p>
        </w:tc>
        <w:tc>
          <w:tcPr>
            <w:tcW w:w="1905" w:type="dxa"/>
            <w:vAlign w:val="center"/>
          </w:tcPr>
          <w:p w14:paraId="28E3C03E">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可拆卸红外气室</w:t>
            </w:r>
          </w:p>
        </w:tc>
        <w:tc>
          <w:tcPr>
            <w:tcW w:w="900" w:type="dxa"/>
            <w:vAlign w:val="center"/>
          </w:tcPr>
          <w:p w14:paraId="4452D082">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w:t>
            </w:r>
          </w:p>
        </w:tc>
        <w:tc>
          <w:tcPr>
            <w:tcW w:w="3606" w:type="dxa"/>
            <w:vAlign w:val="center"/>
          </w:tcPr>
          <w:p w14:paraId="3815D7BB">
            <w:pPr>
              <w:widowControl/>
              <w:spacing w:line="180" w:lineRule="atLeast"/>
              <w:jc w:val="left"/>
              <w:rPr>
                <w:rFonts w:ascii="Times New Roman" w:hAnsi="Times New Roman" w:cs="Times New Roman"/>
                <w:color w:val="000000"/>
                <w:szCs w:val="21"/>
              </w:rPr>
            </w:pPr>
            <w:r>
              <w:rPr>
                <w:rFonts w:ascii="Times New Roman" w:hAnsi="Times New Roman" w:cs="Times New Roman"/>
                <w:color w:val="000000"/>
                <w:kern w:val="0"/>
                <w:szCs w:val="21"/>
                <w:lang w:bidi="ar"/>
              </w:rPr>
              <w:t>红外检测气室可拆卸清洗，降低耗材更换成本</w:t>
            </w:r>
          </w:p>
        </w:tc>
        <w:tc>
          <w:tcPr>
            <w:tcW w:w="1114" w:type="dxa"/>
            <w:vAlign w:val="center"/>
          </w:tcPr>
          <w:p w14:paraId="3901E5DE">
            <w:pPr>
              <w:widowControl/>
              <w:spacing w:line="180" w:lineRule="atLeast"/>
              <w:jc w:val="center"/>
              <w:rPr>
                <w:rFonts w:ascii="Times New Roman" w:hAnsi="Times New Roman" w:cs="Times New Roman"/>
                <w:color w:val="000000"/>
                <w:szCs w:val="21"/>
              </w:rPr>
            </w:pPr>
            <w:r>
              <w:rPr>
                <w:rFonts w:ascii="Times New Roman" w:hAnsi="Times New Roman" w:cs="Times New Roman"/>
                <w:color w:val="000000"/>
                <w:kern w:val="0"/>
                <w:szCs w:val="21"/>
                <w:lang w:bidi="ar"/>
              </w:rPr>
              <w:t>否</w:t>
            </w:r>
          </w:p>
        </w:tc>
      </w:tr>
    </w:tbl>
    <w:p w14:paraId="66F902A2">
      <w:pPr>
        <w:autoSpaceDE w:val="0"/>
        <w:autoSpaceDN w:val="0"/>
        <w:adjustRightInd w:val="0"/>
        <w:snapToGrid w:val="0"/>
        <w:spacing w:line="360" w:lineRule="auto"/>
        <w:jc w:val="left"/>
        <w:rPr>
          <w:rFonts w:ascii="Times New Roman" w:hAnsi="Times New Roman" w:eastAsia="仿宋_GB2312" w:cs="Times New Roman"/>
          <w:snapToGrid w:val="0"/>
          <w:kern w:val="0"/>
          <w:sz w:val="24"/>
          <w:szCs w:val="24"/>
        </w:rPr>
      </w:pPr>
    </w:p>
    <w:p w14:paraId="79E6DFEF">
      <w:pPr>
        <w:autoSpaceDE w:val="0"/>
        <w:autoSpaceDN w:val="0"/>
        <w:adjustRightInd w:val="0"/>
        <w:snapToGrid w:val="0"/>
        <w:spacing w:line="360" w:lineRule="auto"/>
        <w:jc w:val="left"/>
        <w:rPr>
          <w:rFonts w:ascii="Times New Roman" w:hAnsi="Times New Roman" w:eastAsia="仿宋_GB2312" w:cs="Times New Roman"/>
          <w:b/>
          <w:snapToGrid w:val="0"/>
          <w:kern w:val="0"/>
          <w:sz w:val="24"/>
          <w:szCs w:val="24"/>
        </w:rPr>
      </w:pPr>
      <w:r>
        <w:rPr>
          <w:rFonts w:ascii="Times New Roman" w:hAnsi="Times New Roman" w:eastAsia="仿宋_GB2312" w:cs="Times New Roman"/>
          <w:b/>
          <w:snapToGrid w:val="0"/>
          <w:kern w:val="0"/>
          <w:sz w:val="24"/>
          <w:szCs w:val="24"/>
        </w:rPr>
        <w:t>说明：</w:t>
      </w:r>
    </w:p>
    <w:p w14:paraId="2929C0EC">
      <w:pPr>
        <w:autoSpaceDE w:val="0"/>
        <w:autoSpaceDN w:val="0"/>
        <w:adjustRightInd w:val="0"/>
        <w:snapToGrid w:val="0"/>
        <w:spacing w:line="360" w:lineRule="auto"/>
        <w:jc w:val="left"/>
        <w:rPr>
          <w:rFonts w:ascii="Times New Roman" w:hAnsi="Times New Roman" w:eastAsia="仿宋_GB2312" w:cs="Times New Roman"/>
          <w:snapToGrid w:val="0"/>
          <w:kern w:val="0"/>
          <w:sz w:val="24"/>
          <w:szCs w:val="24"/>
        </w:rPr>
      </w:pPr>
      <w:r>
        <w:rPr>
          <w:rFonts w:ascii="Times New Roman" w:hAnsi="Times New Roman" w:eastAsia="仿宋_GB2312" w:cs="Times New Roman"/>
          <w:snapToGrid w:val="0"/>
          <w:kern w:val="0"/>
          <w:sz w:val="24"/>
          <w:szCs w:val="24"/>
        </w:rPr>
        <w:fldChar w:fldCharType="begin"/>
      </w:r>
      <w:r>
        <w:rPr>
          <w:rFonts w:ascii="Times New Roman" w:hAnsi="Times New Roman" w:eastAsia="仿宋_GB2312" w:cs="Times New Roman"/>
          <w:snapToGrid w:val="0"/>
          <w:kern w:val="0"/>
          <w:sz w:val="24"/>
          <w:szCs w:val="24"/>
        </w:rPr>
        <w:instrText xml:space="preserve">= 1 \* GB3</w:instrText>
      </w:r>
      <w:r>
        <w:rPr>
          <w:rFonts w:ascii="Times New Roman" w:hAnsi="Times New Roman" w:eastAsia="仿宋_GB2312" w:cs="Times New Roman"/>
          <w:snapToGrid w:val="0"/>
          <w:kern w:val="0"/>
          <w:sz w:val="24"/>
          <w:szCs w:val="24"/>
        </w:rPr>
        <w:fldChar w:fldCharType="separate"/>
      </w:r>
      <w:r>
        <w:rPr>
          <w:rFonts w:ascii="Cambria Math" w:hAnsi="Cambria Math" w:eastAsia="仿宋_GB2312" w:cs="Cambria Math"/>
          <w:snapToGrid w:val="0"/>
          <w:kern w:val="0"/>
          <w:sz w:val="24"/>
          <w:szCs w:val="24"/>
        </w:rPr>
        <w:t>①</w:t>
      </w:r>
      <w:r>
        <w:rPr>
          <w:rFonts w:ascii="Times New Roman" w:hAnsi="Times New Roman" w:eastAsia="仿宋_GB2312" w:cs="Times New Roman"/>
          <w:snapToGrid w:val="0"/>
          <w:kern w:val="0"/>
          <w:sz w:val="24"/>
          <w:szCs w:val="24"/>
        </w:rPr>
        <w:fldChar w:fldCharType="end"/>
      </w:r>
      <w:r>
        <w:rPr>
          <w:rFonts w:ascii="Times New Roman" w:hAnsi="Times New Roman" w:eastAsia="仿宋_GB2312" w:cs="Times New Roman"/>
          <w:snapToGrid w:val="0"/>
          <w:kern w:val="0"/>
          <w:sz w:val="24"/>
          <w:szCs w:val="24"/>
        </w:rPr>
        <w:t>重要性可用“</w:t>
      </w:r>
      <w:r>
        <w:rPr>
          <w:rFonts w:ascii="Segoe UI Symbol" w:hAnsi="Segoe UI Symbol" w:eastAsia="仿宋_GB2312" w:cs="Segoe UI Symbol"/>
          <w:snapToGrid w:val="0"/>
          <w:kern w:val="0"/>
          <w:sz w:val="24"/>
          <w:szCs w:val="24"/>
        </w:rPr>
        <w:t>★</w:t>
      </w:r>
      <w:r>
        <w:rPr>
          <w:rFonts w:ascii="Times New Roman" w:hAnsi="Times New Roman" w:eastAsia="仿宋_GB2312" w:cs="Times New Roman"/>
          <w:snapToGrid w:val="0"/>
          <w:kern w:val="0"/>
          <w:sz w:val="24"/>
          <w:szCs w:val="24"/>
        </w:rPr>
        <w:t>”“#”表示，“</w:t>
      </w:r>
      <w:r>
        <w:rPr>
          <w:rFonts w:ascii="Segoe UI Symbol" w:hAnsi="Segoe UI Symbol" w:eastAsia="仿宋_GB2312" w:cs="Segoe UI Symbol"/>
          <w:snapToGrid w:val="0"/>
          <w:kern w:val="0"/>
          <w:sz w:val="24"/>
          <w:szCs w:val="24"/>
        </w:rPr>
        <w:t>★</w:t>
      </w:r>
      <w:r>
        <w:rPr>
          <w:rFonts w:ascii="Times New Roman" w:hAnsi="Times New Roman" w:eastAsia="仿宋_GB2312" w:cs="Times New Roman"/>
          <w:snapToGrid w:val="0"/>
          <w:kern w:val="0"/>
          <w:sz w:val="24"/>
          <w:szCs w:val="24"/>
        </w:rPr>
        <w:t>”代表关键指标，不满足该指标项将导致响应被拒绝；“#”代表重要指标；无标识则表示属一般指标项。</w:t>
      </w:r>
    </w:p>
    <w:p w14:paraId="71A87C9D">
      <w:pPr>
        <w:autoSpaceDE w:val="0"/>
        <w:autoSpaceDN w:val="0"/>
        <w:adjustRightInd w:val="0"/>
        <w:snapToGrid w:val="0"/>
        <w:spacing w:line="360" w:lineRule="auto"/>
        <w:jc w:val="left"/>
        <w:rPr>
          <w:rFonts w:hint="eastAsia" w:ascii="仿宋_GB2312" w:hAnsi="宋体" w:eastAsia="仿宋_GB2312" w:cs="宋体"/>
          <w:snapToGrid w:val="0"/>
          <w:kern w:val="0"/>
          <w:sz w:val="24"/>
          <w:szCs w:val="24"/>
          <w:lang w:val="zh-CN"/>
        </w:rPr>
      </w:pPr>
      <w:r>
        <w:rPr>
          <w:rFonts w:ascii="Times New Roman" w:hAnsi="Times New Roman" w:eastAsia="仿宋_GB2312" w:cs="Times New Roman"/>
          <w:snapToGrid w:val="0"/>
          <w:kern w:val="0"/>
          <w:sz w:val="24"/>
          <w:szCs w:val="24"/>
        </w:rPr>
        <w:fldChar w:fldCharType="begin"/>
      </w:r>
      <w:r>
        <w:rPr>
          <w:rFonts w:ascii="Times New Roman" w:hAnsi="Times New Roman" w:eastAsia="仿宋_GB2312" w:cs="Times New Roman"/>
          <w:snapToGrid w:val="0"/>
          <w:kern w:val="0"/>
          <w:sz w:val="24"/>
          <w:szCs w:val="24"/>
        </w:rPr>
        <w:instrText xml:space="preserve">= 2 \* GB3</w:instrText>
      </w:r>
      <w:r>
        <w:rPr>
          <w:rFonts w:ascii="Times New Roman" w:hAnsi="Times New Roman" w:eastAsia="仿宋_GB2312" w:cs="Times New Roman"/>
          <w:snapToGrid w:val="0"/>
          <w:kern w:val="0"/>
          <w:sz w:val="24"/>
          <w:szCs w:val="24"/>
        </w:rPr>
        <w:fldChar w:fldCharType="separate"/>
      </w:r>
      <w:r>
        <w:rPr>
          <w:rFonts w:ascii="Cambria Math" w:hAnsi="Cambria Math" w:eastAsia="仿宋_GB2312" w:cs="Cambria Math"/>
          <w:snapToGrid w:val="0"/>
          <w:kern w:val="0"/>
          <w:sz w:val="24"/>
          <w:szCs w:val="24"/>
        </w:rPr>
        <w:t>②</w:t>
      </w:r>
      <w:r>
        <w:rPr>
          <w:rFonts w:ascii="Times New Roman" w:hAnsi="Times New Roman" w:eastAsia="仿宋_GB2312" w:cs="Times New Roman"/>
          <w:snapToGrid w:val="0"/>
          <w:kern w:val="0"/>
          <w:sz w:val="24"/>
          <w:szCs w:val="24"/>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r>
        <w:rPr>
          <w:rFonts w:ascii="仿宋_GB2312" w:hAnsi="宋体" w:eastAsia="仿宋_GB2312" w:cs="宋体"/>
          <w:snapToGrid w:val="0"/>
          <w:kern w:val="0"/>
          <w:sz w:val="24"/>
          <w:szCs w:val="24"/>
          <w:lang w:val="zh-CN"/>
        </w:rPr>
        <w:t>填写“否”的提供技术参数偏离表或承诺响应，未提供或提供的偏离表中或承诺有负偏离的，则该指标按不满足处理。若供应商偏离表中与响应文件所列证明材料内容不一致时，将以证明材料内容为准进行评审。</w:t>
      </w:r>
    </w:p>
    <w:p w14:paraId="054AB741">
      <w:pPr>
        <w:autoSpaceDE w:val="0"/>
        <w:autoSpaceDN w:val="0"/>
        <w:adjustRightInd w:val="0"/>
        <w:snapToGrid w:val="0"/>
        <w:spacing w:line="360" w:lineRule="auto"/>
        <w:jc w:val="center"/>
        <w:rPr>
          <w:rFonts w:ascii="Times New Roman" w:hAnsi="Times New Roman" w:eastAsia="仿宋_GB2312" w:cs="Times New Roman"/>
          <w:color w:val="000000"/>
          <w:kern w:val="0"/>
          <w:sz w:val="28"/>
          <w:szCs w:val="28"/>
          <w:shd w:val="clear" w:color="auto" w:fill="FFFFFF"/>
        </w:rPr>
      </w:pPr>
      <w:r>
        <w:rPr>
          <w:rFonts w:ascii="Times New Roman" w:hAnsi="Times New Roman" w:eastAsia="仿宋_GB2312" w:cs="Times New Roman"/>
          <w:color w:val="000000"/>
          <w:kern w:val="0"/>
          <w:sz w:val="28"/>
          <w:szCs w:val="28"/>
          <w:shd w:val="clear" w:color="auto" w:fill="FFFFFF"/>
        </w:rPr>
        <w:t>（</w:t>
      </w:r>
      <w:r>
        <w:rPr>
          <w:rFonts w:hint="eastAsia" w:ascii="Times New Roman" w:hAnsi="Times New Roman" w:eastAsia="仿宋_GB2312" w:cs="Times New Roman"/>
          <w:color w:val="000000"/>
          <w:kern w:val="0"/>
          <w:sz w:val="28"/>
          <w:szCs w:val="28"/>
          <w:shd w:val="clear" w:color="auto" w:fill="FFFFFF"/>
        </w:rPr>
        <w:t>八</w:t>
      </w:r>
      <w:r>
        <w:rPr>
          <w:rFonts w:ascii="Times New Roman" w:hAnsi="Times New Roman" w:eastAsia="仿宋_GB2312" w:cs="Times New Roman"/>
          <w:color w:val="000000"/>
          <w:kern w:val="0"/>
          <w:sz w:val="28"/>
          <w:szCs w:val="28"/>
          <w:shd w:val="clear" w:color="auto" w:fill="FFFFFF"/>
        </w:rPr>
        <w:t>）多</w:t>
      </w:r>
      <w:r>
        <w:rPr>
          <w:rFonts w:ascii="Times New Roman" w:hAnsi="Times New Roman" w:eastAsia="仿宋_GB2312" w:cs="Times New Roman"/>
          <w:kern w:val="0"/>
          <w:sz w:val="28"/>
          <w:szCs w:val="28"/>
          <w:shd w:val="clear" w:color="auto" w:fill="FFFFFF"/>
        </w:rPr>
        <w:t>形态汞检测</w:t>
      </w:r>
      <w:r>
        <w:rPr>
          <w:rFonts w:ascii="Times New Roman" w:hAnsi="Times New Roman" w:eastAsia="仿宋_GB2312" w:cs="Times New Roman"/>
          <w:color w:val="000000"/>
          <w:kern w:val="0"/>
          <w:sz w:val="28"/>
          <w:szCs w:val="28"/>
          <w:shd w:val="clear" w:color="auto" w:fill="FFFFFF"/>
        </w:rPr>
        <w:t>仪（1台）</w:t>
      </w:r>
    </w:p>
    <w:p w14:paraId="1E64F409">
      <w:pPr>
        <w:widowControl/>
        <w:shd w:val="clear" w:color="auto" w:fill="FFFFFF"/>
        <w:spacing w:line="360" w:lineRule="auto"/>
        <w:ind w:firstLine="482" w:firstLineChars="200"/>
        <w:jc w:val="left"/>
        <w:rPr>
          <w:rFonts w:ascii="Times New Roman" w:hAnsi="Times New Roman" w:eastAsia="仿宋_GB2312" w:cs="Times New Roman"/>
          <w:b/>
          <w:bCs/>
          <w:i/>
          <w:iCs/>
          <w:sz w:val="24"/>
          <w:szCs w:val="24"/>
        </w:rPr>
      </w:pPr>
      <w:bookmarkStart w:id="2" w:name="OLE_LINK15"/>
      <w:r>
        <w:rPr>
          <w:rFonts w:ascii="Times New Roman" w:hAnsi="Times New Roman" w:eastAsia="仿宋_GB2312" w:cs="Times New Roman"/>
          <w:b/>
          <w:bCs/>
          <w:sz w:val="24"/>
          <w:szCs w:val="24"/>
        </w:rPr>
        <w:t>1.功能要求：</w:t>
      </w:r>
    </w:p>
    <w:p w14:paraId="6116D92E">
      <w:pPr>
        <w:widowControl/>
        <w:shd w:val="clear" w:color="auto" w:fill="FFFFFF"/>
        <w:spacing w:line="360" w:lineRule="auto"/>
        <w:ind w:firstLine="480" w:firstLineChars="200"/>
        <w:jc w:val="left"/>
        <w:rPr>
          <w:rFonts w:ascii="Times New Roman" w:hAnsi="Times New Roman" w:eastAsia="仿宋_GB2312" w:cs="Times New Roman"/>
          <w:sz w:val="24"/>
          <w:szCs w:val="24"/>
        </w:rPr>
      </w:pPr>
      <w:bookmarkStart w:id="3" w:name="OLE_LINK22"/>
      <w:r>
        <w:rPr>
          <w:rFonts w:hint="eastAsia" w:ascii="Times New Roman" w:hAnsi="Times New Roman" w:eastAsia="仿宋_GB2312" w:cs="Times New Roman"/>
          <w:sz w:val="24"/>
          <w:szCs w:val="24"/>
        </w:rPr>
        <w:t>本设备用于支撑地球化学、环境地球化学及表生地球化学领域的教学与科研，重点服务于《地球化学》、《表生地球化学》、《元素地球化学》、《环境地球化学》、《土壤与土壤化学》等本科课程实验教学，支持地质学、地球化学、环境科学等专业本科生及研究生的生产实习与论文研究的测试需求，每年覆盖学生约250人，教学实验总课时约120学时/年。</w:t>
      </w:r>
    </w:p>
    <w:p w14:paraId="4496B38B">
      <w:pPr>
        <w:widowControl/>
        <w:shd w:val="clear" w:color="auto" w:fill="FFFFFF"/>
        <w:spacing w:line="360" w:lineRule="auto"/>
        <w:ind w:firstLine="480" w:firstLineChars="200"/>
        <w:jc w:val="left"/>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该设备应包含总汞分析模块与烷基汞分析模块，分别配有不同灵敏度的冷原子荧光检测器，可独立运行，既能实现样品中总汞的快速精准测定，又能实现水、土壤、沉积物及生物等环境与地质样品中痕量烷基汞（甲基汞、乙基汞等）的全自动在线衍生、富集、分离与高灵敏度检测。其中，烷基汞分析模块严格遵循《HJ 977-2018 水质 烷基汞的测定》等现行国家标准方法，全自动完成从液体样品进样到甲基汞、乙基汞等形态定量的全过程，能够准确测定环境样品中ng/L（ppt）级别的汞含量，支撑汞元素生物地球化学循环、表生环境迁移转化、人为源污染评估等前沿课题研究。</w:t>
      </w:r>
    </w:p>
    <w:p w14:paraId="6472C2AC">
      <w:pPr>
        <w:widowControl/>
        <w:shd w:val="clear" w:color="auto" w:fill="FFFFFF"/>
        <w:spacing w:line="360" w:lineRule="auto"/>
        <w:ind w:firstLine="480" w:firstLineChars="200"/>
        <w:jc w:val="left"/>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设备应配备固体样品加热模块，可实现土壤样品中不同赋存形态汞的分步热解析测定，拓展设备对复杂地质样品的分析能力。同时，仪器方法针对复杂基质样品（如土壤、沉积物提取液）具备有效抗干扰能力，可支撑学生完整参与从野外采样、样品前处理到仪器分析、数据报告的全链条实践训练。</w:t>
      </w:r>
    </w:p>
    <w:p w14:paraId="3C10E50F">
      <w:pPr>
        <w:widowControl/>
        <w:shd w:val="clear" w:color="auto" w:fill="FFFFFF"/>
        <w:spacing w:line="360" w:lineRule="auto"/>
        <w:ind w:firstLine="480" w:firstLineChars="200"/>
        <w:jc w:val="left"/>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设备应具备总汞和烷基汞分析能力，并配套自动进样器、气路控制系统、色谱分离系统和固体进样模块，支持全自动序列运行与数据分析报告生成。</w:t>
      </w:r>
    </w:p>
    <w:bookmarkEnd w:id="2"/>
    <w:bookmarkEnd w:id="3"/>
    <w:p w14:paraId="672ADE1F">
      <w:pPr>
        <w:widowControl/>
        <w:numPr>
          <w:ilvl w:val="0"/>
          <w:numId w:val="8"/>
        </w:numPr>
        <w:shd w:val="clear" w:color="auto" w:fill="FFFFFF"/>
        <w:spacing w:line="360" w:lineRule="auto"/>
        <w:ind w:firstLine="482" w:firstLineChars="200"/>
        <w:jc w:val="left"/>
        <w:rPr>
          <w:rFonts w:ascii="Times New Roman" w:hAnsi="Times New Roman" w:eastAsia="仿宋_GB2312" w:cs="Times New Roman"/>
          <w:b/>
          <w:bCs/>
          <w:sz w:val="24"/>
          <w:szCs w:val="24"/>
        </w:rPr>
      </w:pPr>
      <w:r>
        <w:rPr>
          <w:rFonts w:ascii="Times New Roman" w:hAnsi="Times New Roman" w:eastAsia="仿宋_GB2312" w:cs="Times New Roman"/>
          <w:b/>
          <w:bCs/>
          <w:sz w:val="24"/>
          <w:szCs w:val="24"/>
        </w:rPr>
        <w:t>应遵循的相关国家标准、行业标准、地方标准等标准、规范：</w:t>
      </w:r>
    </w:p>
    <w:p w14:paraId="72982AA5">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主要参考国家标准和行业标准（1）《</w:t>
      </w:r>
      <w:bookmarkStart w:id="4" w:name="OLE_LINK25"/>
      <w:r>
        <w:rPr>
          <w:rFonts w:ascii="Times New Roman" w:hAnsi="Times New Roman" w:eastAsia="仿宋_GB2312" w:cs="Times New Roman"/>
          <w:sz w:val="24"/>
          <w:szCs w:val="24"/>
        </w:rPr>
        <w:t>GB/T 17136-1997 土壤质量 总汞的测定 冷原子吸收分光光度法</w:t>
      </w:r>
      <w:bookmarkEnd w:id="4"/>
      <w:r>
        <w:rPr>
          <w:rFonts w:ascii="Times New Roman" w:hAnsi="Times New Roman" w:eastAsia="仿宋_GB2312" w:cs="Times New Roman"/>
          <w:sz w:val="24"/>
          <w:szCs w:val="24"/>
        </w:rPr>
        <w:t>》——参考总汞测定的通用技术规范，确保总汞分析模块的检测结果准确可靠；</w:t>
      </w:r>
      <w:bookmarkStart w:id="5" w:name="_Hlk235603010"/>
      <w:r>
        <w:rPr>
          <w:rFonts w:ascii="Times New Roman" w:hAnsi="Times New Roman" w:eastAsia="仿宋_GB2312" w:cs="Times New Roman"/>
          <w:sz w:val="24"/>
          <w:szCs w:val="24"/>
        </w:rPr>
        <w:t>（2）《</w:t>
      </w:r>
      <w:bookmarkStart w:id="6" w:name="OLE_LINK24"/>
      <w:r>
        <w:rPr>
          <w:rFonts w:ascii="Times New Roman" w:hAnsi="Times New Roman" w:eastAsia="仿宋_GB2312" w:cs="Times New Roman"/>
          <w:sz w:val="24"/>
          <w:szCs w:val="24"/>
        </w:rPr>
        <w:t>HJ 977-2018 水质 烷基汞的测定 吹扫捕集/气相色谱-冷原子荧光光谱法</w:t>
      </w:r>
      <w:bookmarkEnd w:id="6"/>
      <w:r>
        <w:rPr>
          <w:rFonts w:ascii="Times New Roman" w:hAnsi="Times New Roman" w:eastAsia="仿宋_GB2312" w:cs="Times New Roman"/>
          <w:sz w:val="24"/>
          <w:szCs w:val="24"/>
        </w:rPr>
        <w:t xml:space="preserve">》——烷基汞分析核心方法标准，严格遵循该标准规定的吹扫捕集条件、色谱分离参数及检测器设置，确保实验教学与检测结果的规范性和可比性；（3）《HJ 1269-2022 土壤和沉积物 甲基汞和乙基汞的测定 吹扫捕集/气相色谱-冷原子荧光光谱法》——拓展设备在土壤及沉积物基质中的应用范围，支撑环境地球化学相关实验教学；（4）《HJ </w:t>
      </w:r>
      <w:bookmarkStart w:id="7" w:name="OLE_LINK26"/>
      <w:r>
        <w:rPr>
          <w:rFonts w:ascii="Times New Roman" w:hAnsi="Times New Roman" w:eastAsia="仿宋_GB2312" w:cs="Times New Roman"/>
          <w:sz w:val="24"/>
          <w:szCs w:val="24"/>
        </w:rPr>
        <w:t xml:space="preserve">923-2017 土壤和沉积物 总汞的测定 催化热解-冷原子吸收分光光度法》——参考固体样品直接进样测汞的技术思路，与本设备固体样品加热模块的分步热解析功能相衔接； </w:t>
      </w:r>
      <w:bookmarkEnd w:id="7"/>
    </w:p>
    <w:bookmarkEnd w:id="5"/>
    <w:p w14:paraId="52A8EA03">
      <w:pPr>
        <w:widowControl/>
        <w:numPr>
          <w:ilvl w:val="0"/>
          <w:numId w:val="8"/>
        </w:numPr>
        <w:shd w:val="clear" w:color="auto" w:fill="FFFFFF"/>
        <w:spacing w:line="360" w:lineRule="auto"/>
        <w:ind w:firstLine="482" w:firstLineChars="200"/>
        <w:rPr>
          <w:rFonts w:ascii="Times New Roman" w:hAnsi="Times New Roman" w:eastAsia="仿宋_GB2312" w:cs="Times New Roman"/>
          <w:b/>
          <w:bCs/>
          <w:sz w:val="24"/>
          <w:szCs w:val="24"/>
        </w:rPr>
      </w:pPr>
      <w:r>
        <w:rPr>
          <w:rFonts w:ascii="Times New Roman" w:hAnsi="Times New Roman" w:eastAsia="仿宋_GB2312" w:cs="Times New Roman"/>
          <w:b/>
          <w:bCs/>
          <w:sz w:val="24"/>
          <w:szCs w:val="24"/>
        </w:rPr>
        <w:t>后续运营维护、升级更新、备品备件等要求：</w:t>
      </w:r>
    </w:p>
    <w:p w14:paraId="3526487C">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运维服务：</w:t>
      </w:r>
      <w:bookmarkStart w:id="8" w:name="_Hlk235603364"/>
      <w:r>
        <w:rPr>
          <w:rFonts w:ascii="Times New Roman" w:hAnsi="Times New Roman" w:eastAsia="仿宋_GB2312" w:cs="Times New Roman"/>
          <w:sz w:val="24"/>
          <w:szCs w:val="24"/>
        </w:rPr>
        <w:t xml:space="preserve"> 供应商需提供≥2年整机质保（含检测器光源、气相色谱模块、自动进样器等核心部件），质保期内每半年开展1次现场巡检，进行系统性能验证（含检出限、重复性、回收率等关键指标核查）及预防性维护；故障响应时间≤</w:t>
      </w:r>
      <w:r>
        <w:rPr>
          <w:rFonts w:hint="eastAsia" w:ascii="Times New Roman" w:hAnsi="Times New Roman" w:eastAsia="仿宋_GB2312" w:cs="Times New Roman"/>
          <w:sz w:val="24"/>
          <w:szCs w:val="24"/>
        </w:rPr>
        <w:t>48</w:t>
      </w:r>
      <w:r>
        <w:rPr>
          <w:rFonts w:ascii="Times New Roman" w:hAnsi="Times New Roman" w:eastAsia="仿宋_GB2312" w:cs="Times New Roman"/>
          <w:sz w:val="24"/>
          <w:szCs w:val="24"/>
        </w:rPr>
        <w:t>小时，修复时间≤72小时（不含进口配件通关时间），如72小时内无法修复，需提供备用机或替代解决方案</w:t>
      </w:r>
      <w:r>
        <w:rPr>
          <w:rFonts w:hint="eastAsia" w:ascii="Times New Roman" w:hAnsi="Times New Roman" w:eastAsia="仿宋_GB2312" w:cs="Times New Roman"/>
          <w:sz w:val="24"/>
          <w:szCs w:val="24"/>
        </w:rPr>
        <w:t>。</w:t>
      </w:r>
      <w:r>
        <w:rPr>
          <w:rFonts w:ascii="Times New Roman" w:hAnsi="Times New Roman" w:eastAsia="仿宋_GB2312" w:cs="Times New Roman"/>
          <w:sz w:val="24"/>
          <w:szCs w:val="24"/>
        </w:rPr>
        <w:t>提供2天以上现场培训，交通等与培训相关的费用均由成交供应商承担。培训内容包括但不限于：方法编辑与序列运行、固体/液体样品前处理流程操作、色谱柱安装与老化、系统日常维护与故障排查，确保操作人员独立掌握设备使用及基础维护技能；供应商应设有零配件仓库，配备不少于2名专职售后工程师。</w:t>
      </w:r>
    </w:p>
    <w:bookmarkEnd w:id="8"/>
    <w:p w14:paraId="18B79D42">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升级更新：设备软件终身免费升级，确保与国家最新发布的相关方法标准（如HJ系列标准更新）保持技术兼容；硬件支持后续功能扩展（如增加样品在线前处理模块、高通量进样器升级等），供应商需在新技术推出或相关标准方法更新后30日内书面告知用户升级方案及费用情况；质保期内因标准方法更新导致需要硬件调整或软件参数优化的，供应商应免费提供技术支持。</w:t>
      </w:r>
    </w:p>
    <w:p w14:paraId="5718A925">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备品备件：质保期外提供全生命周期备件供应保障（承诺供应周期≥10年），常用备件（如汞灯、色谱柱、进样针、样品瓶隔垫、干燥剂、滤膜等消耗品及易损件）需在国内设有常备库存，用户提出需求后7个工作日内到货；提供详细备品备件价格清单，并承诺后续采购价格不高于市场同期水平；设备停产前6个月应书面通知用户，并提供替代方案建议及不低于5年的延续备件保障。</w:t>
      </w:r>
    </w:p>
    <w:p w14:paraId="681DC4CF">
      <w:pPr>
        <w:pStyle w:val="13"/>
        <w:numPr>
          <w:ilvl w:val="0"/>
          <w:numId w:val="8"/>
        </w:numPr>
        <w:spacing w:line="360" w:lineRule="auto"/>
        <w:ind w:firstLineChars="0"/>
        <w:outlineLvl w:val="0"/>
        <w:rPr>
          <w:rFonts w:ascii="Times New Roman" w:hAnsi="Times New Roman" w:eastAsia="仿宋_GB2312" w:cs="Times New Roman"/>
          <w:b/>
          <w:bCs/>
          <w:sz w:val="24"/>
          <w:szCs w:val="24"/>
        </w:rPr>
      </w:pPr>
      <w:r>
        <w:rPr>
          <w:rFonts w:ascii="Times New Roman" w:hAnsi="Times New Roman" w:eastAsia="仿宋_GB2312" w:cs="Times New Roman"/>
          <w:b/>
          <w:bCs/>
          <w:sz w:val="24"/>
          <w:szCs w:val="24"/>
        </w:rPr>
        <w:t>各项指标要求：</w:t>
      </w:r>
    </w:p>
    <w:tbl>
      <w:tblPr>
        <w:tblStyle w:val="8"/>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1388"/>
        <w:gridCol w:w="2864"/>
        <w:gridCol w:w="2126"/>
      </w:tblGrid>
      <w:tr w14:paraId="5152E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666F7AF">
            <w:pPr>
              <w:spacing w:line="360" w:lineRule="auto"/>
              <w:jc w:val="center"/>
              <w:rPr>
                <w:rFonts w:ascii="Times New Roman" w:hAnsi="Times New Roman" w:eastAsia="仿宋_GB2312" w:cs="Times New Roman"/>
                <w:b/>
                <w:szCs w:val="21"/>
              </w:rPr>
            </w:pPr>
            <w:r>
              <w:rPr>
                <w:rFonts w:ascii="Times New Roman" w:hAnsi="Times New Roman" w:eastAsia="仿宋_GB2312" w:cs="Times New Roman"/>
                <w:b/>
                <w:szCs w:val="21"/>
              </w:rPr>
              <w:t>序号</w:t>
            </w:r>
          </w:p>
        </w:tc>
        <w:tc>
          <w:tcPr>
            <w:tcW w:w="1134" w:type="dxa"/>
            <w:tcBorders>
              <w:top w:val="single" w:color="auto" w:sz="4" w:space="0"/>
              <w:left w:val="single" w:color="auto" w:sz="4" w:space="0"/>
              <w:bottom w:val="single" w:color="auto" w:sz="4" w:space="0"/>
              <w:right w:val="single" w:color="auto" w:sz="4" w:space="0"/>
            </w:tcBorders>
            <w:vAlign w:val="center"/>
          </w:tcPr>
          <w:p w14:paraId="1738E3EC">
            <w:pPr>
              <w:widowControl/>
              <w:spacing w:line="360" w:lineRule="auto"/>
              <w:jc w:val="center"/>
              <w:rPr>
                <w:rFonts w:ascii="Times New Roman" w:hAnsi="Times New Roman" w:eastAsia="仿宋_GB2312" w:cs="Times New Roman"/>
                <w:b/>
                <w:szCs w:val="21"/>
              </w:rPr>
            </w:pPr>
            <w:r>
              <w:rPr>
                <w:rFonts w:ascii="Times New Roman" w:hAnsi="Times New Roman" w:eastAsia="仿宋_GB2312" w:cs="Times New Roman"/>
                <w:b/>
                <w:szCs w:val="21"/>
              </w:rPr>
              <w:t>指标项</w:t>
            </w:r>
          </w:p>
        </w:tc>
        <w:tc>
          <w:tcPr>
            <w:tcW w:w="1388" w:type="dxa"/>
            <w:tcBorders>
              <w:top w:val="single" w:color="auto" w:sz="4" w:space="0"/>
              <w:left w:val="single" w:color="auto" w:sz="4" w:space="0"/>
              <w:bottom w:val="single" w:color="auto" w:sz="4" w:space="0"/>
              <w:right w:val="single" w:color="auto" w:sz="4" w:space="0"/>
            </w:tcBorders>
            <w:vAlign w:val="center"/>
          </w:tcPr>
          <w:p w14:paraId="7C8C850F">
            <w:pPr>
              <w:widowControl/>
              <w:spacing w:line="360" w:lineRule="auto"/>
              <w:jc w:val="center"/>
              <w:rPr>
                <w:rFonts w:ascii="Times New Roman" w:hAnsi="Times New Roman" w:eastAsia="仿宋_GB2312" w:cs="Times New Roman"/>
                <w:b/>
                <w:szCs w:val="21"/>
              </w:rPr>
            </w:pPr>
            <w:r>
              <w:rPr>
                <w:rFonts w:ascii="Times New Roman" w:hAnsi="Times New Roman" w:eastAsia="仿宋_GB2312" w:cs="Times New Roman"/>
                <w:b/>
                <w:szCs w:val="21"/>
              </w:rPr>
              <w:t>重要性</w:t>
            </w:r>
          </w:p>
        </w:tc>
        <w:tc>
          <w:tcPr>
            <w:tcW w:w="2864" w:type="dxa"/>
            <w:tcBorders>
              <w:top w:val="single" w:color="auto" w:sz="4" w:space="0"/>
              <w:left w:val="single" w:color="auto" w:sz="4" w:space="0"/>
              <w:bottom w:val="single" w:color="auto" w:sz="4" w:space="0"/>
              <w:right w:val="single" w:color="auto" w:sz="4" w:space="0"/>
            </w:tcBorders>
            <w:vAlign w:val="center"/>
          </w:tcPr>
          <w:p w14:paraId="35D996B9">
            <w:pPr>
              <w:widowControl/>
              <w:spacing w:line="360" w:lineRule="auto"/>
              <w:jc w:val="center"/>
              <w:rPr>
                <w:rFonts w:ascii="Times New Roman" w:hAnsi="Times New Roman" w:eastAsia="仿宋_GB2312" w:cs="Times New Roman"/>
                <w:b/>
                <w:szCs w:val="21"/>
              </w:rPr>
            </w:pPr>
            <w:r>
              <w:rPr>
                <w:rFonts w:ascii="Times New Roman" w:hAnsi="Times New Roman" w:eastAsia="仿宋_GB2312" w:cs="Times New Roman"/>
                <w:b/>
                <w:szCs w:val="21"/>
              </w:rPr>
              <w:t>指标要求</w:t>
            </w:r>
          </w:p>
        </w:tc>
        <w:tc>
          <w:tcPr>
            <w:tcW w:w="2126" w:type="dxa"/>
            <w:tcBorders>
              <w:top w:val="single" w:color="auto" w:sz="4" w:space="0"/>
              <w:left w:val="single" w:color="auto" w:sz="4" w:space="0"/>
              <w:bottom w:val="single" w:color="auto" w:sz="4" w:space="0"/>
              <w:right w:val="single" w:color="auto" w:sz="4" w:space="0"/>
            </w:tcBorders>
            <w:vAlign w:val="center"/>
          </w:tcPr>
          <w:p w14:paraId="7777FDDD">
            <w:pPr>
              <w:widowControl/>
              <w:spacing w:line="360" w:lineRule="auto"/>
              <w:jc w:val="center"/>
              <w:rPr>
                <w:rFonts w:ascii="Times New Roman" w:hAnsi="Times New Roman" w:eastAsia="仿宋_GB2312" w:cs="Times New Roman"/>
                <w:b/>
                <w:szCs w:val="21"/>
              </w:rPr>
            </w:pPr>
            <w:r>
              <w:rPr>
                <w:rFonts w:ascii="Times New Roman" w:hAnsi="Times New Roman" w:eastAsia="仿宋_GB2312" w:cs="Times New Roman"/>
                <w:b/>
                <w:szCs w:val="21"/>
              </w:rPr>
              <w:t>证明材料要求</w:t>
            </w:r>
          </w:p>
        </w:tc>
      </w:tr>
      <w:tr w14:paraId="08FCA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7539E76F">
            <w:pPr>
              <w:spacing w:line="360" w:lineRule="auto"/>
              <w:jc w:val="center"/>
              <w:rPr>
                <w:rFonts w:ascii="Times New Roman" w:hAnsi="Times New Roman" w:eastAsia="仿宋_GB2312" w:cs="Times New Roman"/>
                <w:b/>
                <w:szCs w:val="21"/>
              </w:rPr>
            </w:pPr>
            <w:r>
              <w:rPr>
                <w:rFonts w:ascii="Times New Roman" w:hAnsi="Times New Roman" w:eastAsia="仿宋_GB2312" w:cs="Times New Roman"/>
                <w:b/>
                <w:szCs w:val="21"/>
              </w:rPr>
              <w:t>1</w:t>
            </w:r>
          </w:p>
        </w:tc>
        <w:tc>
          <w:tcPr>
            <w:tcW w:w="1134" w:type="dxa"/>
            <w:tcBorders>
              <w:top w:val="single" w:color="auto" w:sz="4" w:space="0"/>
              <w:left w:val="single" w:color="auto" w:sz="4" w:space="0"/>
              <w:bottom w:val="single" w:color="auto" w:sz="4" w:space="0"/>
              <w:right w:val="single" w:color="auto" w:sz="4" w:space="0"/>
            </w:tcBorders>
            <w:vAlign w:val="center"/>
          </w:tcPr>
          <w:p w14:paraId="49707CAB">
            <w:pPr>
              <w:widowControl/>
              <w:spacing w:line="360" w:lineRule="auto"/>
              <w:jc w:val="center"/>
              <w:rPr>
                <w:rFonts w:ascii="Times New Roman" w:hAnsi="Times New Roman" w:eastAsia="仿宋_GB2312" w:cs="Times New Roman"/>
                <w:b/>
                <w:szCs w:val="21"/>
              </w:rPr>
            </w:pPr>
            <w:r>
              <w:rPr>
                <w:rFonts w:ascii="Times New Roman" w:hAnsi="Times New Roman" w:eastAsia="仿宋_GB2312" w:cs="Times New Roman"/>
                <w:b/>
                <w:szCs w:val="21"/>
              </w:rPr>
              <w:t>检测器配置与主机设计</w:t>
            </w:r>
          </w:p>
        </w:tc>
        <w:tc>
          <w:tcPr>
            <w:tcW w:w="1388" w:type="dxa"/>
            <w:tcBorders>
              <w:top w:val="single" w:color="auto" w:sz="4" w:space="0"/>
              <w:left w:val="single" w:color="auto" w:sz="4" w:space="0"/>
              <w:bottom w:val="single" w:color="auto" w:sz="4" w:space="0"/>
              <w:right w:val="single" w:color="auto" w:sz="4" w:space="0"/>
            </w:tcBorders>
            <w:vAlign w:val="center"/>
          </w:tcPr>
          <w:p w14:paraId="7B6B82F6">
            <w:pPr>
              <w:widowControl/>
              <w:spacing w:line="360" w:lineRule="auto"/>
              <w:jc w:val="center"/>
              <w:rPr>
                <w:rFonts w:ascii="Times New Roman" w:hAnsi="Times New Roman" w:eastAsia="仿宋_GB2312" w:cs="Times New Roman"/>
                <w:bCs/>
                <w:szCs w:val="21"/>
              </w:rPr>
            </w:pPr>
            <w:bookmarkStart w:id="9" w:name="OLE_LINK11"/>
            <w:r>
              <w:rPr>
                <w:rFonts w:ascii="Segoe UI Symbol" w:hAnsi="Segoe UI Symbol" w:eastAsia="仿宋_GB2312" w:cs="Segoe UI Symbol"/>
                <w:bCs/>
                <w:szCs w:val="21"/>
              </w:rPr>
              <w:t>★</w:t>
            </w:r>
            <w:bookmarkEnd w:id="9"/>
          </w:p>
        </w:tc>
        <w:tc>
          <w:tcPr>
            <w:tcW w:w="2864" w:type="dxa"/>
            <w:tcBorders>
              <w:top w:val="single" w:color="auto" w:sz="4" w:space="0"/>
              <w:left w:val="single" w:color="auto" w:sz="4" w:space="0"/>
              <w:bottom w:val="single" w:color="auto" w:sz="4" w:space="0"/>
              <w:right w:val="single" w:color="auto" w:sz="4" w:space="0"/>
            </w:tcBorders>
            <w:vAlign w:val="center"/>
          </w:tcPr>
          <w:p w14:paraId="668C0536">
            <w:pPr>
              <w:widowControl/>
              <w:spacing w:line="360" w:lineRule="auto"/>
              <w:jc w:val="left"/>
              <w:rPr>
                <w:rFonts w:ascii="Times New Roman" w:hAnsi="Times New Roman" w:eastAsia="仿宋_GB2312" w:cs="Times New Roman"/>
                <w:bCs/>
                <w:szCs w:val="21"/>
              </w:rPr>
            </w:pPr>
            <w:r>
              <w:rPr>
                <w:rFonts w:ascii="Times New Roman" w:hAnsi="Times New Roman" w:eastAsia="仿宋_GB2312" w:cs="Times New Roman"/>
                <w:b/>
                <w:szCs w:val="21"/>
              </w:rPr>
              <w:t>检测器：</w:t>
            </w:r>
            <w:r>
              <w:rPr>
                <w:rFonts w:ascii="Times New Roman" w:hAnsi="Times New Roman" w:eastAsia="仿宋_GB2312" w:cs="Times New Roman"/>
                <w:bCs/>
                <w:szCs w:val="21"/>
              </w:rPr>
              <w:t>总汞分析模块与烷基汞分析模块分别配有不同灵敏度的原子荧光检测器，可独立运行</w:t>
            </w:r>
          </w:p>
          <w:p w14:paraId="24B0CD8C">
            <w:pPr>
              <w:widowControl/>
              <w:spacing w:line="360" w:lineRule="auto"/>
              <w:jc w:val="left"/>
              <w:rPr>
                <w:rFonts w:ascii="Times New Roman" w:hAnsi="Times New Roman" w:eastAsia="仿宋_GB2312" w:cs="Times New Roman"/>
                <w:bCs/>
                <w:szCs w:val="21"/>
              </w:rPr>
            </w:pPr>
            <w:r>
              <w:rPr>
                <w:rFonts w:ascii="Times New Roman" w:hAnsi="Times New Roman" w:eastAsia="仿宋_GB2312" w:cs="Times New Roman"/>
                <w:b/>
                <w:szCs w:val="21"/>
              </w:rPr>
              <w:t>主机设计：</w:t>
            </w:r>
            <w:r>
              <w:rPr>
                <w:rFonts w:ascii="Times New Roman" w:hAnsi="Times New Roman" w:eastAsia="仿宋_GB2312" w:cs="Times New Roman"/>
                <w:bCs/>
                <w:szCs w:val="21"/>
              </w:rPr>
              <w:t>主机可采用一体化设计或模块化组合设计，确保总汞分析和烷基汞分析功能可独立或协同运行。</w:t>
            </w:r>
          </w:p>
          <w:p w14:paraId="2DCA4109">
            <w:pPr>
              <w:widowControl/>
              <w:spacing w:line="360" w:lineRule="auto"/>
              <w:jc w:val="left"/>
              <w:rPr>
                <w:rFonts w:ascii="Times New Roman" w:hAnsi="Times New Roman" w:eastAsia="仿宋_GB2312" w:cs="Times New Roman"/>
                <w:b/>
                <w:szCs w:val="21"/>
              </w:rPr>
            </w:pPr>
            <w:r>
              <w:rPr>
                <w:rFonts w:ascii="Times New Roman" w:hAnsi="Times New Roman" w:eastAsia="仿宋_GB2312" w:cs="Times New Roman"/>
                <w:b/>
                <w:szCs w:val="21"/>
              </w:rPr>
              <w:t>检测器性能：</w:t>
            </w:r>
            <w:r>
              <w:rPr>
                <w:rFonts w:ascii="Times New Roman" w:hAnsi="Times New Roman" w:eastAsia="仿宋_GB2312" w:cs="Times New Roman"/>
                <w:bCs/>
                <w:szCs w:val="21"/>
              </w:rPr>
              <w:t>采用冷原子荧光检测器，应具备光源稳定性控制功能（如光强和温度稳定），确保长期运行的型号稳定性</w:t>
            </w:r>
          </w:p>
        </w:tc>
        <w:tc>
          <w:tcPr>
            <w:tcW w:w="2126" w:type="dxa"/>
            <w:tcBorders>
              <w:top w:val="single" w:color="auto" w:sz="4" w:space="0"/>
              <w:left w:val="single" w:color="auto" w:sz="4" w:space="0"/>
              <w:bottom w:val="single" w:color="auto" w:sz="4" w:space="0"/>
              <w:right w:val="single" w:color="auto" w:sz="4" w:space="0"/>
            </w:tcBorders>
            <w:vAlign w:val="center"/>
          </w:tcPr>
          <w:p w14:paraId="432DD38E">
            <w:pPr>
              <w:widowControl/>
              <w:spacing w:line="360" w:lineRule="auto"/>
              <w:jc w:val="center"/>
              <w:rPr>
                <w:rFonts w:ascii="Times New Roman" w:hAnsi="Times New Roman" w:eastAsia="仿宋_GB2312" w:cs="Times New Roman"/>
                <w:bCs/>
                <w:szCs w:val="21"/>
              </w:rPr>
            </w:pPr>
            <w:r>
              <w:rPr>
                <w:rFonts w:ascii="Times New Roman" w:hAnsi="Times New Roman" w:eastAsia="仿宋_GB2312" w:cs="Times New Roman"/>
                <w:bCs/>
                <w:szCs w:val="21"/>
              </w:rPr>
              <w:t>是</w:t>
            </w:r>
          </w:p>
          <w:p w14:paraId="5019CDE5">
            <w:pPr>
              <w:widowControl/>
              <w:spacing w:line="360" w:lineRule="auto"/>
              <w:jc w:val="center"/>
              <w:rPr>
                <w:rFonts w:ascii="Times New Roman" w:hAnsi="Times New Roman" w:eastAsia="仿宋_GB2312" w:cs="Times New Roman"/>
                <w:bCs/>
                <w:szCs w:val="21"/>
              </w:rPr>
            </w:pPr>
          </w:p>
        </w:tc>
      </w:tr>
      <w:tr w14:paraId="73DF9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5F729579">
            <w:pPr>
              <w:spacing w:line="360" w:lineRule="auto"/>
              <w:jc w:val="center"/>
              <w:rPr>
                <w:rFonts w:ascii="Times New Roman" w:hAnsi="Times New Roman" w:eastAsia="仿宋_GB2312" w:cs="Times New Roman"/>
                <w:b/>
                <w:szCs w:val="21"/>
              </w:rPr>
            </w:pPr>
            <w:r>
              <w:rPr>
                <w:rFonts w:ascii="Times New Roman" w:hAnsi="Times New Roman" w:eastAsia="仿宋_GB2312" w:cs="Times New Roman"/>
                <w:b/>
                <w:szCs w:val="21"/>
              </w:rPr>
              <w:t>2</w:t>
            </w:r>
          </w:p>
        </w:tc>
        <w:tc>
          <w:tcPr>
            <w:tcW w:w="1134" w:type="dxa"/>
            <w:tcBorders>
              <w:top w:val="single" w:color="auto" w:sz="4" w:space="0"/>
              <w:left w:val="single" w:color="auto" w:sz="4" w:space="0"/>
              <w:bottom w:val="single" w:color="auto" w:sz="4" w:space="0"/>
              <w:right w:val="single" w:color="auto" w:sz="4" w:space="0"/>
            </w:tcBorders>
            <w:vAlign w:val="center"/>
          </w:tcPr>
          <w:p w14:paraId="49DD2C88">
            <w:pPr>
              <w:widowControl/>
              <w:spacing w:line="360" w:lineRule="auto"/>
              <w:jc w:val="center"/>
              <w:rPr>
                <w:rFonts w:ascii="Times New Roman" w:hAnsi="Times New Roman" w:eastAsia="仿宋_GB2312" w:cs="Times New Roman"/>
                <w:b/>
                <w:szCs w:val="21"/>
              </w:rPr>
            </w:pPr>
            <w:r>
              <w:rPr>
                <w:rFonts w:ascii="Times New Roman" w:hAnsi="Times New Roman" w:eastAsia="仿宋_GB2312" w:cs="Times New Roman"/>
                <w:b/>
                <w:szCs w:val="21"/>
              </w:rPr>
              <w:t>进样系统</w:t>
            </w:r>
          </w:p>
        </w:tc>
        <w:tc>
          <w:tcPr>
            <w:tcW w:w="1388" w:type="dxa"/>
            <w:tcBorders>
              <w:top w:val="single" w:color="auto" w:sz="4" w:space="0"/>
              <w:left w:val="single" w:color="auto" w:sz="4" w:space="0"/>
              <w:bottom w:val="single" w:color="auto" w:sz="4" w:space="0"/>
              <w:right w:val="single" w:color="auto" w:sz="4" w:space="0"/>
            </w:tcBorders>
            <w:vAlign w:val="center"/>
          </w:tcPr>
          <w:p w14:paraId="4502349F">
            <w:pPr>
              <w:widowControl/>
              <w:spacing w:line="360" w:lineRule="auto"/>
              <w:jc w:val="center"/>
              <w:rPr>
                <w:rFonts w:ascii="Times New Roman" w:hAnsi="Times New Roman" w:eastAsia="仿宋_GB2312" w:cs="Times New Roman"/>
                <w:bCs/>
                <w:szCs w:val="21"/>
              </w:rPr>
            </w:pPr>
            <w:r>
              <w:rPr>
                <w:rFonts w:ascii="Times New Roman" w:hAnsi="Times New Roman" w:eastAsia="仿宋_GB2312" w:cs="Times New Roman"/>
                <w:snapToGrid w:val="0"/>
                <w:kern w:val="0"/>
                <w:szCs w:val="21"/>
                <w:lang w:val="zh-CN"/>
              </w:rPr>
              <w:t>#</w:t>
            </w:r>
          </w:p>
        </w:tc>
        <w:tc>
          <w:tcPr>
            <w:tcW w:w="2864" w:type="dxa"/>
            <w:tcBorders>
              <w:top w:val="single" w:color="auto" w:sz="4" w:space="0"/>
              <w:left w:val="single" w:color="auto" w:sz="4" w:space="0"/>
              <w:bottom w:val="single" w:color="auto" w:sz="4" w:space="0"/>
              <w:right w:val="single" w:color="auto" w:sz="4" w:space="0"/>
            </w:tcBorders>
            <w:vAlign w:val="center"/>
          </w:tcPr>
          <w:p w14:paraId="00A9A217">
            <w:pPr>
              <w:widowControl/>
              <w:spacing w:line="360" w:lineRule="auto"/>
              <w:jc w:val="left"/>
              <w:rPr>
                <w:rFonts w:ascii="Times New Roman" w:hAnsi="Times New Roman" w:eastAsia="仿宋_GB2312" w:cs="Times New Roman"/>
                <w:bCs/>
                <w:szCs w:val="21"/>
              </w:rPr>
            </w:pPr>
            <w:r>
              <w:rPr>
                <w:rFonts w:ascii="Times New Roman" w:hAnsi="Times New Roman" w:eastAsia="仿宋_GB2312" w:cs="Times New Roman"/>
                <w:bCs/>
                <w:szCs w:val="21"/>
              </w:rPr>
              <w:t>自动进样器（≥72位）应具备有效的交叉污染控制措施（如原位吹扫、自动清洗、一次性进样针/管路等），确保样品间无交叉污染，满足痕量烷基汞分析的准确性要求</w:t>
            </w:r>
          </w:p>
        </w:tc>
        <w:tc>
          <w:tcPr>
            <w:tcW w:w="2126" w:type="dxa"/>
            <w:tcBorders>
              <w:top w:val="single" w:color="auto" w:sz="4" w:space="0"/>
              <w:left w:val="single" w:color="auto" w:sz="4" w:space="0"/>
              <w:bottom w:val="single" w:color="auto" w:sz="4" w:space="0"/>
              <w:right w:val="single" w:color="auto" w:sz="4" w:space="0"/>
            </w:tcBorders>
            <w:vAlign w:val="center"/>
          </w:tcPr>
          <w:p w14:paraId="06BBF62B">
            <w:pPr>
              <w:widowControl/>
              <w:spacing w:line="360" w:lineRule="auto"/>
              <w:jc w:val="center"/>
              <w:rPr>
                <w:rFonts w:ascii="Times New Roman" w:hAnsi="Times New Roman" w:eastAsia="仿宋_GB2312" w:cs="Times New Roman"/>
                <w:bCs/>
                <w:szCs w:val="21"/>
              </w:rPr>
            </w:pPr>
            <w:r>
              <w:rPr>
                <w:rFonts w:ascii="Times New Roman" w:hAnsi="Times New Roman" w:eastAsia="仿宋_GB2312" w:cs="Times New Roman"/>
                <w:bCs/>
                <w:szCs w:val="21"/>
              </w:rPr>
              <w:t>是</w:t>
            </w:r>
          </w:p>
        </w:tc>
      </w:tr>
      <w:tr w14:paraId="6BB09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2C05BB7">
            <w:pPr>
              <w:spacing w:line="360" w:lineRule="auto"/>
              <w:jc w:val="center"/>
              <w:rPr>
                <w:rFonts w:ascii="Times New Roman" w:hAnsi="Times New Roman" w:eastAsia="仿宋_GB2312" w:cs="Times New Roman"/>
                <w:b/>
                <w:szCs w:val="21"/>
              </w:rPr>
            </w:pPr>
            <w:r>
              <w:rPr>
                <w:rFonts w:ascii="Times New Roman" w:hAnsi="Times New Roman" w:eastAsia="仿宋_GB2312" w:cs="Times New Roman"/>
                <w:b/>
                <w:szCs w:val="21"/>
              </w:rPr>
              <w:t>3</w:t>
            </w:r>
          </w:p>
        </w:tc>
        <w:tc>
          <w:tcPr>
            <w:tcW w:w="1134" w:type="dxa"/>
            <w:tcBorders>
              <w:top w:val="single" w:color="auto" w:sz="4" w:space="0"/>
              <w:left w:val="single" w:color="auto" w:sz="4" w:space="0"/>
              <w:bottom w:val="single" w:color="auto" w:sz="4" w:space="0"/>
              <w:right w:val="single" w:color="auto" w:sz="4" w:space="0"/>
            </w:tcBorders>
            <w:vAlign w:val="center"/>
          </w:tcPr>
          <w:p w14:paraId="088B74CB">
            <w:pPr>
              <w:widowControl/>
              <w:spacing w:line="360" w:lineRule="auto"/>
              <w:jc w:val="center"/>
              <w:rPr>
                <w:rFonts w:ascii="Times New Roman" w:hAnsi="Times New Roman" w:eastAsia="仿宋_GB2312" w:cs="Times New Roman"/>
                <w:b/>
                <w:bCs/>
                <w:szCs w:val="21"/>
              </w:rPr>
            </w:pPr>
            <w:r>
              <w:rPr>
                <w:rFonts w:ascii="Times New Roman" w:hAnsi="Times New Roman" w:eastAsia="仿宋_GB2312" w:cs="Times New Roman"/>
                <w:b/>
                <w:bCs/>
                <w:szCs w:val="21"/>
              </w:rPr>
              <w:t>气路与控制系统</w:t>
            </w:r>
          </w:p>
        </w:tc>
        <w:tc>
          <w:tcPr>
            <w:tcW w:w="1388" w:type="dxa"/>
            <w:tcBorders>
              <w:top w:val="single" w:color="auto" w:sz="4" w:space="0"/>
              <w:left w:val="single" w:color="auto" w:sz="4" w:space="0"/>
              <w:bottom w:val="single" w:color="auto" w:sz="4" w:space="0"/>
              <w:right w:val="single" w:color="auto" w:sz="4" w:space="0"/>
            </w:tcBorders>
            <w:vAlign w:val="center"/>
          </w:tcPr>
          <w:p w14:paraId="690C4624">
            <w:pPr>
              <w:widowControl/>
              <w:spacing w:line="360" w:lineRule="auto"/>
              <w:jc w:val="center"/>
              <w:rPr>
                <w:rFonts w:ascii="Times New Roman" w:hAnsi="Times New Roman" w:eastAsia="仿宋_GB2312" w:cs="Times New Roman"/>
                <w:bCs/>
                <w:szCs w:val="21"/>
              </w:rPr>
            </w:pPr>
            <w:r>
              <w:rPr>
                <w:rFonts w:ascii="Times New Roman" w:hAnsi="Times New Roman" w:eastAsia="仿宋_GB2312" w:cs="Times New Roman"/>
                <w:bCs/>
                <w:szCs w:val="21"/>
              </w:rPr>
              <w:t>#</w:t>
            </w:r>
          </w:p>
        </w:tc>
        <w:tc>
          <w:tcPr>
            <w:tcW w:w="2864" w:type="dxa"/>
            <w:tcBorders>
              <w:top w:val="single" w:color="auto" w:sz="4" w:space="0"/>
              <w:left w:val="single" w:color="auto" w:sz="4" w:space="0"/>
              <w:bottom w:val="single" w:color="auto" w:sz="4" w:space="0"/>
              <w:right w:val="single" w:color="auto" w:sz="4" w:space="0"/>
            </w:tcBorders>
            <w:vAlign w:val="center"/>
          </w:tcPr>
          <w:p w14:paraId="16EBCE57">
            <w:pPr>
              <w:widowControl/>
              <w:spacing w:line="360" w:lineRule="auto"/>
              <w:jc w:val="left"/>
              <w:rPr>
                <w:rFonts w:ascii="Times New Roman" w:hAnsi="Times New Roman" w:eastAsia="仿宋_GB2312" w:cs="Times New Roman"/>
                <w:bCs/>
                <w:szCs w:val="21"/>
              </w:rPr>
            </w:pPr>
            <w:r>
              <w:rPr>
                <w:rFonts w:ascii="Times New Roman" w:hAnsi="Times New Roman" w:eastAsia="仿宋_GB2312" w:cs="Times New Roman"/>
                <w:b/>
                <w:szCs w:val="21"/>
              </w:rPr>
              <w:t>流量控制：</w:t>
            </w:r>
            <w:r>
              <w:rPr>
                <w:rFonts w:ascii="Times New Roman" w:hAnsi="Times New Roman" w:eastAsia="仿宋_GB2312" w:cs="Times New Roman"/>
                <w:bCs/>
                <w:szCs w:val="21"/>
              </w:rPr>
              <w:t>仪器采用质量流量控制器（MFC），可精确控制1~100ml/min的流速（控制精度优于±0.5%FS），运行过程的各项参数均可在软件中显示并自动控制</w:t>
            </w:r>
          </w:p>
          <w:p w14:paraId="6F578B5C">
            <w:pPr>
              <w:widowControl/>
              <w:spacing w:line="360" w:lineRule="auto"/>
              <w:jc w:val="left"/>
              <w:rPr>
                <w:rFonts w:ascii="Times New Roman" w:hAnsi="Times New Roman" w:eastAsia="仿宋_GB2312" w:cs="Times New Roman"/>
                <w:bCs/>
                <w:szCs w:val="21"/>
              </w:rPr>
            </w:pPr>
            <w:r>
              <w:rPr>
                <w:rFonts w:ascii="Times New Roman" w:hAnsi="Times New Roman" w:eastAsia="仿宋_GB2312" w:cs="Times New Roman"/>
                <w:b/>
                <w:szCs w:val="21"/>
              </w:rPr>
              <w:t>压力范围：</w:t>
            </w:r>
            <w:r>
              <w:rPr>
                <w:rFonts w:ascii="Times New Roman" w:hAnsi="Times New Roman" w:eastAsia="仿宋_GB2312" w:cs="Times New Roman"/>
                <w:bCs/>
                <w:szCs w:val="21"/>
              </w:rPr>
              <w:t>电子压力范围覆盖 0-250kpa</w:t>
            </w:r>
          </w:p>
          <w:p w14:paraId="0C8A4BA0">
            <w:pPr>
              <w:widowControl/>
              <w:spacing w:line="360" w:lineRule="auto"/>
              <w:jc w:val="left"/>
              <w:rPr>
                <w:rFonts w:ascii="Times New Roman" w:hAnsi="Times New Roman" w:eastAsia="仿宋_GB2312" w:cs="Times New Roman"/>
                <w:bCs/>
                <w:szCs w:val="21"/>
              </w:rPr>
            </w:pPr>
            <w:r>
              <w:rPr>
                <w:rFonts w:ascii="Times New Roman" w:hAnsi="Times New Roman" w:eastAsia="仿宋_GB2312" w:cs="Times New Roman"/>
                <w:b/>
                <w:szCs w:val="21"/>
              </w:rPr>
              <w:t>温控精度：</w:t>
            </w:r>
            <w:r>
              <w:rPr>
                <w:rFonts w:ascii="Times New Roman" w:hAnsi="Times New Roman" w:eastAsia="仿宋_GB2312" w:cs="Times New Roman"/>
                <w:bCs/>
                <w:szCs w:val="21"/>
              </w:rPr>
              <w:t>温度控制精度±1℃，显示精度0.1℃</w:t>
            </w:r>
          </w:p>
          <w:p w14:paraId="3083EEB3">
            <w:pPr>
              <w:widowControl/>
              <w:spacing w:line="360" w:lineRule="auto"/>
              <w:jc w:val="left"/>
              <w:rPr>
                <w:rFonts w:ascii="Times New Roman" w:hAnsi="Times New Roman" w:eastAsia="仿宋_GB2312" w:cs="Times New Roman"/>
                <w:bCs/>
                <w:szCs w:val="21"/>
              </w:rPr>
            </w:pPr>
            <w:bookmarkStart w:id="10" w:name="OLE_LINK4"/>
            <w:r>
              <w:rPr>
                <w:rFonts w:ascii="Times New Roman" w:hAnsi="Times New Roman" w:eastAsia="仿宋_GB2312" w:cs="Times New Roman"/>
                <w:b/>
                <w:szCs w:val="21"/>
              </w:rPr>
              <w:t>载气</w:t>
            </w:r>
            <w:bookmarkEnd w:id="10"/>
            <w:r>
              <w:rPr>
                <w:rFonts w:ascii="Times New Roman" w:hAnsi="Times New Roman" w:eastAsia="仿宋_GB2312" w:cs="Times New Roman"/>
                <w:b/>
                <w:szCs w:val="21"/>
              </w:rPr>
              <w:t>：</w:t>
            </w:r>
            <w:r>
              <w:rPr>
                <w:rFonts w:ascii="Times New Roman" w:hAnsi="Times New Roman" w:eastAsia="仿宋_GB2312" w:cs="Times New Roman"/>
                <w:bCs/>
                <w:szCs w:val="21"/>
              </w:rPr>
              <w:t>氩气</w:t>
            </w:r>
          </w:p>
        </w:tc>
        <w:tc>
          <w:tcPr>
            <w:tcW w:w="2126" w:type="dxa"/>
            <w:tcBorders>
              <w:top w:val="single" w:color="auto" w:sz="4" w:space="0"/>
              <w:left w:val="single" w:color="auto" w:sz="4" w:space="0"/>
              <w:bottom w:val="single" w:color="auto" w:sz="4" w:space="0"/>
              <w:right w:val="single" w:color="auto" w:sz="4" w:space="0"/>
            </w:tcBorders>
            <w:vAlign w:val="center"/>
          </w:tcPr>
          <w:p w14:paraId="50691DFF">
            <w:pPr>
              <w:widowControl/>
              <w:spacing w:line="360" w:lineRule="auto"/>
              <w:jc w:val="center"/>
              <w:rPr>
                <w:rFonts w:ascii="Times New Roman" w:hAnsi="Times New Roman" w:eastAsia="仿宋_GB2312" w:cs="Times New Roman"/>
                <w:bCs/>
                <w:szCs w:val="21"/>
              </w:rPr>
            </w:pPr>
            <w:r>
              <w:rPr>
                <w:rFonts w:ascii="Times New Roman" w:hAnsi="Times New Roman" w:eastAsia="仿宋_GB2312" w:cs="Times New Roman"/>
                <w:bCs/>
                <w:szCs w:val="21"/>
              </w:rPr>
              <w:t>是</w:t>
            </w:r>
          </w:p>
        </w:tc>
      </w:tr>
      <w:tr w14:paraId="55A9B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70DFF048">
            <w:pPr>
              <w:spacing w:line="360" w:lineRule="auto"/>
              <w:jc w:val="center"/>
              <w:rPr>
                <w:rFonts w:ascii="Times New Roman" w:hAnsi="Times New Roman" w:eastAsia="仿宋_GB2312" w:cs="Times New Roman"/>
                <w:b/>
                <w:szCs w:val="21"/>
              </w:rPr>
            </w:pPr>
            <w:r>
              <w:rPr>
                <w:rFonts w:ascii="Times New Roman" w:hAnsi="Times New Roman" w:eastAsia="仿宋_GB2312" w:cs="Times New Roman"/>
                <w:b/>
                <w:szCs w:val="21"/>
              </w:rPr>
              <w:t>4</w:t>
            </w:r>
          </w:p>
        </w:tc>
        <w:tc>
          <w:tcPr>
            <w:tcW w:w="1134" w:type="dxa"/>
            <w:tcBorders>
              <w:top w:val="single" w:color="auto" w:sz="4" w:space="0"/>
              <w:left w:val="single" w:color="auto" w:sz="4" w:space="0"/>
              <w:bottom w:val="single" w:color="auto" w:sz="4" w:space="0"/>
              <w:right w:val="single" w:color="auto" w:sz="4" w:space="0"/>
            </w:tcBorders>
            <w:vAlign w:val="center"/>
          </w:tcPr>
          <w:p w14:paraId="5A11FCC1">
            <w:pPr>
              <w:widowControl/>
              <w:spacing w:line="360" w:lineRule="auto"/>
              <w:jc w:val="center"/>
              <w:rPr>
                <w:rFonts w:ascii="Times New Roman" w:hAnsi="Times New Roman" w:eastAsia="仿宋_GB2312" w:cs="Times New Roman"/>
                <w:b/>
                <w:bCs/>
                <w:szCs w:val="21"/>
              </w:rPr>
            </w:pPr>
            <w:r>
              <w:rPr>
                <w:rFonts w:ascii="Times New Roman" w:hAnsi="Times New Roman" w:eastAsia="仿宋_GB2312" w:cs="Times New Roman"/>
                <w:b/>
                <w:bCs/>
                <w:szCs w:val="21"/>
              </w:rPr>
              <w:t>色谱分离系统</w:t>
            </w:r>
          </w:p>
        </w:tc>
        <w:tc>
          <w:tcPr>
            <w:tcW w:w="1388" w:type="dxa"/>
            <w:tcBorders>
              <w:top w:val="single" w:color="auto" w:sz="4" w:space="0"/>
              <w:left w:val="single" w:color="auto" w:sz="4" w:space="0"/>
              <w:bottom w:val="single" w:color="auto" w:sz="4" w:space="0"/>
              <w:right w:val="single" w:color="auto" w:sz="4" w:space="0"/>
            </w:tcBorders>
            <w:vAlign w:val="center"/>
          </w:tcPr>
          <w:p w14:paraId="7F1A6907">
            <w:pPr>
              <w:widowControl/>
              <w:spacing w:line="360" w:lineRule="auto"/>
              <w:jc w:val="center"/>
              <w:rPr>
                <w:rFonts w:ascii="Times New Roman" w:hAnsi="Times New Roman" w:eastAsia="仿宋_GB2312" w:cs="Times New Roman"/>
                <w:bCs/>
                <w:szCs w:val="21"/>
              </w:rPr>
            </w:pPr>
            <w:r>
              <w:rPr>
                <w:rFonts w:ascii="Segoe UI Symbol" w:hAnsi="Segoe UI Symbol" w:eastAsia="仿宋_GB2312" w:cs="Segoe UI Symbol"/>
                <w:bCs/>
                <w:szCs w:val="21"/>
              </w:rPr>
              <w:t>★</w:t>
            </w:r>
          </w:p>
        </w:tc>
        <w:tc>
          <w:tcPr>
            <w:tcW w:w="2864" w:type="dxa"/>
            <w:tcBorders>
              <w:top w:val="single" w:color="auto" w:sz="4" w:space="0"/>
              <w:left w:val="single" w:color="auto" w:sz="4" w:space="0"/>
              <w:bottom w:val="single" w:color="auto" w:sz="4" w:space="0"/>
              <w:right w:val="single" w:color="auto" w:sz="4" w:space="0"/>
            </w:tcBorders>
            <w:vAlign w:val="center"/>
          </w:tcPr>
          <w:p w14:paraId="333C277B">
            <w:pPr>
              <w:widowControl/>
              <w:spacing w:line="360" w:lineRule="auto"/>
              <w:jc w:val="left"/>
              <w:rPr>
                <w:rFonts w:ascii="Times New Roman" w:hAnsi="Times New Roman" w:eastAsia="仿宋_GB2312" w:cs="Times New Roman"/>
                <w:bCs/>
                <w:szCs w:val="21"/>
              </w:rPr>
            </w:pPr>
            <w:r>
              <w:rPr>
                <w:rFonts w:ascii="Times New Roman" w:hAnsi="Times New Roman" w:eastAsia="仿宋_GB2312" w:cs="Times New Roman"/>
                <w:bCs/>
                <w:szCs w:val="21"/>
              </w:rPr>
              <w:t>色谱柱：采用非极性或弱极性毛细管色谱柱（固定相为100%二甲基聚硅氧烷或等效固定相），能够有效分离甲基汞、乙基汞等烷基汞组分，分离度满足HJ 977-2018方法要求。</w:t>
            </w:r>
          </w:p>
        </w:tc>
        <w:tc>
          <w:tcPr>
            <w:tcW w:w="2126" w:type="dxa"/>
            <w:tcBorders>
              <w:top w:val="single" w:color="auto" w:sz="4" w:space="0"/>
              <w:left w:val="single" w:color="auto" w:sz="4" w:space="0"/>
              <w:bottom w:val="single" w:color="auto" w:sz="4" w:space="0"/>
              <w:right w:val="single" w:color="auto" w:sz="4" w:space="0"/>
            </w:tcBorders>
            <w:vAlign w:val="center"/>
          </w:tcPr>
          <w:p w14:paraId="25C36FEE">
            <w:pPr>
              <w:widowControl/>
              <w:spacing w:line="360" w:lineRule="auto"/>
              <w:jc w:val="center"/>
              <w:rPr>
                <w:rFonts w:ascii="Times New Roman" w:hAnsi="Times New Roman" w:eastAsia="仿宋_GB2312" w:cs="Times New Roman"/>
                <w:bCs/>
                <w:szCs w:val="21"/>
              </w:rPr>
            </w:pPr>
            <w:r>
              <w:rPr>
                <w:rFonts w:ascii="Times New Roman" w:hAnsi="Times New Roman" w:eastAsia="仿宋_GB2312" w:cs="Times New Roman"/>
                <w:bCs/>
                <w:szCs w:val="21"/>
              </w:rPr>
              <w:t>是</w:t>
            </w:r>
          </w:p>
        </w:tc>
      </w:tr>
      <w:tr w14:paraId="09F49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A5A5455">
            <w:pPr>
              <w:spacing w:line="360" w:lineRule="auto"/>
              <w:jc w:val="center"/>
              <w:rPr>
                <w:rFonts w:ascii="Times New Roman" w:hAnsi="Times New Roman" w:eastAsia="仿宋_GB2312" w:cs="Times New Roman"/>
                <w:b/>
                <w:szCs w:val="21"/>
              </w:rPr>
            </w:pPr>
            <w:r>
              <w:rPr>
                <w:rFonts w:ascii="Times New Roman" w:hAnsi="Times New Roman" w:eastAsia="仿宋_GB2312" w:cs="Times New Roman"/>
                <w:b/>
                <w:szCs w:val="21"/>
              </w:rPr>
              <w:t>5</w:t>
            </w:r>
          </w:p>
        </w:tc>
        <w:tc>
          <w:tcPr>
            <w:tcW w:w="1134" w:type="dxa"/>
            <w:tcBorders>
              <w:top w:val="single" w:color="auto" w:sz="4" w:space="0"/>
              <w:left w:val="single" w:color="auto" w:sz="4" w:space="0"/>
              <w:bottom w:val="single" w:color="auto" w:sz="4" w:space="0"/>
              <w:right w:val="single" w:color="auto" w:sz="4" w:space="0"/>
            </w:tcBorders>
            <w:vAlign w:val="center"/>
          </w:tcPr>
          <w:p w14:paraId="2662237D">
            <w:pPr>
              <w:widowControl/>
              <w:spacing w:line="360" w:lineRule="auto"/>
              <w:jc w:val="center"/>
              <w:rPr>
                <w:rFonts w:ascii="Times New Roman" w:hAnsi="Times New Roman" w:eastAsia="仿宋_GB2312" w:cs="Times New Roman"/>
                <w:b/>
                <w:bCs/>
                <w:szCs w:val="21"/>
              </w:rPr>
            </w:pPr>
            <w:r>
              <w:rPr>
                <w:rFonts w:ascii="Times New Roman" w:hAnsi="Times New Roman" w:eastAsia="仿宋_GB2312" w:cs="Times New Roman"/>
                <w:b/>
                <w:bCs/>
                <w:szCs w:val="21"/>
              </w:rPr>
              <w:t>性能指标</w:t>
            </w:r>
          </w:p>
        </w:tc>
        <w:tc>
          <w:tcPr>
            <w:tcW w:w="1388" w:type="dxa"/>
            <w:tcBorders>
              <w:top w:val="single" w:color="auto" w:sz="4" w:space="0"/>
              <w:left w:val="single" w:color="auto" w:sz="4" w:space="0"/>
              <w:bottom w:val="single" w:color="auto" w:sz="4" w:space="0"/>
              <w:right w:val="single" w:color="auto" w:sz="4" w:space="0"/>
            </w:tcBorders>
            <w:vAlign w:val="center"/>
          </w:tcPr>
          <w:p w14:paraId="1DF82763">
            <w:pPr>
              <w:widowControl/>
              <w:spacing w:line="360" w:lineRule="auto"/>
              <w:jc w:val="center"/>
              <w:rPr>
                <w:rFonts w:ascii="Times New Roman" w:hAnsi="Times New Roman" w:eastAsia="仿宋_GB2312" w:cs="Times New Roman"/>
                <w:bCs/>
                <w:szCs w:val="21"/>
              </w:rPr>
            </w:pPr>
            <w:bookmarkStart w:id="11" w:name="OLE_LINK14"/>
            <w:r>
              <w:rPr>
                <w:rFonts w:ascii="Times New Roman" w:hAnsi="Times New Roman" w:eastAsia="仿宋_GB2312" w:cs="Times New Roman"/>
                <w:snapToGrid w:val="0"/>
                <w:kern w:val="0"/>
                <w:szCs w:val="21"/>
                <w:lang w:val="zh-CN"/>
              </w:rPr>
              <w:t>#</w:t>
            </w:r>
            <w:bookmarkEnd w:id="11"/>
          </w:p>
        </w:tc>
        <w:tc>
          <w:tcPr>
            <w:tcW w:w="2864" w:type="dxa"/>
            <w:tcBorders>
              <w:top w:val="single" w:color="auto" w:sz="4" w:space="0"/>
              <w:left w:val="single" w:color="auto" w:sz="4" w:space="0"/>
              <w:bottom w:val="single" w:color="auto" w:sz="4" w:space="0"/>
              <w:right w:val="single" w:color="auto" w:sz="4" w:space="0"/>
            </w:tcBorders>
            <w:vAlign w:val="center"/>
          </w:tcPr>
          <w:p w14:paraId="540BC48D">
            <w:pPr>
              <w:widowControl/>
              <w:spacing w:line="360" w:lineRule="auto"/>
              <w:jc w:val="left"/>
              <w:rPr>
                <w:rFonts w:ascii="Times New Roman" w:hAnsi="Times New Roman" w:eastAsia="仿宋_GB2312" w:cs="Times New Roman"/>
                <w:bCs/>
                <w:szCs w:val="21"/>
              </w:rPr>
            </w:pPr>
            <w:r>
              <w:rPr>
                <w:rFonts w:ascii="Times New Roman" w:hAnsi="Times New Roman" w:eastAsia="仿宋_GB2312" w:cs="Times New Roman"/>
                <w:b/>
                <w:szCs w:val="21"/>
              </w:rPr>
              <w:t>烷基汞检出限：</w:t>
            </w:r>
            <w:r>
              <w:rPr>
                <w:rFonts w:ascii="Times New Roman" w:hAnsi="Times New Roman" w:eastAsia="仿宋_GB2312" w:cs="Times New Roman"/>
                <w:bCs/>
                <w:szCs w:val="21"/>
              </w:rPr>
              <w:t>甲基汞</w:t>
            </w:r>
            <w:bookmarkStart w:id="12" w:name="OLE_LINK13"/>
            <w:r>
              <w:rPr>
                <w:rFonts w:ascii="Times New Roman" w:hAnsi="Times New Roman" w:eastAsia="仿宋_GB2312" w:cs="Times New Roman"/>
                <w:bCs/>
                <w:szCs w:val="21"/>
              </w:rPr>
              <w:t>≤</w:t>
            </w:r>
            <w:bookmarkEnd w:id="12"/>
            <w:r>
              <w:rPr>
                <w:rFonts w:ascii="Times New Roman" w:hAnsi="Times New Roman" w:eastAsia="仿宋_GB2312" w:cs="Times New Roman"/>
                <w:bCs/>
                <w:szCs w:val="21"/>
              </w:rPr>
              <w:t xml:space="preserve">0.004ng/L（25ml）    </w:t>
            </w:r>
          </w:p>
          <w:p w14:paraId="628028EA">
            <w:pPr>
              <w:widowControl/>
              <w:spacing w:line="360" w:lineRule="auto"/>
              <w:jc w:val="left"/>
              <w:rPr>
                <w:rFonts w:ascii="Times New Roman" w:hAnsi="Times New Roman" w:eastAsia="仿宋_GB2312" w:cs="Times New Roman"/>
                <w:bCs/>
                <w:szCs w:val="21"/>
              </w:rPr>
            </w:pPr>
            <w:r>
              <w:rPr>
                <w:rFonts w:ascii="Times New Roman" w:hAnsi="Times New Roman" w:eastAsia="仿宋_GB2312" w:cs="Times New Roman"/>
                <w:bCs/>
                <w:szCs w:val="21"/>
              </w:rPr>
              <w:t>乙基汞≤0.008ng/L(25ml)</w:t>
            </w:r>
          </w:p>
          <w:p w14:paraId="69AE9516">
            <w:pPr>
              <w:widowControl/>
              <w:spacing w:line="360" w:lineRule="auto"/>
              <w:jc w:val="left"/>
              <w:rPr>
                <w:rFonts w:ascii="Times New Roman" w:hAnsi="Times New Roman" w:eastAsia="仿宋_GB2312" w:cs="Times New Roman"/>
                <w:bCs/>
                <w:szCs w:val="21"/>
              </w:rPr>
            </w:pPr>
            <w:r>
              <w:rPr>
                <w:rFonts w:ascii="Times New Roman" w:hAnsi="Times New Roman" w:eastAsia="仿宋_GB2312" w:cs="Times New Roman"/>
                <w:b/>
                <w:szCs w:val="21"/>
              </w:rPr>
              <w:t>总汞检出限：</w:t>
            </w:r>
            <w:r>
              <w:rPr>
                <w:rFonts w:ascii="Times New Roman" w:hAnsi="Times New Roman" w:eastAsia="仿宋_GB2312" w:cs="Times New Roman"/>
                <w:bCs/>
                <w:szCs w:val="21"/>
              </w:rPr>
              <w:t>≤0.1pg</w:t>
            </w:r>
          </w:p>
          <w:p w14:paraId="699A6566">
            <w:pPr>
              <w:widowControl/>
              <w:spacing w:line="360" w:lineRule="auto"/>
              <w:jc w:val="left"/>
              <w:rPr>
                <w:rFonts w:ascii="Times New Roman" w:hAnsi="Times New Roman" w:eastAsia="仿宋_GB2312" w:cs="Times New Roman"/>
                <w:bCs/>
                <w:szCs w:val="21"/>
              </w:rPr>
            </w:pPr>
            <w:r>
              <w:rPr>
                <w:rFonts w:ascii="Times New Roman" w:hAnsi="Times New Roman" w:eastAsia="仿宋_GB2312" w:cs="Times New Roman"/>
                <w:b/>
                <w:szCs w:val="21"/>
              </w:rPr>
              <w:t>重复性：</w:t>
            </w:r>
            <w:r>
              <w:rPr>
                <w:rFonts w:ascii="Times New Roman" w:hAnsi="Times New Roman" w:eastAsia="仿宋_GB2312" w:cs="Times New Roman"/>
                <w:bCs/>
                <w:szCs w:val="21"/>
              </w:rPr>
              <w:t>≤3%（以0.5ng/L为例）</w:t>
            </w:r>
          </w:p>
          <w:p w14:paraId="6330F649">
            <w:pPr>
              <w:widowControl/>
              <w:spacing w:line="360" w:lineRule="auto"/>
              <w:jc w:val="left"/>
              <w:rPr>
                <w:rFonts w:ascii="Times New Roman" w:hAnsi="Times New Roman" w:eastAsia="仿宋_GB2312" w:cs="Times New Roman"/>
                <w:bCs/>
                <w:szCs w:val="21"/>
              </w:rPr>
            </w:pPr>
            <w:r>
              <w:rPr>
                <w:rFonts w:ascii="Times New Roman" w:hAnsi="Times New Roman" w:eastAsia="仿宋_GB2312" w:cs="Times New Roman"/>
                <w:b/>
                <w:szCs w:val="21"/>
              </w:rPr>
              <w:t>回收率</w:t>
            </w:r>
            <w:r>
              <w:rPr>
                <w:rFonts w:ascii="Times New Roman" w:hAnsi="Times New Roman" w:eastAsia="仿宋_GB2312" w:cs="Times New Roman"/>
                <w:bCs/>
                <w:szCs w:val="21"/>
              </w:rPr>
              <w:t>：≥85%（以0.5ng/L为例）：</w:t>
            </w:r>
          </w:p>
          <w:p w14:paraId="68652E80">
            <w:pPr>
              <w:widowControl/>
              <w:spacing w:line="360" w:lineRule="auto"/>
              <w:jc w:val="left"/>
              <w:rPr>
                <w:rFonts w:ascii="Times New Roman" w:hAnsi="Times New Roman" w:eastAsia="仿宋_GB2312" w:cs="Times New Roman"/>
                <w:bCs/>
                <w:szCs w:val="21"/>
              </w:rPr>
            </w:pPr>
            <w:r>
              <w:rPr>
                <w:rFonts w:ascii="Times New Roman" w:hAnsi="Times New Roman" w:eastAsia="仿宋_GB2312" w:cs="Times New Roman"/>
                <w:bCs/>
                <w:szCs w:val="21"/>
              </w:rPr>
              <w:t>线性范围：＞10⁵</w:t>
            </w:r>
          </w:p>
          <w:p w14:paraId="0CB5D87E">
            <w:pPr>
              <w:widowControl/>
              <w:spacing w:line="360" w:lineRule="auto"/>
              <w:jc w:val="left"/>
              <w:rPr>
                <w:rFonts w:ascii="Times New Roman" w:hAnsi="Times New Roman" w:eastAsia="仿宋_GB2312" w:cs="Times New Roman"/>
                <w:bCs/>
                <w:szCs w:val="21"/>
              </w:rPr>
            </w:pPr>
            <w:r>
              <w:rPr>
                <w:rFonts w:ascii="Times New Roman" w:hAnsi="Times New Roman" w:eastAsia="仿宋_GB2312" w:cs="Times New Roman"/>
                <w:b/>
                <w:szCs w:val="21"/>
              </w:rPr>
              <w:t>分析时间：</w:t>
            </w:r>
            <w:r>
              <w:rPr>
                <w:rFonts w:ascii="Times New Roman" w:hAnsi="Times New Roman" w:eastAsia="仿宋_GB2312" w:cs="Times New Roman"/>
                <w:bCs/>
                <w:szCs w:val="21"/>
              </w:rPr>
              <w:t>烷基汞＜12分钟，总汞＜5分钟</w:t>
            </w:r>
          </w:p>
        </w:tc>
        <w:tc>
          <w:tcPr>
            <w:tcW w:w="2126" w:type="dxa"/>
            <w:tcBorders>
              <w:top w:val="single" w:color="auto" w:sz="4" w:space="0"/>
              <w:left w:val="single" w:color="auto" w:sz="4" w:space="0"/>
              <w:bottom w:val="single" w:color="auto" w:sz="4" w:space="0"/>
              <w:right w:val="single" w:color="auto" w:sz="4" w:space="0"/>
            </w:tcBorders>
            <w:vAlign w:val="center"/>
          </w:tcPr>
          <w:p w14:paraId="373F1425">
            <w:pPr>
              <w:widowControl/>
              <w:spacing w:line="360" w:lineRule="auto"/>
              <w:jc w:val="center"/>
              <w:rPr>
                <w:rFonts w:ascii="Times New Roman" w:hAnsi="Times New Roman" w:eastAsia="仿宋_GB2312" w:cs="Times New Roman"/>
                <w:bCs/>
                <w:szCs w:val="21"/>
              </w:rPr>
            </w:pPr>
            <w:r>
              <w:rPr>
                <w:rFonts w:ascii="Times New Roman" w:hAnsi="Times New Roman" w:eastAsia="仿宋_GB2312" w:cs="Times New Roman"/>
                <w:bCs/>
                <w:szCs w:val="21"/>
              </w:rPr>
              <w:t>是</w:t>
            </w:r>
          </w:p>
        </w:tc>
      </w:tr>
      <w:tr w14:paraId="7C82A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72C4212">
            <w:pPr>
              <w:spacing w:line="360" w:lineRule="auto"/>
              <w:jc w:val="center"/>
              <w:rPr>
                <w:rFonts w:ascii="Times New Roman" w:hAnsi="Times New Roman" w:eastAsia="仿宋_GB2312" w:cs="Times New Roman"/>
                <w:b/>
                <w:szCs w:val="21"/>
              </w:rPr>
            </w:pPr>
            <w:r>
              <w:rPr>
                <w:rFonts w:ascii="Times New Roman" w:hAnsi="Times New Roman" w:eastAsia="仿宋_GB2312" w:cs="Times New Roman"/>
                <w:b/>
                <w:szCs w:val="21"/>
              </w:rPr>
              <w:t>6</w:t>
            </w:r>
          </w:p>
        </w:tc>
        <w:tc>
          <w:tcPr>
            <w:tcW w:w="1134" w:type="dxa"/>
            <w:tcBorders>
              <w:top w:val="single" w:color="auto" w:sz="4" w:space="0"/>
              <w:left w:val="single" w:color="auto" w:sz="4" w:space="0"/>
              <w:bottom w:val="single" w:color="auto" w:sz="4" w:space="0"/>
              <w:right w:val="single" w:color="auto" w:sz="4" w:space="0"/>
            </w:tcBorders>
            <w:vAlign w:val="center"/>
          </w:tcPr>
          <w:p w14:paraId="47EF5081">
            <w:pPr>
              <w:widowControl/>
              <w:spacing w:line="360" w:lineRule="auto"/>
              <w:jc w:val="center"/>
              <w:rPr>
                <w:rFonts w:ascii="Times New Roman" w:hAnsi="Times New Roman" w:eastAsia="仿宋_GB2312" w:cs="Times New Roman"/>
                <w:b/>
                <w:szCs w:val="21"/>
              </w:rPr>
            </w:pPr>
            <w:r>
              <w:rPr>
                <w:rFonts w:ascii="Times New Roman" w:hAnsi="Times New Roman" w:eastAsia="仿宋_GB2312" w:cs="Times New Roman"/>
                <w:b/>
                <w:szCs w:val="21"/>
              </w:rPr>
              <w:t>固体进样模块</w:t>
            </w:r>
          </w:p>
        </w:tc>
        <w:tc>
          <w:tcPr>
            <w:tcW w:w="1388" w:type="dxa"/>
            <w:tcBorders>
              <w:top w:val="single" w:color="auto" w:sz="4" w:space="0"/>
              <w:left w:val="single" w:color="auto" w:sz="4" w:space="0"/>
              <w:bottom w:val="single" w:color="auto" w:sz="4" w:space="0"/>
              <w:right w:val="single" w:color="auto" w:sz="4" w:space="0"/>
            </w:tcBorders>
            <w:vAlign w:val="center"/>
          </w:tcPr>
          <w:p w14:paraId="42F045E5">
            <w:pPr>
              <w:widowControl/>
              <w:spacing w:line="360" w:lineRule="auto"/>
              <w:jc w:val="center"/>
              <w:rPr>
                <w:rFonts w:ascii="Times New Roman" w:hAnsi="Times New Roman" w:eastAsia="仿宋_GB2312" w:cs="Times New Roman"/>
                <w:bCs/>
                <w:szCs w:val="21"/>
              </w:rPr>
            </w:pPr>
            <w:r>
              <w:rPr>
                <w:rFonts w:ascii="Segoe UI Symbol" w:hAnsi="Segoe UI Symbol" w:eastAsia="仿宋_GB2312" w:cs="Segoe UI Symbol"/>
                <w:bCs/>
                <w:szCs w:val="21"/>
              </w:rPr>
              <w:t>★</w:t>
            </w:r>
          </w:p>
        </w:tc>
        <w:tc>
          <w:tcPr>
            <w:tcW w:w="2864" w:type="dxa"/>
            <w:tcBorders>
              <w:top w:val="single" w:color="auto" w:sz="4" w:space="0"/>
              <w:left w:val="single" w:color="auto" w:sz="4" w:space="0"/>
              <w:bottom w:val="single" w:color="auto" w:sz="4" w:space="0"/>
              <w:right w:val="single" w:color="auto" w:sz="4" w:space="0"/>
            </w:tcBorders>
            <w:vAlign w:val="center"/>
          </w:tcPr>
          <w:p w14:paraId="16B644A6">
            <w:pPr>
              <w:widowControl/>
              <w:spacing w:line="360" w:lineRule="auto"/>
              <w:jc w:val="left"/>
              <w:rPr>
                <w:rFonts w:ascii="Times New Roman" w:hAnsi="Times New Roman" w:eastAsia="仿宋_GB2312" w:cs="Times New Roman"/>
                <w:bCs/>
                <w:szCs w:val="21"/>
              </w:rPr>
            </w:pPr>
            <w:r>
              <w:rPr>
                <w:rFonts w:ascii="Times New Roman" w:hAnsi="Times New Roman" w:eastAsia="仿宋_GB2312" w:cs="Times New Roman"/>
                <w:b/>
                <w:szCs w:val="21"/>
              </w:rPr>
              <w:t>固体进样功能：</w:t>
            </w:r>
            <w:r>
              <w:rPr>
                <w:rFonts w:ascii="Times New Roman" w:hAnsi="Times New Roman" w:eastAsia="仿宋_GB2312" w:cs="Times New Roman"/>
                <w:bCs/>
                <w:szCs w:val="21"/>
              </w:rPr>
              <w:t>配套固体加热进样模块，加热模块具有线性升温、梯度升温功能，可实现固体样品分步解析</w:t>
            </w:r>
          </w:p>
          <w:p w14:paraId="697461B4">
            <w:pPr>
              <w:widowControl/>
              <w:spacing w:line="360" w:lineRule="auto"/>
              <w:jc w:val="left"/>
              <w:rPr>
                <w:rFonts w:ascii="Times New Roman" w:hAnsi="Times New Roman" w:eastAsia="仿宋_GB2312" w:cs="Times New Roman"/>
                <w:bCs/>
                <w:szCs w:val="21"/>
              </w:rPr>
            </w:pPr>
            <w:r>
              <w:rPr>
                <w:rFonts w:ascii="Times New Roman" w:hAnsi="Times New Roman" w:eastAsia="仿宋_GB2312" w:cs="Times New Roman"/>
                <w:b/>
                <w:szCs w:val="21"/>
              </w:rPr>
              <w:t>温度范围：</w:t>
            </w:r>
            <w:r>
              <w:rPr>
                <w:rFonts w:ascii="Times New Roman" w:hAnsi="Times New Roman" w:eastAsia="仿宋_GB2312" w:cs="Times New Roman"/>
                <w:bCs/>
                <w:szCs w:val="21"/>
              </w:rPr>
              <w:t>加热模块温度范围Rt+5至700℃</w:t>
            </w:r>
          </w:p>
        </w:tc>
        <w:tc>
          <w:tcPr>
            <w:tcW w:w="2126" w:type="dxa"/>
            <w:tcBorders>
              <w:top w:val="single" w:color="auto" w:sz="4" w:space="0"/>
              <w:left w:val="single" w:color="auto" w:sz="4" w:space="0"/>
              <w:bottom w:val="single" w:color="auto" w:sz="4" w:space="0"/>
              <w:right w:val="single" w:color="auto" w:sz="4" w:space="0"/>
            </w:tcBorders>
            <w:vAlign w:val="center"/>
          </w:tcPr>
          <w:p w14:paraId="30D52895">
            <w:pPr>
              <w:widowControl/>
              <w:spacing w:line="360" w:lineRule="auto"/>
              <w:jc w:val="center"/>
              <w:rPr>
                <w:rFonts w:ascii="Times New Roman" w:hAnsi="Times New Roman" w:eastAsia="仿宋_GB2312" w:cs="Times New Roman"/>
                <w:bCs/>
                <w:szCs w:val="21"/>
              </w:rPr>
            </w:pPr>
            <w:r>
              <w:rPr>
                <w:rFonts w:ascii="Times New Roman" w:hAnsi="Times New Roman" w:eastAsia="仿宋_GB2312" w:cs="Times New Roman"/>
                <w:bCs/>
                <w:szCs w:val="21"/>
              </w:rPr>
              <w:t>是</w:t>
            </w:r>
          </w:p>
        </w:tc>
      </w:tr>
    </w:tbl>
    <w:p w14:paraId="74215591">
      <w:pPr>
        <w:autoSpaceDE w:val="0"/>
        <w:autoSpaceDN w:val="0"/>
        <w:adjustRightInd w:val="0"/>
        <w:snapToGrid w:val="0"/>
        <w:spacing w:before="156" w:beforeLines="50" w:line="360" w:lineRule="auto"/>
        <w:jc w:val="left"/>
        <w:rPr>
          <w:rFonts w:ascii="Times New Roman" w:hAnsi="Times New Roman" w:eastAsia="仿宋_GB2312" w:cs="Times New Roman"/>
          <w:b/>
          <w:snapToGrid w:val="0"/>
          <w:kern w:val="0"/>
          <w:sz w:val="24"/>
          <w:szCs w:val="24"/>
          <w:lang w:val="zh-CN"/>
        </w:rPr>
      </w:pPr>
      <w:r>
        <w:rPr>
          <w:rFonts w:ascii="Times New Roman" w:hAnsi="Times New Roman" w:eastAsia="仿宋_GB2312" w:cs="Times New Roman"/>
          <w:b/>
          <w:snapToGrid w:val="0"/>
          <w:kern w:val="0"/>
          <w:sz w:val="24"/>
          <w:szCs w:val="24"/>
          <w:lang w:val="zh-CN"/>
        </w:rPr>
        <w:t>说明：</w:t>
      </w:r>
    </w:p>
    <w:p w14:paraId="3DDC9702">
      <w:pPr>
        <w:autoSpaceDE w:val="0"/>
        <w:autoSpaceDN w:val="0"/>
        <w:adjustRightInd w:val="0"/>
        <w:snapToGrid w:val="0"/>
        <w:spacing w:line="360" w:lineRule="auto"/>
        <w:ind w:firstLine="480" w:firstLineChars="200"/>
        <w:jc w:val="left"/>
        <w:rPr>
          <w:rFonts w:ascii="Times New Roman" w:hAnsi="Times New Roman" w:eastAsia="仿宋_GB2312" w:cs="Times New Roman"/>
          <w:snapToGrid w:val="0"/>
          <w:kern w:val="0"/>
          <w:sz w:val="24"/>
          <w:szCs w:val="24"/>
          <w:lang w:val="zh-CN"/>
        </w:rPr>
      </w:pPr>
      <w:r>
        <w:rPr>
          <w:rFonts w:ascii="Times New Roman" w:hAnsi="Times New Roman" w:eastAsia="仿宋_GB2312" w:cs="Times New Roman"/>
          <w:snapToGrid w:val="0"/>
          <w:kern w:val="0"/>
          <w:sz w:val="24"/>
          <w:szCs w:val="24"/>
          <w:lang w:val="zh-CN"/>
        </w:rPr>
        <w:fldChar w:fldCharType="begin"/>
      </w:r>
      <w:r>
        <w:rPr>
          <w:rFonts w:ascii="Times New Roman" w:hAnsi="Times New Roman" w:eastAsia="仿宋_GB2312" w:cs="Times New Roman"/>
          <w:snapToGrid w:val="0"/>
          <w:kern w:val="0"/>
          <w:sz w:val="24"/>
          <w:szCs w:val="24"/>
          <w:lang w:val="zh-CN"/>
        </w:rPr>
        <w:instrText xml:space="preserve">= 1 \* GB3</w:instrText>
      </w:r>
      <w:r>
        <w:rPr>
          <w:rFonts w:ascii="Times New Roman" w:hAnsi="Times New Roman" w:eastAsia="仿宋_GB2312" w:cs="Times New Roman"/>
          <w:snapToGrid w:val="0"/>
          <w:kern w:val="0"/>
          <w:sz w:val="24"/>
          <w:szCs w:val="24"/>
          <w:lang w:val="zh-CN"/>
        </w:rPr>
        <w:fldChar w:fldCharType="separate"/>
      </w:r>
      <w:r>
        <w:rPr>
          <w:rFonts w:ascii="Cambria Math" w:hAnsi="Cambria Math" w:eastAsia="仿宋_GB2312" w:cs="Cambria Math"/>
          <w:snapToGrid w:val="0"/>
          <w:kern w:val="0"/>
          <w:sz w:val="24"/>
          <w:szCs w:val="24"/>
          <w:lang w:val="zh-CN"/>
        </w:rPr>
        <w:t>①</w:t>
      </w:r>
      <w:r>
        <w:rPr>
          <w:rFonts w:ascii="Times New Roman" w:hAnsi="Times New Roman" w:eastAsia="仿宋_GB2312" w:cs="Times New Roman"/>
          <w:snapToGrid w:val="0"/>
          <w:kern w:val="0"/>
          <w:sz w:val="24"/>
          <w:szCs w:val="24"/>
          <w:lang w:val="zh-CN"/>
        </w:rPr>
        <w:fldChar w:fldCharType="end"/>
      </w:r>
      <w:r>
        <w:rPr>
          <w:rFonts w:ascii="Times New Roman" w:hAnsi="Times New Roman" w:eastAsia="仿宋_GB2312" w:cs="Times New Roman"/>
          <w:snapToGrid w:val="0"/>
          <w:kern w:val="0"/>
          <w:sz w:val="24"/>
          <w:szCs w:val="24"/>
          <w:lang w:val="zh-CN"/>
        </w:rPr>
        <w:t>重要性可用“</w:t>
      </w:r>
      <w:r>
        <w:rPr>
          <w:rFonts w:ascii="Segoe UI Symbol" w:hAnsi="Segoe UI Symbol" w:eastAsia="仿宋_GB2312" w:cs="Segoe UI Symbol"/>
          <w:snapToGrid w:val="0"/>
          <w:kern w:val="0"/>
          <w:sz w:val="24"/>
          <w:szCs w:val="24"/>
          <w:lang w:val="zh-CN"/>
        </w:rPr>
        <w:t>★</w:t>
      </w:r>
      <w:r>
        <w:rPr>
          <w:rFonts w:ascii="Times New Roman" w:hAnsi="Times New Roman" w:eastAsia="仿宋_GB2312" w:cs="Times New Roman"/>
          <w:snapToGrid w:val="0"/>
          <w:kern w:val="0"/>
          <w:sz w:val="24"/>
          <w:szCs w:val="24"/>
          <w:lang w:val="zh-CN"/>
        </w:rPr>
        <w:t>”“#”表示，“</w:t>
      </w:r>
      <w:r>
        <w:rPr>
          <w:rFonts w:ascii="Segoe UI Symbol" w:hAnsi="Segoe UI Symbol" w:eastAsia="仿宋_GB2312" w:cs="Segoe UI Symbol"/>
          <w:snapToGrid w:val="0"/>
          <w:kern w:val="0"/>
          <w:sz w:val="24"/>
          <w:szCs w:val="24"/>
          <w:lang w:val="zh-CN"/>
        </w:rPr>
        <w:t>★</w:t>
      </w:r>
      <w:r>
        <w:rPr>
          <w:rFonts w:ascii="Times New Roman" w:hAnsi="Times New Roman" w:eastAsia="仿宋_GB2312" w:cs="Times New Roman"/>
          <w:snapToGrid w:val="0"/>
          <w:kern w:val="0"/>
          <w:sz w:val="24"/>
          <w:szCs w:val="24"/>
          <w:lang w:val="zh-CN"/>
        </w:rPr>
        <w:t>”代表关键指标，不满足该指标项将导致响应被拒绝；“</w:t>
      </w:r>
      <w:bookmarkStart w:id="13" w:name="OLE_LINK12"/>
      <w:r>
        <w:rPr>
          <w:rFonts w:ascii="Times New Roman" w:hAnsi="Times New Roman" w:eastAsia="仿宋_GB2312" w:cs="Times New Roman"/>
          <w:snapToGrid w:val="0"/>
          <w:kern w:val="0"/>
          <w:sz w:val="24"/>
          <w:szCs w:val="24"/>
          <w:lang w:val="zh-CN"/>
        </w:rPr>
        <w:t>#</w:t>
      </w:r>
      <w:bookmarkEnd w:id="13"/>
      <w:r>
        <w:rPr>
          <w:rFonts w:ascii="Times New Roman" w:hAnsi="Times New Roman" w:eastAsia="仿宋_GB2312" w:cs="Times New Roman"/>
          <w:snapToGrid w:val="0"/>
          <w:kern w:val="0"/>
          <w:sz w:val="24"/>
          <w:szCs w:val="24"/>
          <w:lang w:val="zh-CN"/>
        </w:rPr>
        <w:t>”代表重要指标；无标识则表示属一般指标项。</w:t>
      </w:r>
    </w:p>
    <w:p w14:paraId="529A00F7">
      <w:pPr>
        <w:autoSpaceDE w:val="0"/>
        <w:autoSpaceDN w:val="0"/>
        <w:adjustRightInd w:val="0"/>
        <w:snapToGrid w:val="0"/>
        <w:spacing w:line="360" w:lineRule="auto"/>
        <w:ind w:firstLine="480" w:firstLineChars="200"/>
        <w:jc w:val="left"/>
        <w:rPr>
          <w:rFonts w:ascii="Times New Roman" w:hAnsi="Times New Roman" w:eastAsia="仿宋_GB2312" w:cs="Times New Roman"/>
          <w:snapToGrid w:val="0"/>
          <w:kern w:val="0"/>
          <w:sz w:val="24"/>
          <w:szCs w:val="24"/>
          <w:lang w:val="zh-CN"/>
        </w:rPr>
      </w:pPr>
      <w:r>
        <w:rPr>
          <w:rFonts w:ascii="Times New Roman" w:hAnsi="Times New Roman" w:eastAsia="仿宋_GB2312" w:cs="Times New Roman"/>
          <w:snapToGrid w:val="0"/>
          <w:kern w:val="0"/>
          <w:sz w:val="24"/>
          <w:szCs w:val="24"/>
          <w:lang w:val="zh-CN"/>
        </w:rPr>
        <w:fldChar w:fldCharType="begin"/>
      </w:r>
      <w:r>
        <w:rPr>
          <w:rFonts w:ascii="Times New Roman" w:hAnsi="Times New Roman" w:eastAsia="仿宋_GB2312" w:cs="Times New Roman"/>
          <w:snapToGrid w:val="0"/>
          <w:kern w:val="0"/>
          <w:sz w:val="24"/>
          <w:szCs w:val="24"/>
          <w:lang w:val="zh-CN"/>
        </w:rPr>
        <w:instrText xml:space="preserve">= 2 \* GB3</w:instrText>
      </w:r>
      <w:r>
        <w:rPr>
          <w:rFonts w:ascii="Times New Roman" w:hAnsi="Times New Roman" w:eastAsia="仿宋_GB2312" w:cs="Times New Roman"/>
          <w:snapToGrid w:val="0"/>
          <w:kern w:val="0"/>
          <w:sz w:val="24"/>
          <w:szCs w:val="24"/>
          <w:lang w:val="zh-CN"/>
        </w:rPr>
        <w:fldChar w:fldCharType="separate"/>
      </w:r>
      <w:r>
        <w:rPr>
          <w:rFonts w:ascii="Cambria Math" w:hAnsi="Cambria Math" w:eastAsia="仿宋_GB2312" w:cs="Cambria Math"/>
          <w:snapToGrid w:val="0"/>
          <w:kern w:val="0"/>
          <w:sz w:val="24"/>
          <w:szCs w:val="24"/>
          <w:lang w:val="zh-CN"/>
        </w:rPr>
        <w:t>②</w:t>
      </w:r>
      <w:r>
        <w:rPr>
          <w:rFonts w:ascii="Times New Roman" w:hAnsi="Times New Roman" w:eastAsia="仿宋_GB2312" w:cs="Times New Roman"/>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r>
        <w:rPr>
          <w:rFonts w:ascii="仿宋_GB2312" w:hAnsi="宋体" w:eastAsia="仿宋_GB2312" w:cs="宋体"/>
          <w:snapToGrid w:val="0"/>
          <w:kern w:val="0"/>
          <w:sz w:val="24"/>
          <w:szCs w:val="24"/>
          <w:lang w:val="zh-CN"/>
        </w:rPr>
        <w:t>填写“否”的提供技术参数偏离表或承诺响应，未提供或提供的偏离表中或承诺有负偏离的，则该指标按不满足处理。若供应商偏离表中与响应文件所列证明材料内容不一致时，将以证明材料内容为准进行评审。</w:t>
      </w:r>
    </w:p>
    <w:p w14:paraId="7923EA61">
      <w:pPr>
        <w:widowControl/>
        <w:shd w:val="clear" w:color="auto" w:fill="FFFFFF"/>
        <w:spacing w:line="360" w:lineRule="auto"/>
        <w:rPr>
          <w:rFonts w:ascii="Times New Roman" w:hAnsi="Times New Roman" w:eastAsia="仿宋_GB2312" w:cs="Times New Roman"/>
          <w:color w:val="000000"/>
          <w:kern w:val="0"/>
          <w:sz w:val="28"/>
          <w:szCs w:val="28"/>
          <w:shd w:val="clear" w:color="auto" w:fill="FFFFFF"/>
        </w:rPr>
      </w:pPr>
      <w:r>
        <w:rPr>
          <w:rFonts w:ascii="Times New Roman" w:hAnsi="Times New Roman" w:eastAsia="仿宋_GB2312" w:cs="Times New Roman"/>
          <w:color w:val="000000"/>
          <w:kern w:val="0"/>
          <w:sz w:val="28"/>
          <w:szCs w:val="28"/>
          <w:shd w:val="clear" w:color="auto" w:fill="FFFFFF"/>
        </w:rPr>
        <w:t>（</w:t>
      </w:r>
      <w:r>
        <w:rPr>
          <w:rFonts w:hint="eastAsia" w:ascii="Times New Roman" w:hAnsi="Times New Roman" w:eastAsia="仿宋_GB2312" w:cs="Times New Roman"/>
          <w:color w:val="000000"/>
          <w:kern w:val="0"/>
          <w:sz w:val="28"/>
          <w:szCs w:val="28"/>
          <w:shd w:val="clear" w:color="auto" w:fill="FFFFFF"/>
        </w:rPr>
        <w:t>九</w:t>
      </w:r>
      <w:r>
        <w:rPr>
          <w:rFonts w:ascii="Times New Roman" w:hAnsi="Times New Roman" w:eastAsia="仿宋_GB2312" w:cs="Times New Roman"/>
          <w:color w:val="000000"/>
          <w:kern w:val="0"/>
          <w:sz w:val="28"/>
          <w:szCs w:val="28"/>
          <w:shd w:val="clear" w:color="auto" w:fill="FFFFFF"/>
        </w:rPr>
        <w:t>）等离子体光谱测汞仪（1台）</w:t>
      </w:r>
    </w:p>
    <w:p w14:paraId="71E38598">
      <w:pPr>
        <w:widowControl/>
        <w:shd w:val="clear" w:color="auto" w:fill="FFFFFF"/>
        <w:spacing w:line="360" w:lineRule="auto"/>
        <w:ind w:firstLine="482" w:firstLineChars="200"/>
        <w:jc w:val="left"/>
        <w:rPr>
          <w:rFonts w:ascii="Times New Roman" w:hAnsi="Times New Roman" w:eastAsia="仿宋_GB2312" w:cs="Times New Roman"/>
          <w:b/>
          <w:bCs/>
          <w:i/>
          <w:iCs/>
          <w:sz w:val="24"/>
          <w:szCs w:val="24"/>
        </w:rPr>
      </w:pPr>
      <w:r>
        <w:rPr>
          <w:rFonts w:ascii="Times New Roman" w:hAnsi="Times New Roman" w:eastAsia="仿宋_GB2312" w:cs="Times New Roman"/>
          <w:b/>
          <w:bCs/>
          <w:sz w:val="24"/>
          <w:szCs w:val="24"/>
        </w:rPr>
        <w:t>1.功能要求：</w:t>
      </w:r>
    </w:p>
    <w:p w14:paraId="408909E3">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本设备用于支撑地球化学、表生地球化学、元素地球化学、环境地球化学及土壤与土壤化学领域的教学与科研，重点服务于《地球化学》、《表生地球化学》、《元素地球化学》、《环境地球化学》、《土壤与土壤化学》等本科课程实验教学，支持地质学、地球化学、环境科学等专业本科生及研究生的生产实习与论文研究的测试需求，每年覆盖学生约300人，教学实验总课时约160学时/年。</w:t>
      </w:r>
    </w:p>
    <w:p w14:paraId="644D1212">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该设备为全谱直读型电感耦合等离子体发射光谱仪，配备超级微波前处理系统，可对岩石、土壤、沉积物、水样等地质与环境样品实现从消解到测试的全流程自动化分析。设备能在数分钟内对单个样品实现包括汞（Hg检出限≤0.1ppb）在内的70余种元素同步测定，动态线性范围达4~6个数量级，可同时分析主量元素与痕量元素，帮助学生建立准确的质量浓度与痕量浓度概念，适合设计综合性、设计性教学实验。设备采用高温等离子体与稳定光学系统，具备优异的抗基体干扰能力，可有效处理复杂地质环境样品，使学生能在接近真实科研场景下学习样品前处理与干扰消除方法，支撑岩石圈物质组成、元素地球化学循环、土壤重金属污染评估、环境质量监测等前沿课题的精准定量分析研究。</w:t>
      </w:r>
    </w:p>
    <w:p w14:paraId="7BBB16C0">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设备集成自动进样与智能软件，实现无人值守批量分析，将教学重点从重复性手工操作转向实验设计、方法优化与数据分析，并极大提升实验安全。配套超级微波前处理系统具备自动水清洗功能，消除批次间交叉污染，与ICP-OES主机形成“消解-测试”全流程自动化分析平台，支撑学生完整参与从样品消解、上机测定到数据分析的全链条实践训练，培养学生掌握行业主流分析技术及解决复杂地球化学问题的综合能力。</w:t>
      </w:r>
    </w:p>
    <w:p w14:paraId="59FDCD90">
      <w:pPr>
        <w:widowControl/>
        <w:numPr>
          <w:ilvl w:val="0"/>
          <w:numId w:val="9"/>
        </w:numPr>
        <w:shd w:val="clear" w:color="auto" w:fill="FFFFFF"/>
        <w:spacing w:line="360" w:lineRule="auto"/>
        <w:ind w:firstLine="482" w:firstLineChars="200"/>
        <w:jc w:val="left"/>
        <w:rPr>
          <w:rFonts w:ascii="Times New Roman" w:hAnsi="Times New Roman" w:eastAsia="仿宋_GB2312" w:cs="Times New Roman"/>
          <w:b/>
          <w:bCs/>
          <w:sz w:val="24"/>
          <w:szCs w:val="24"/>
        </w:rPr>
      </w:pPr>
      <w:r>
        <w:rPr>
          <w:rFonts w:ascii="Times New Roman" w:hAnsi="Times New Roman" w:eastAsia="仿宋_GB2312" w:cs="Times New Roman"/>
          <w:b/>
          <w:bCs/>
          <w:sz w:val="24"/>
          <w:szCs w:val="24"/>
        </w:rPr>
        <w:t>应遵循的相关国家标准、行业标准、地方标准等标准、规范：</w:t>
      </w:r>
    </w:p>
    <w:p w14:paraId="78C3E460">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主要参考国家标准：《GB/T 36244-2018 电感耦合等离子体原子发射光谱仪》——ICP-OES仪器设计、制造及性能检验的核心依据，确保设备各项技术指标符合国家标准要求；《HJ 776-2015 水质 32种元素的测定 电感耦合等离子体发射光谱法》——水样多元素同步测定的方法标准，规范实验教学中水质样品的分析流程；《DZ/T 0279.1~DZ/T 0279.32-2016 区域地球化学样品分析方法》——涵盖ICP-OES测定多种元素的地质样品分析标准，支撑地质学、地球化学专业教学及地矿样品分析实践；《HJ 781-2016 固体废物 22种金属元素的测定 电感耦合等离子体发射光谱法》——固体废物及土壤/沉积物样品中金属元素测定的方法参考等。</w:t>
      </w:r>
    </w:p>
    <w:p w14:paraId="0E1D39A1">
      <w:pPr>
        <w:widowControl/>
        <w:numPr>
          <w:ilvl w:val="0"/>
          <w:numId w:val="9"/>
        </w:numPr>
        <w:shd w:val="clear" w:color="auto" w:fill="FFFFFF"/>
        <w:spacing w:line="360" w:lineRule="auto"/>
        <w:ind w:firstLine="482" w:firstLineChars="200"/>
        <w:rPr>
          <w:rFonts w:ascii="Times New Roman" w:hAnsi="Times New Roman" w:eastAsia="仿宋_GB2312" w:cs="Times New Roman"/>
          <w:b/>
          <w:bCs/>
          <w:sz w:val="24"/>
          <w:szCs w:val="24"/>
        </w:rPr>
      </w:pPr>
      <w:r>
        <w:rPr>
          <w:rFonts w:ascii="Times New Roman" w:hAnsi="Times New Roman" w:eastAsia="仿宋_GB2312" w:cs="Times New Roman"/>
          <w:b/>
          <w:bCs/>
          <w:sz w:val="24"/>
          <w:szCs w:val="24"/>
        </w:rPr>
        <w:t>后续运营维护、升级更新、备品备件等要求：</w:t>
      </w:r>
    </w:p>
    <w:p w14:paraId="1238879E">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运维服务：供应商需提供≥2年免费整机质保（含射频电源、检测器、超级微波腔体、自动进样器等核心部件），质保期内每半年开展1次现场巡检，进行系统性能验证（含检出限、精密度、稳定性等关键指标核查）及预防性维护；故障响应时间≤</w:t>
      </w:r>
      <w:r>
        <w:rPr>
          <w:rFonts w:hint="eastAsia" w:ascii="Times New Roman" w:hAnsi="Times New Roman" w:eastAsia="仿宋_GB2312" w:cs="Times New Roman"/>
          <w:sz w:val="24"/>
          <w:szCs w:val="24"/>
        </w:rPr>
        <w:t>48</w:t>
      </w:r>
      <w:r>
        <w:rPr>
          <w:rFonts w:ascii="Times New Roman" w:hAnsi="Times New Roman" w:eastAsia="仿宋_GB2312" w:cs="Times New Roman"/>
          <w:sz w:val="24"/>
          <w:szCs w:val="24"/>
        </w:rPr>
        <w:t>小时，修复时间≤72小时（不含进口配件通关时间），如72小时内无法修复，需提供备用机或替代解决方案</w:t>
      </w:r>
      <w:r>
        <w:rPr>
          <w:rFonts w:hint="eastAsia" w:ascii="Times New Roman" w:hAnsi="Times New Roman" w:eastAsia="仿宋_GB2312" w:cs="Times New Roman"/>
          <w:sz w:val="24"/>
          <w:szCs w:val="24"/>
        </w:rPr>
        <w:t>。</w:t>
      </w:r>
      <w:r>
        <w:rPr>
          <w:rFonts w:ascii="Times New Roman" w:hAnsi="Times New Roman" w:eastAsia="仿宋_GB2312" w:cs="Times New Roman"/>
          <w:sz w:val="24"/>
          <w:szCs w:val="24"/>
        </w:rPr>
        <w:t>提供2天以上现场培训，交通等与培训相关的费用均由成交供应商承担。培训内容包括但不限于：超级微波消解方法开发与编辑、自动进样器与序列运行设置、全谱定性/半定量/定量分析流程、光谱干扰识别与校正方法（IEC、内标法、标准加入法等）、日常维护与常见故障排查，确保操作人员独立掌握设备使用及基础维护技能；供应商需设有零配件仓库，配备不少于</w:t>
      </w:r>
      <w:r>
        <w:rPr>
          <w:rFonts w:hint="eastAsia" w:ascii="Times New Roman" w:hAnsi="Times New Roman" w:eastAsia="仿宋_GB2312" w:cs="Times New Roman"/>
          <w:sz w:val="24"/>
          <w:szCs w:val="24"/>
        </w:rPr>
        <w:t>2</w:t>
      </w:r>
      <w:r>
        <w:rPr>
          <w:rFonts w:ascii="Times New Roman" w:hAnsi="Times New Roman" w:eastAsia="仿宋_GB2312" w:cs="Times New Roman"/>
          <w:sz w:val="24"/>
          <w:szCs w:val="24"/>
        </w:rPr>
        <w:t>名专职售后工程师。</w:t>
      </w:r>
    </w:p>
    <w:p w14:paraId="1DB77FBC">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升级更新：设备软件终身免费升级，确保与国家最新发布的相关方法标准保持技术兼容；硬件支持后续功能扩展（如增加有机进样系统、激光烧蚀进样模块等），供应商需在新技术推出或相关标准方法更新后30日内书面告知用户升级方案及费用情况；质保期内因标准方法更新导致需要硬件调整或软件参数优化的，供应商应免费提供技术支持。</w:t>
      </w:r>
    </w:p>
    <w:p w14:paraId="23ABFFC7">
      <w:pPr>
        <w:widowControl/>
        <w:shd w:val="clear" w:color="auto" w:fill="FFFFFF"/>
        <w:spacing w:line="360" w:lineRule="auto"/>
        <w:ind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备品备件：质保期外提供全生命周期备件供应保障（承诺供应周期≥10年），常用备件（如炬管、中心管、雾化器、蠕动泵管、进样针、样品瓶、超级微波消解罐及密封圈等消耗品及易损件）需在国内设有常备库存，用户提出需求后7个工作日内到货；提供详细备品备件价格清单，并承诺后续采购价格不高于市场同期水平；设备停产前6个月应书面通知用户，并提供替代方案建议及不低于5年的延续备件保障。</w:t>
      </w:r>
    </w:p>
    <w:p w14:paraId="18803CC7">
      <w:pPr>
        <w:spacing w:line="360" w:lineRule="auto"/>
        <w:ind w:firstLine="482" w:firstLineChars="200"/>
        <w:outlineLvl w:val="0"/>
        <w:rPr>
          <w:rFonts w:ascii="Times New Roman" w:hAnsi="Times New Roman" w:eastAsia="仿宋_GB2312" w:cs="Times New Roman"/>
          <w:sz w:val="24"/>
          <w:szCs w:val="24"/>
        </w:rPr>
      </w:pPr>
      <w:r>
        <w:rPr>
          <w:rFonts w:ascii="Times New Roman" w:hAnsi="Times New Roman" w:eastAsia="仿宋_GB2312" w:cs="Times New Roman"/>
          <w:b/>
          <w:bCs/>
          <w:sz w:val="24"/>
          <w:szCs w:val="24"/>
        </w:rPr>
        <w:t>4.各项指标要求：</w:t>
      </w:r>
    </w:p>
    <w:tbl>
      <w:tblPr>
        <w:tblStyle w:val="8"/>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1388"/>
        <w:gridCol w:w="2864"/>
        <w:gridCol w:w="2126"/>
      </w:tblGrid>
      <w:tr w14:paraId="655CA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7759EBD">
            <w:pPr>
              <w:adjustRightInd w:val="0"/>
              <w:snapToGrid w:val="0"/>
              <w:jc w:val="center"/>
              <w:rPr>
                <w:rFonts w:ascii="Times New Roman" w:hAnsi="Times New Roman" w:eastAsia="仿宋_GB2312" w:cs="Times New Roman"/>
                <w:b/>
                <w:szCs w:val="21"/>
              </w:rPr>
            </w:pPr>
            <w:r>
              <w:rPr>
                <w:rFonts w:ascii="Times New Roman" w:hAnsi="Times New Roman" w:eastAsia="仿宋_GB2312" w:cs="Times New Roman"/>
                <w:b/>
                <w:szCs w:val="21"/>
              </w:rPr>
              <w:t>序号</w:t>
            </w:r>
          </w:p>
        </w:tc>
        <w:tc>
          <w:tcPr>
            <w:tcW w:w="1134" w:type="dxa"/>
            <w:vAlign w:val="center"/>
          </w:tcPr>
          <w:p w14:paraId="2657A2E9">
            <w:pPr>
              <w:widowControl/>
              <w:adjustRightInd w:val="0"/>
              <w:snapToGrid w:val="0"/>
              <w:jc w:val="center"/>
              <w:rPr>
                <w:rFonts w:ascii="Times New Roman" w:hAnsi="Times New Roman" w:eastAsia="仿宋_GB2312" w:cs="Times New Roman"/>
                <w:b/>
                <w:szCs w:val="21"/>
              </w:rPr>
            </w:pPr>
            <w:r>
              <w:rPr>
                <w:rFonts w:ascii="Times New Roman" w:hAnsi="Times New Roman" w:eastAsia="仿宋_GB2312" w:cs="Times New Roman"/>
                <w:b/>
                <w:szCs w:val="21"/>
              </w:rPr>
              <w:t>指标项</w:t>
            </w:r>
          </w:p>
        </w:tc>
        <w:tc>
          <w:tcPr>
            <w:tcW w:w="1388" w:type="dxa"/>
            <w:vAlign w:val="center"/>
          </w:tcPr>
          <w:p w14:paraId="0B118DDA">
            <w:pPr>
              <w:widowControl/>
              <w:adjustRightInd w:val="0"/>
              <w:snapToGrid w:val="0"/>
              <w:jc w:val="center"/>
              <w:rPr>
                <w:rFonts w:ascii="Times New Roman" w:hAnsi="Times New Roman" w:eastAsia="仿宋_GB2312" w:cs="Times New Roman"/>
                <w:b/>
                <w:szCs w:val="21"/>
              </w:rPr>
            </w:pPr>
            <w:r>
              <w:rPr>
                <w:rFonts w:ascii="Times New Roman" w:hAnsi="Times New Roman" w:eastAsia="仿宋_GB2312" w:cs="Times New Roman"/>
                <w:b/>
                <w:szCs w:val="21"/>
              </w:rPr>
              <w:t>重要性</w:t>
            </w:r>
          </w:p>
        </w:tc>
        <w:tc>
          <w:tcPr>
            <w:tcW w:w="2864" w:type="dxa"/>
            <w:vAlign w:val="center"/>
          </w:tcPr>
          <w:p w14:paraId="3B7BA96E">
            <w:pPr>
              <w:widowControl/>
              <w:adjustRightInd w:val="0"/>
              <w:snapToGrid w:val="0"/>
              <w:jc w:val="center"/>
              <w:rPr>
                <w:rFonts w:ascii="Times New Roman" w:hAnsi="Times New Roman" w:eastAsia="仿宋_GB2312" w:cs="Times New Roman"/>
                <w:b/>
                <w:szCs w:val="21"/>
              </w:rPr>
            </w:pPr>
            <w:r>
              <w:rPr>
                <w:rFonts w:ascii="Times New Roman" w:hAnsi="Times New Roman" w:eastAsia="仿宋_GB2312" w:cs="Times New Roman"/>
                <w:b/>
                <w:szCs w:val="21"/>
              </w:rPr>
              <w:t>指标要求</w:t>
            </w:r>
          </w:p>
        </w:tc>
        <w:tc>
          <w:tcPr>
            <w:tcW w:w="2126" w:type="dxa"/>
            <w:vAlign w:val="center"/>
          </w:tcPr>
          <w:p w14:paraId="121FB482">
            <w:pPr>
              <w:widowControl/>
              <w:jc w:val="center"/>
              <w:rPr>
                <w:rFonts w:ascii="Times New Roman" w:hAnsi="Times New Roman" w:eastAsia="仿宋_GB2312" w:cs="Times New Roman"/>
                <w:b/>
                <w:szCs w:val="21"/>
              </w:rPr>
            </w:pPr>
            <w:r>
              <w:rPr>
                <w:rFonts w:ascii="Times New Roman" w:hAnsi="Times New Roman" w:eastAsia="仿宋_GB2312" w:cs="Times New Roman"/>
                <w:b/>
                <w:szCs w:val="21"/>
              </w:rPr>
              <w:t>证明材料要求</w:t>
            </w:r>
          </w:p>
        </w:tc>
      </w:tr>
      <w:tr w14:paraId="50DD6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E7FD204">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1</w:t>
            </w:r>
          </w:p>
        </w:tc>
        <w:tc>
          <w:tcPr>
            <w:tcW w:w="1134" w:type="dxa"/>
            <w:vAlign w:val="center"/>
          </w:tcPr>
          <w:p w14:paraId="78A8B892">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仪器主体与光学系统</w:t>
            </w:r>
          </w:p>
        </w:tc>
        <w:tc>
          <w:tcPr>
            <w:tcW w:w="1388" w:type="dxa"/>
            <w:vAlign w:val="center"/>
          </w:tcPr>
          <w:p w14:paraId="7BBDA010">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w:t>
            </w:r>
          </w:p>
        </w:tc>
        <w:tc>
          <w:tcPr>
            <w:tcW w:w="2864" w:type="dxa"/>
            <w:vAlign w:val="center"/>
          </w:tcPr>
          <w:p w14:paraId="34B27CBA">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b/>
                <w:bCs/>
                <w:szCs w:val="21"/>
              </w:rPr>
              <w:t>光学系统</w:t>
            </w:r>
            <w:r>
              <w:rPr>
                <w:rFonts w:ascii="Times New Roman" w:hAnsi="Times New Roman" w:eastAsia="仿宋_GB2312" w:cs="Times New Roman"/>
                <w:szCs w:val="21"/>
              </w:rPr>
              <w:t>：二维分光系统，焦距≤400nm。</w:t>
            </w:r>
          </w:p>
          <w:p w14:paraId="3E67A93D">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b/>
                <w:bCs/>
                <w:szCs w:val="21"/>
              </w:rPr>
              <w:t>波长范围</w:t>
            </w:r>
            <w:r>
              <w:rPr>
                <w:rFonts w:ascii="Times New Roman" w:hAnsi="Times New Roman" w:eastAsia="仿宋_GB2312" w:cs="Times New Roman"/>
                <w:szCs w:val="21"/>
              </w:rPr>
              <w:t>： 覆盖165-900nm，须满足可测Al 167.079nm及Cs 894.347nm谱线。</w:t>
            </w:r>
          </w:p>
          <w:p w14:paraId="29D44F72">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b/>
                <w:bCs/>
                <w:szCs w:val="21"/>
              </w:rPr>
              <w:t>光学分辨率</w:t>
            </w:r>
            <w:r>
              <w:rPr>
                <w:rFonts w:ascii="Times New Roman" w:hAnsi="Times New Roman" w:eastAsia="仿宋_GB2312" w:cs="Times New Roman"/>
                <w:szCs w:val="21"/>
              </w:rPr>
              <w:t>：≤7pm @ 200nm。</w:t>
            </w:r>
          </w:p>
          <w:p w14:paraId="50F88A6D">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b/>
                <w:bCs/>
                <w:szCs w:val="21"/>
              </w:rPr>
              <w:t>光室恒温</w:t>
            </w:r>
            <w:r>
              <w:rPr>
                <w:rFonts w:ascii="Times New Roman" w:hAnsi="Times New Roman" w:eastAsia="仿宋_GB2312" w:cs="Times New Roman"/>
                <w:szCs w:val="21"/>
              </w:rPr>
              <w:t>：恒温温度≤38℃，精密度±0.1℃，具有氩气吹扫功能。</w:t>
            </w:r>
          </w:p>
        </w:tc>
        <w:tc>
          <w:tcPr>
            <w:tcW w:w="2126" w:type="dxa"/>
            <w:vAlign w:val="center"/>
          </w:tcPr>
          <w:p w14:paraId="69E35269">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3070F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8928E64">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2</w:t>
            </w:r>
          </w:p>
        </w:tc>
        <w:tc>
          <w:tcPr>
            <w:tcW w:w="1134" w:type="dxa"/>
            <w:vAlign w:val="center"/>
          </w:tcPr>
          <w:p w14:paraId="096D656D">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检测器核心性能</w:t>
            </w:r>
          </w:p>
        </w:tc>
        <w:tc>
          <w:tcPr>
            <w:tcW w:w="1388" w:type="dxa"/>
            <w:vAlign w:val="center"/>
          </w:tcPr>
          <w:p w14:paraId="44D8CAEF">
            <w:pPr>
              <w:widowControl/>
              <w:adjustRightInd w:val="0"/>
              <w:snapToGrid w:val="0"/>
              <w:jc w:val="center"/>
              <w:rPr>
                <w:rFonts w:ascii="Times New Roman" w:hAnsi="Times New Roman" w:eastAsia="仿宋_GB2312" w:cs="Times New Roman"/>
                <w:szCs w:val="21"/>
              </w:rPr>
            </w:pPr>
          </w:p>
        </w:tc>
        <w:tc>
          <w:tcPr>
            <w:tcW w:w="2864" w:type="dxa"/>
            <w:vAlign w:val="center"/>
          </w:tcPr>
          <w:p w14:paraId="4BEDFF7A">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b/>
                <w:bCs/>
                <w:szCs w:val="21"/>
              </w:rPr>
              <w:t>检测单元</w:t>
            </w:r>
            <w:r>
              <w:rPr>
                <w:rFonts w:ascii="Times New Roman" w:hAnsi="Times New Roman" w:eastAsia="仿宋_GB2312" w:cs="Times New Roman"/>
                <w:szCs w:val="21"/>
              </w:rPr>
              <w:t>：≥100万像素CCD检测器，具备全谱段响应及防溢出功能。</w:t>
            </w:r>
          </w:p>
          <w:p w14:paraId="046EBE32">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b/>
                <w:bCs/>
                <w:szCs w:val="21"/>
              </w:rPr>
              <w:t>检测器制冷</w:t>
            </w:r>
            <w:r>
              <w:rPr>
                <w:rFonts w:ascii="Times New Roman" w:hAnsi="Times New Roman" w:eastAsia="仿宋_GB2312" w:cs="Times New Roman"/>
                <w:szCs w:val="21"/>
              </w:rPr>
              <w:t>： 半导体制冷，恒温温度≤-10℃。</w:t>
            </w:r>
          </w:p>
          <w:p w14:paraId="27833398">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b/>
                <w:bCs/>
                <w:szCs w:val="21"/>
              </w:rPr>
              <w:t>量子化效率</w:t>
            </w:r>
            <w:r>
              <w:rPr>
                <w:rFonts w:ascii="Times New Roman" w:hAnsi="Times New Roman" w:eastAsia="仿宋_GB2312" w:cs="Times New Roman"/>
                <w:szCs w:val="21"/>
              </w:rPr>
              <w:t>：紫外区量子化效率≥75%。</w:t>
            </w:r>
          </w:p>
        </w:tc>
        <w:tc>
          <w:tcPr>
            <w:tcW w:w="2126" w:type="dxa"/>
            <w:vAlign w:val="center"/>
          </w:tcPr>
          <w:p w14:paraId="6F5F273B">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0AC66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94886ED">
            <w:pPr>
              <w:adjustRightInd w:val="0"/>
              <w:snapToGrid w:val="0"/>
              <w:jc w:val="center"/>
              <w:rPr>
                <w:rFonts w:ascii="Times New Roman" w:hAnsi="Times New Roman" w:eastAsia="仿宋_GB2312" w:cs="Times New Roman"/>
                <w:szCs w:val="21"/>
              </w:rPr>
            </w:pPr>
            <w:bookmarkStart w:id="14" w:name="_Hlk235608302"/>
            <w:r>
              <w:rPr>
                <w:rFonts w:ascii="Times New Roman" w:hAnsi="Times New Roman" w:eastAsia="仿宋_GB2312" w:cs="Times New Roman"/>
                <w:szCs w:val="21"/>
              </w:rPr>
              <w:t>3</w:t>
            </w:r>
          </w:p>
        </w:tc>
        <w:tc>
          <w:tcPr>
            <w:tcW w:w="1134" w:type="dxa"/>
            <w:vAlign w:val="center"/>
          </w:tcPr>
          <w:p w14:paraId="6E6D2988">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b/>
                <w:bCs/>
                <w:szCs w:val="21"/>
              </w:rPr>
              <w:t>进样与等离子体源</w:t>
            </w:r>
          </w:p>
        </w:tc>
        <w:tc>
          <w:tcPr>
            <w:tcW w:w="1388" w:type="dxa"/>
            <w:vAlign w:val="center"/>
          </w:tcPr>
          <w:p w14:paraId="6CDF34EC">
            <w:pPr>
              <w:widowControl/>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napToGrid w:val="0"/>
                <w:kern w:val="0"/>
                <w:szCs w:val="21"/>
                <w:lang w:val="zh-CN"/>
              </w:rPr>
              <w:t>#</w:t>
            </w:r>
          </w:p>
        </w:tc>
        <w:tc>
          <w:tcPr>
            <w:tcW w:w="2864" w:type="dxa"/>
            <w:vAlign w:val="center"/>
          </w:tcPr>
          <w:p w14:paraId="49FE3EF0">
            <w:pPr>
              <w:widowControl/>
              <w:adjustRightInd w:val="0"/>
              <w:snapToGrid w:val="0"/>
              <w:jc w:val="left"/>
              <w:rPr>
                <w:rFonts w:ascii="Times New Roman" w:hAnsi="Times New Roman" w:eastAsia="仿宋_GB2312" w:cs="Times New Roman"/>
                <w:szCs w:val="21"/>
              </w:rPr>
            </w:pPr>
            <w:bookmarkStart w:id="15" w:name="OLE_LINK23"/>
            <w:r>
              <w:rPr>
                <w:rFonts w:ascii="Times New Roman" w:hAnsi="Times New Roman" w:eastAsia="仿宋_GB2312" w:cs="Times New Roman"/>
                <w:b/>
                <w:bCs/>
                <w:szCs w:val="21"/>
              </w:rPr>
              <w:t>雾化器：</w:t>
            </w:r>
            <w:r>
              <w:rPr>
                <w:rFonts w:ascii="Times New Roman" w:hAnsi="Times New Roman" w:eastAsia="仿宋_GB2312" w:cs="Times New Roman"/>
                <w:szCs w:val="21"/>
              </w:rPr>
              <w:t>高效</w:t>
            </w:r>
            <w:bookmarkEnd w:id="15"/>
            <w:r>
              <w:rPr>
                <w:rFonts w:ascii="Times New Roman" w:hAnsi="Times New Roman" w:eastAsia="仿宋_GB2312" w:cs="Times New Roman"/>
                <w:szCs w:val="21"/>
              </w:rPr>
              <w:t>同心雾化器，具备良好耐盐性，</w:t>
            </w:r>
            <w:bookmarkStart w:id="16" w:name="OLE_LINK39"/>
            <w:r>
              <w:rPr>
                <w:rFonts w:ascii="Times New Roman" w:hAnsi="Times New Roman" w:eastAsia="仿宋_GB2312" w:cs="Times New Roman"/>
                <w:szCs w:val="21"/>
              </w:rPr>
              <w:t>可选配高盐</w:t>
            </w:r>
            <w:bookmarkEnd w:id="16"/>
            <w:r>
              <w:rPr>
                <w:rFonts w:ascii="Times New Roman" w:hAnsi="Times New Roman" w:eastAsia="仿宋_GB2312" w:cs="Times New Roman"/>
                <w:szCs w:val="21"/>
              </w:rPr>
              <w:t>雾化器或HF雾化器。</w:t>
            </w:r>
          </w:p>
          <w:p w14:paraId="39C16B1C">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b/>
                <w:bCs/>
                <w:szCs w:val="21"/>
              </w:rPr>
              <w:t>氢化物发生器：</w:t>
            </w:r>
            <w:r>
              <w:rPr>
                <w:rFonts w:ascii="Times New Roman" w:hAnsi="Times New Roman" w:eastAsia="仿宋_GB2312" w:cs="Times New Roman"/>
                <w:szCs w:val="21"/>
              </w:rPr>
              <w:t>与主机配套的氢化物发生装置，用于样品中痕量和超痕量水平可形成氢化物的元素（如Hg, As, Se等）的蒸汽发生进样。发生器载气流量、样品/酸液/还原剂流速应可调，具备良好的发生效率与稳定性。</w:t>
            </w:r>
          </w:p>
          <w:p w14:paraId="4C36D68E">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b/>
                <w:bCs/>
                <w:szCs w:val="21"/>
              </w:rPr>
              <w:t>气路控制：</w:t>
            </w:r>
            <w:r>
              <w:rPr>
                <w:rFonts w:ascii="Times New Roman" w:hAnsi="Times New Roman" w:eastAsia="仿宋_GB2312" w:cs="Times New Roman"/>
                <w:szCs w:val="21"/>
              </w:rPr>
              <w:t>质量流量计（MFC）控制，雾化气流量控制精度≤0.01L/min。</w:t>
            </w:r>
          </w:p>
          <w:p w14:paraId="6ED1E711">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b/>
                <w:bCs/>
                <w:szCs w:val="21"/>
              </w:rPr>
              <w:t>射频电源：</w:t>
            </w:r>
            <w:r>
              <w:rPr>
                <w:rFonts w:ascii="Times New Roman" w:hAnsi="Times New Roman" w:eastAsia="仿宋_GB2312" w:cs="Times New Roman"/>
                <w:szCs w:val="21"/>
              </w:rPr>
              <w:t>全固态，功率范围550-1600W，连续1W可调。</w:t>
            </w:r>
          </w:p>
          <w:p w14:paraId="059A5D15">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b/>
                <w:bCs/>
                <w:szCs w:val="21"/>
              </w:rPr>
              <w:t>观测方式：</w:t>
            </w:r>
            <w:r>
              <w:rPr>
                <w:rFonts w:ascii="Times New Roman" w:hAnsi="Times New Roman" w:eastAsia="仿宋_GB2312" w:cs="Times New Roman"/>
                <w:szCs w:val="21"/>
              </w:rPr>
              <w:t>炬管系统，具备轴向与径向双向观测，并具有衰减功能。</w:t>
            </w:r>
          </w:p>
          <w:p w14:paraId="0DF1A34F">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b/>
                <w:bCs/>
                <w:szCs w:val="21"/>
              </w:rPr>
              <w:t>稳定性：</w:t>
            </w:r>
            <w:r>
              <w:rPr>
                <w:rFonts w:ascii="Times New Roman" w:hAnsi="Times New Roman" w:eastAsia="仿宋_GB2312" w:cs="Times New Roman"/>
                <w:szCs w:val="21"/>
              </w:rPr>
              <w:t>功率稳定性≤0.1%，频率稳定性≤0.01%。</w:t>
            </w:r>
          </w:p>
        </w:tc>
        <w:tc>
          <w:tcPr>
            <w:tcW w:w="2126" w:type="dxa"/>
            <w:vAlign w:val="center"/>
          </w:tcPr>
          <w:p w14:paraId="0A12B56A">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bookmarkEnd w:id="14"/>
      <w:tr w14:paraId="40E31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790815E">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4</w:t>
            </w:r>
          </w:p>
        </w:tc>
        <w:tc>
          <w:tcPr>
            <w:tcW w:w="1134" w:type="dxa"/>
            <w:vAlign w:val="center"/>
          </w:tcPr>
          <w:p w14:paraId="7DBFF9A4">
            <w:pPr>
              <w:widowControl/>
              <w:adjustRightInd w:val="0"/>
              <w:snapToGrid w:val="0"/>
              <w:jc w:val="center"/>
              <w:rPr>
                <w:rFonts w:ascii="Times New Roman" w:hAnsi="Times New Roman" w:eastAsia="仿宋_GB2312" w:cs="Times New Roman"/>
                <w:b/>
                <w:bCs/>
                <w:szCs w:val="21"/>
              </w:rPr>
            </w:pPr>
            <w:r>
              <w:rPr>
                <w:rFonts w:ascii="Times New Roman" w:hAnsi="Times New Roman" w:eastAsia="仿宋_GB2312" w:cs="Times New Roman"/>
                <w:b/>
                <w:bCs/>
                <w:szCs w:val="21"/>
              </w:rPr>
              <w:t>核心性能指标</w:t>
            </w:r>
          </w:p>
        </w:tc>
        <w:tc>
          <w:tcPr>
            <w:tcW w:w="1388" w:type="dxa"/>
            <w:vAlign w:val="center"/>
          </w:tcPr>
          <w:p w14:paraId="48D90A94">
            <w:pPr>
              <w:widowControl/>
              <w:adjustRightInd w:val="0"/>
              <w:snapToGrid w:val="0"/>
              <w:jc w:val="center"/>
              <w:rPr>
                <w:rFonts w:ascii="Times New Roman" w:hAnsi="Times New Roman" w:eastAsia="仿宋_GB2312" w:cs="Times New Roman"/>
                <w:b/>
                <w:bCs/>
                <w:szCs w:val="21"/>
              </w:rPr>
            </w:pPr>
            <w:r>
              <w:rPr>
                <w:rFonts w:ascii="Segoe UI Symbol" w:hAnsi="Segoe UI Symbol" w:eastAsia="仿宋_GB2312" w:cs="Segoe UI Symbol"/>
                <w:b/>
                <w:bCs/>
                <w:szCs w:val="21"/>
              </w:rPr>
              <w:t>★</w:t>
            </w:r>
          </w:p>
        </w:tc>
        <w:tc>
          <w:tcPr>
            <w:tcW w:w="2864" w:type="dxa"/>
            <w:vAlign w:val="center"/>
          </w:tcPr>
          <w:p w14:paraId="4977AF4D">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b/>
                <w:bCs/>
                <w:szCs w:val="21"/>
              </w:rPr>
              <w:t>精密度：</w:t>
            </w:r>
            <w:r>
              <w:rPr>
                <w:rFonts w:ascii="Times New Roman" w:hAnsi="Times New Roman" w:eastAsia="仿宋_GB2312" w:cs="Times New Roman"/>
                <w:szCs w:val="21"/>
              </w:rPr>
              <w:t>测定1ppm或10ppm混合标液，十次重复测定RSD</w:t>
            </w:r>
            <w:bookmarkStart w:id="17" w:name="OLE_LINK40"/>
            <w:r>
              <w:rPr>
                <w:rFonts w:ascii="Times New Roman" w:hAnsi="Times New Roman" w:eastAsia="仿宋_GB2312" w:cs="Times New Roman"/>
                <w:szCs w:val="21"/>
              </w:rPr>
              <w:t>≤</w:t>
            </w:r>
            <w:bookmarkEnd w:id="17"/>
            <w:r>
              <w:rPr>
                <w:rFonts w:ascii="Times New Roman" w:hAnsi="Times New Roman" w:eastAsia="仿宋_GB2312" w:cs="Times New Roman"/>
                <w:szCs w:val="21"/>
              </w:rPr>
              <w:t>0.5%。</w:t>
            </w:r>
          </w:p>
          <w:p w14:paraId="0F8CE728">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b/>
                <w:bCs/>
                <w:szCs w:val="21"/>
              </w:rPr>
              <w:t>稳定性</w:t>
            </w:r>
            <w:bookmarkStart w:id="18" w:name="OLE_LINK37"/>
            <w:r>
              <w:rPr>
                <w:rFonts w:ascii="Times New Roman" w:hAnsi="Times New Roman" w:eastAsia="仿宋_GB2312" w:cs="Times New Roman"/>
                <w:b/>
                <w:bCs/>
                <w:szCs w:val="21"/>
              </w:rPr>
              <w:t xml:space="preserve">： </w:t>
            </w:r>
            <w:bookmarkEnd w:id="18"/>
            <w:r>
              <w:rPr>
                <w:rFonts w:ascii="Times New Roman" w:hAnsi="Times New Roman" w:eastAsia="仿宋_GB2312" w:cs="Times New Roman"/>
                <w:szCs w:val="21"/>
              </w:rPr>
              <w:t>8小时长时间稳定性RSD≤1%。</w:t>
            </w:r>
          </w:p>
          <w:p w14:paraId="2B8C9644">
            <w:pPr>
              <w:widowControl/>
              <w:adjustRightInd w:val="0"/>
              <w:snapToGrid w:val="0"/>
              <w:jc w:val="left"/>
              <w:rPr>
                <w:rFonts w:ascii="Times New Roman" w:hAnsi="Times New Roman" w:eastAsia="仿宋_GB2312" w:cs="Times New Roman"/>
                <w:b/>
                <w:bCs/>
                <w:szCs w:val="21"/>
              </w:rPr>
            </w:pPr>
            <w:r>
              <w:rPr>
                <w:rFonts w:ascii="Times New Roman" w:hAnsi="Times New Roman" w:eastAsia="仿宋_GB2312" w:cs="Times New Roman"/>
                <w:b/>
                <w:bCs/>
                <w:szCs w:val="21"/>
              </w:rPr>
              <w:t>检出限：</w:t>
            </w:r>
            <w:bookmarkStart w:id="19" w:name="OLE_LINK46"/>
            <w:r>
              <w:rPr>
                <w:rFonts w:ascii="Times New Roman" w:hAnsi="Times New Roman" w:eastAsia="仿宋_GB2312" w:cs="Times New Roman"/>
                <w:szCs w:val="21"/>
              </w:rPr>
              <w:t xml:space="preserve"> Hg</w:t>
            </w:r>
            <w:bookmarkEnd w:id="19"/>
            <w:r>
              <w:rPr>
                <w:rFonts w:ascii="Times New Roman" w:hAnsi="Times New Roman" w:eastAsia="仿宋_GB2312" w:cs="Times New Roman"/>
                <w:szCs w:val="21"/>
              </w:rPr>
              <w:t xml:space="preserve"> ≤0.1ppb；Zn≤0.5ppb， Ni</w:t>
            </w:r>
            <w:bookmarkStart w:id="20" w:name="OLE_LINK51"/>
            <w:r>
              <w:rPr>
                <w:rFonts w:ascii="Times New Roman" w:hAnsi="Times New Roman" w:eastAsia="仿宋_GB2312" w:cs="Times New Roman"/>
                <w:szCs w:val="21"/>
              </w:rPr>
              <w:t>≤</w:t>
            </w:r>
            <w:bookmarkEnd w:id="20"/>
            <w:r>
              <w:rPr>
                <w:rFonts w:ascii="Times New Roman" w:hAnsi="Times New Roman" w:eastAsia="仿宋_GB2312" w:cs="Times New Roman"/>
                <w:szCs w:val="21"/>
              </w:rPr>
              <w:t>1ppb, Mn≤0.5ppb</w:t>
            </w:r>
          </w:p>
        </w:tc>
        <w:tc>
          <w:tcPr>
            <w:tcW w:w="2126" w:type="dxa"/>
            <w:vAlign w:val="center"/>
          </w:tcPr>
          <w:p w14:paraId="4B6D730A">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否</w:t>
            </w:r>
          </w:p>
        </w:tc>
      </w:tr>
      <w:tr w14:paraId="46504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267AA63">
            <w:pPr>
              <w:adjustRightInd w:val="0"/>
              <w:snapToGrid w:val="0"/>
              <w:jc w:val="center"/>
              <w:rPr>
                <w:rFonts w:ascii="Times New Roman" w:hAnsi="Times New Roman" w:eastAsia="仿宋_GB2312" w:cs="Times New Roman"/>
                <w:szCs w:val="21"/>
              </w:rPr>
            </w:pPr>
            <w:r>
              <w:rPr>
                <w:rFonts w:ascii="Times New Roman" w:hAnsi="Times New Roman" w:eastAsia="仿宋_GB2312" w:cs="Times New Roman"/>
                <w:szCs w:val="21"/>
              </w:rPr>
              <w:t>5</w:t>
            </w:r>
          </w:p>
        </w:tc>
        <w:tc>
          <w:tcPr>
            <w:tcW w:w="1134" w:type="dxa"/>
            <w:vAlign w:val="center"/>
          </w:tcPr>
          <w:p w14:paraId="3E00941F">
            <w:pPr>
              <w:widowControl/>
              <w:adjustRightInd w:val="0"/>
              <w:snapToGrid w:val="0"/>
              <w:jc w:val="center"/>
              <w:rPr>
                <w:rFonts w:ascii="Times New Roman" w:hAnsi="Times New Roman" w:eastAsia="仿宋_GB2312" w:cs="Times New Roman"/>
                <w:b/>
                <w:bCs/>
                <w:szCs w:val="21"/>
              </w:rPr>
            </w:pPr>
            <w:r>
              <w:rPr>
                <w:rFonts w:ascii="Times New Roman" w:hAnsi="Times New Roman" w:eastAsia="仿宋_GB2312" w:cs="Times New Roman"/>
                <w:b/>
                <w:bCs/>
                <w:szCs w:val="21"/>
              </w:rPr>
              <w:t>软件与扩展性</w:t>
            </w:r>
          </w:p>
        </w:tc>
        <w:tc>
          <w:tcPr>
            <w:tcW w:w="1388" w:type="dxa"/>
            <w:vAlign w:val="center"/>
          </w:tcPr>
          <w:p w14:paraId="373F4247">
            <w:pPr>
              <w:widowControl/>
              <w:adjustRightInd w:val="0"/>
              <w:snapToGrid w:val="0"/>
              <w:jc w:val="center"/>
              <w:rPr>
                <w:rFonts w:ascii="Times New Roman" w:hAnsi="Times New Roman" w:eastAsia="仿宋_GB2312" w:cs="Times New Roman"/>
                <w:b/>
                <w:bCs/>
                <w:szCs w:val="21"/>
              </w:rPr>
            </w:pPr>
            <w:r>
              <w:rPr>
                <w:rFonts w:ascii="Times New Roman" w:hAnsi="Times New Roman" w:eastAsia="仿宋_GB2312" w:cs="Times New Roman"/>
                <w:b/>
                <w:bCs/>
                <w:szCs w:val="21"/>
              </w:rPr>
              <w:t>#</w:t>
            </w:r>
          </w:p>
        </w:tc>
        <w:tc>
          <w:tcPr>
            <w:tcW w:w="2864" w:type="dxa"/>
            <w:vAlign w:val="center"/>
          </w:tcPr>
          <w:p w14:paraId="10DE6F8B">
            <w:pPr>
              <w:widowControl/>
              <w:adjustRightInd w:val="0"/>
              <w:snapToGrid w:val="0"/>
              <w:jc w:val="left"/>
              <w:rPr>
                <w:rFonts w:ascii="Times New Roman" w:hAnsi="Times New Roman" w:eastAsia="仿宋_GB2312" w:cs="Times New Roman"/>
                <w:szCs w:val="21"/>
              </w:rPr>
            </w:pPr>
            <w:r>
              <w:rPr>
                <w:rFonts w:ascii="Times New Roman" w:hAnsi="Times New Roman" w:eastAsia="仿宋_GB2312" w:cs="Times New Roman"/>
                <w:b/>
                <w:bCs/>
                <w:szCs w:val="21"/>
              </w:rPr>
              <w:t>软件功能：</w:t>
            </w:r>
            <w:r>
              <w:rPr>
                <w:rFonts w:ascii="Times New Roman" w:hAnsi="Times New Roman" w:eastAsia="仿宋_GB2312" w:cs="Times New Roman"/>
                <w:szCs w:val="21"/>
              </w:rPr>
              <w:t>具备定性、半定量、定量分析，全谱图采集，多种干扰校正方法（IEC、内标、标准加入法等）。</w:t>
            </w:r>
          </w:p>
          <w:p w14:paraId="4069E17E">
            <w:pPr>
              <w:widowControl/>
              <w:adjustRightInd w:val="0"/>
              <w:snapToGrid w:val="0"/>
              <w:jc w:val="left"/>
              <w:rPr>
                <w:rFonts w:ascii="Times New Roman" w:hAnsi="Times New Roman" w:eastAsia="仿宋_GB2312" w:cs="Times New Roman"/>
                <w:b/>
                <w:bCs/>
                <w:szCs w:val="21"/>
              </w:rPr>
            </w:pPr>
            <w:bookmarkStart w:id="21" w:name="OLE_LINK42"/>
            <w:bookmarkStart w:id="22" w:name="OLE_LINK43"/>
            <w:r>
              <w:rPr>
                <w:rFonts w:ascii="Times New Roman" w:hAnsi="Times New Roman" w:eastAsia="仿宋_GB2312" w:cs="Times New Roman"/>
                <w:b/>
                <w:bCs/>
                <w:szCs w:val="21"/>
              </w:rPr>
              <w:t>超级微波前处理系统</w:t>
            </w:r>
            <w:bookmarkEnd w:id="21"/>
            <w:r>
              <w:rPr>
                <w:rFonts w:ascii="Times New Roman" w:hAnsi="Times New Roman" w:eastAsia="仿宋_GB2312" w:cs="Times New Roman"/>
                <w:b/>
                <w:bCs/>
                <w:szCs w:val="21"/>
              </w:rPr>
              <w:t>集成</w:t>
            </w:r>
            <w:bookmarkEnd w:id="22"/>
            <w:r>
              <w:rPr>
                <w:rFonts w:ascii="Times New Roman" w:hAnsi="Times New Roman" w:eastAsia="仿宋_GB2312" w:cs="Times New Roman"/>
                <w:b/>
                <w:bCs/>
                <w:szCs w:val="21"/>
              </w:rPr>
              <w:t>：</w:t>
            </w:r>
            <w:r>
              <w:rPr>
                <w:rFonts w:ascii="Times New Roman" w:hAnsi="Times New Roman" w:eastAsia="仿宋_GB2312" w:cs="Times New Roman"/>
                <w:szCs w:val="21"/>
              </w:rPr>
              <w:t>主机需配套超级微波消解模块，形成“消解-测试”全流程自动化分析平台，样品经微波消解后可自动定容并直接转入ICP-OES进样检测，无需人工转移。供应商应确保系统兼容性及集成稳定性</w:t>
            </w:r>
          </w:p>
        </w:tc>
        <w:tc>
          <w:tcPr>
            <w:tcW w:w="2126" w:type="dxa"/>
            <w:vAlign w:val="center"/>
          </w:tcPr>
          <w:p w14:paraId="38FC68E1">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bl>
    <w:p w14:paraId="23DBB36D">
      <w:pPr>
        <w:autoSpaceDE w:val="0"/>
        <w:autoSpaceDN w:val="0"/>
        <w:adjustRightInd w:val="0"/>
        <w:snapToGrid w:val="0"/>
        <w:spacing w:before="156" w:beforeLines="50" w:line="360" w:lineRule="auto"/>
        <w:jc w:val="left"/>
        <w:rPr>
          <w:rFonts w:ascii="Times New Roman" w:hAnsi="Times New Roman" w:eastAsia="仿宋_GB2312" w:cs="Times New Roman"/>
          <w:b/>
          <w:snapToGrid w:val="0"/>
          <w:kern w:val="0"/>
          <w:sz w:val="24"/>
          <w:szCs w:val="24"/>
          <w:lang w:val="zh-CN"/>
        </w:rPr>
      </w:pPr>
      <w:r>
        <w:rPr>
          <w:rFonts w:ascii="Times New Roman" w:hAnsi="Times New Roman" w:eastAsia="仿宋_GB2312" w:cs="Times New Roman"/>
          <w:b/>
          <w:snapToGrid w:val="0"/>
          <w:kern w:val="0"/>
          <w:sz w:val="24"/>
          <w:szCs w:val="24"/>
          <w:lang w:val="zh-CN"/>
        </w:rPr>
        <w:t>说明：</w:t>
      </w:r>
    </w:p>
    <w:p w14:paraId="3E7F1060">
      <w:pPr>
        <w:autoSpaceDE w:val="0"/>
        <w:autoSpaceDN w:val="0"/>
        <w:adjustRightInd w:val="0"/>
        <w:snapToGrid w:val="0"/>
        <w:spacing w:line="360" w:lineRule="auto"/>
        <w:ind w:firstLine="480" w:firstLineChars="200"/>
        <w:jc w:val="left"/>
        <w:rPr>
          <w:rFonts w:ascii="Times New Roman" w:hAnsi="Times New Roman" w:eastAsia="仿宋_GB2312" w:cs="Times New Roman"/>
          <w:snapToGrid w:val="0"/>
          <w:kern w:val="0"/>
          <w:sz w:val="24"/>
          <w:szCs w:val="24"/>
          <w:lang w:val="zh-CN"/>
        </w:rPr>
      </w:pPr>
      <w:r>
        <w:rPr>
          <w:rFonts w:ascii="Times New Roman" w:hAnsi="Times New Roman" w:eastAsia="仿宋_GB2312" w:cs="Times New Roman"/>
          <w:snapToGrid w:val="0"/>
          <w:kern w:val="0"/>
          <w:sz w:val="24"/>
          <w:szCs w:val="24"/>
          <w:lang w:val="zh-CN"/>
        </w:rPr>
        <w:fldChar w:fldCharType="begin"/>
      </w:r>
      <w:r>
        <w:rPr>
          <w:rFonts w:ascii="Times New Roman" w:hAnsi="Times New Roman" w:eastAsia="仿宋_GB2312" w:cs="Times New Roman"/>
          <w:snapToGrid w:val="0"/>
          <w:kern w:val="0"/>
          <w:sz w:val="24"/>
          <w:szCs w:val="24"/>
          <w:lang w:val="zh-CN"/>
        </w:rPr>
        <w:instrText xml:space="preserve">= 1 \* GB3</w:instrText>
      </w:r>
      <w:r>
        <w:rPr>
          <w:rFonts w:ascii="Times New Roman" w:hAnsi="Times New Roman" w:eastAsia="仿宋_GB2312" w:cs="Times New Roman"/>
          <w:snapToGrid w:val="0"/>
          <w:kern w:val="0"/>
          <w:sz w:val="24"/>
          <w:szCs w:val="24"/>
          <w:lang w:val="zh-CN"/>
        </w:rPr>
        <w:fldChar w:fldCharType="separate"/>
      </w:r>
      <w:r>
        <w:rPr>
          <w:rFonts w:ascii="Cambria Math" w:hAnsi="Cambria Math" w:eastAsia="仿宋_GB2312" w:cs="Cambria Math"/>
          <w:snapToGrid w:val="0"/>
          <w:kern w:val="0"/>
          <w:sz w:val="24"/>
          <w:szCs w:val="24"/>
          <w:lang w:val="zh-CN"/>
        </w:rPr>
        <w:t>①</w:t>
      </w:r>
      <w:r>
        <w:rPr>
          <w:rFonts w:ascii="Times New Roman" w:hAnsi="Times New Roman" w:eastAsia="仿宋_GB2312" w:cs="Times New Roman"/>
          <w:snapToGrid w:val="0"/>
          <w:kern w:val="0"/>
          <w:sz w:val="24"/>
          <w:szCs w:val="24"/>
          <w:lang w:val="zh-CN"/>
        </w:rPr>
        <w:fldChar w:fldCharType="end"/>
      </w:r>
      <w:r>
        <w:rPr>
          <w:rFonts w:ascii="Times New Roman" w:hAnsi="Times New Roman" w:eastAsia="仿宋_GB2312" w:cs="Times New Roman"/>
          <w:snapToGrid w:val="0"/>
          <w:kern w:val="0"/>
          <w:sz w:val="24"/>
          <w:szCs w:val="24"/>
          <w:lang w:val="zh-CN"/>
        </w:rPr>
        <w:t>重要性可用“</w:t>
      </w:r>
      <w:r>
        <w:rPr>
          <w:rFonts w:ascii="Segoe UI Symbol" w:hAnsi="Segoe UI Symbol" w:eastAsia="仿宋_GB2312" w:cs="Segoe UI Symbol"/>
          <w:snapToGrid w:val="0"/>
          <w:kern w:val="0"/>
          <w:sz w:val="24"/>
          <w:szCs w:val="24"/>
          <w:lang w:val="zh-CN"/>
        </w:rPr>
        <w:t>★</w:t>
      </w:r>
      <w:r>
        <w:rPr>
          <w:rFonts w:ascii="Times New Roman" w:hAnsi="Times New Roman" w:eastAsia="仿宋_GB2312" w:cs="Times New Roman"/>
          <w:snapToGrid w:val="0"/>
          <w:kern w:val="0"/>
          <w:sz w:val="24"/>
          <w:szCs w:val="24"/>
          <w:lang w:val="zh-CN"/>
        </w:rPr>
        <w:t>”“#”表示，“</w:t>
      </w:r>
      <w:r>
        <w:rPr>
          <w:rFonts w:ascii="Segoe UI Symbol" w:hAnsi="Segoe UI Symbol" w:eastAsia="仿宋_GB2312" w:cs="Segoe UI Symbol"/>
          <w:snapToGrid w:val="0"/>
          <w:kern w:val="0"/>
          <w:sz w:val="24"/>
          <w:szCs w:val="24"/>
          <w:lang w:val="zh-CN"/>
        </w:rPr>
        <w:t>★</w:t>
      </w:r>
      <w:r>
        <w:rPr>
          <w:rFonts w:ascii="Times New Roman" w:hAnsi="Times New Roman" w:eastAsia="仿宋_GB2312" w:cs="Times New Roman"/>
          <w:snapToGrid w:val="0"/>
          <w:kern w:val="0"/>
          <w:sz w:val="24"/>
          <w:szCs w:val="24"/>
          <w:lang w:val="zh-CN"/>
        </w:rPr>
        <w:t>”代表关键指标，不满足该指标项将导致响应被拒绝；“#”代表重要指标；无标识则表示属一般指标项。</w:t>
      </w:r>
    </w:p>
    <w:p w14:paraId="2BA3FA0F">
      <w:pPr>
        <w:autoSpaceDE w:val="0"/>
        <w:autoSpaceDN w:val="0"/>
        <w:adjustRightInd w:val="0"/>
        <w:snapToGrid w:val="0"/>
        <w:spacing w:line="360" w:lineRule="auto"/>
        <w:ind w:firstLine="480" w:firstLineChars="200"/>
        <w:jc w:val="left"/>
        <w:rPr>
          <w:rFonts w:ascii="Times New Roman" w:hAnsi="Times New Roman" w:eastAsia="仿宋_GB2312" w:cs="Times New Roman"/>
          <w:snapToGrid w:val="0"/>
          <w:kern w:val="0"/>
          <w:sz w:val="24"/>
          <w:szCs w:val="24"/>
          <w:lang w:val="zh-CN"/>
        </w:rPr>
      </w:pPr>
      <w:r>
        <w:rPr>
          <w:rFonts w:ascii="Times New Roman" w:hAnsi="Times New Roman" w:eastAsia="仿宋_GB2312" w:cs="Times New Roman"/>
          <w:snapToGrid w:val="0"/>
          <w:kern w:val="0"/>
          <w:sz w:val="24"/>
          <w:szCs w:val="24"/>
          <w:lang w:val="zh-CN"/>
        </w:rPr>
        <w:fldChar w:fldCharType="begin"/>
      </w:r>
      <w:r>
        <w:rPr>
          <w:rFonts w:ascii="Times New Roman" w:hAnsi="Times New Roman" w:eastAsia="仿宋_GB2312" w:cs="Times New Roman"/>
          <w:snapToGrid w:val="0"/>
          <w:kern w:val="0"/>
          <w:sz w:val="24"/>
          <w:szCs w:val="24"/>
          <w:lang w:val="zh-CN"/>
        </w:rPr>
        <w:instrText xml:space="preserve">= 2 \* GB3</w:instrText>
      </w:r>
      <w:r>
        <w:rPr>
          <w:rFonts w:ascii="Times New Roman" w:hAnsi="Times New Roman" w:eastAsia="仿宋_GB2312" w:cs="Times New Roman"/>
          <w:snapToGrid w:val="0"/>
          <w:kern w:val="0"/>
          <w:sz w:val="24"/>
          <w:szCs w:val="24"/>
          <w:lang w:val="zh-CN"/>
        </w:rPr>
        <w:fldChar w:fldCharType="separate"/>
      </w:r>
      <w:r>
        <w:rPr>
          <w:rFonts w:ascii="Cambria Math" w:hAnsi="Cambria Math" w:eastAsia="仿宋_GB2312" w:cs="Cambria Math"/>
          <w:snapToGrid w:val="0"/>
          <w:kern w:val="0"/>
          <w:sz w:val="24"/>
          <w:szCs w:val="24"/>
          <w:lang w:val="zh-CN"/>
        </w:rPr>
        <w:t>②</w:t>
      </w:r>
      <w:r>
        <w:rPr>
          <w:rFonts w:ascii="Times New Roman" w:hAnsi="Times New Roman" w:eastAsia="仿宋_GB2312" w:cs="Times New Roman"/>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r>
        <w:rPr>
          <w:rFonts w:ascii="仿宋_GB2312" w:hAnsi="宋体" w:eastAsia="仿宋_GB2312" w:cs="宋体"/>
          <w:snapToGrid w:val="0"/>
          <w:kern w:val="0"/>
          <w:sz w:val="24"/>
          <w:szCs w:val="24"/>
          <w:lang w:val="zh-CN"/>
        </w:rPr>
        <w:t>填写“否”的提供技术参数偏离表或承诺响应，未提供或提供的偏离表中或承诺有负偏离的，则该指标按不满足处理。若供应商偏离表中与响应文件所列证明材料内容不一致时，将以证明材料内容为准进行评审。</w:t>
      </w:r>
    </w:p>
    <w:p w14:paraId="4CBCDA5B">
      <w:pPr>
        <w:widowControl/>
        <w:shd w:val="clear" w:color="auto" w:fill="FFFFFF"/>
        <w:spacing w:line="360" w:lineRule="auto"/>
        <w:jc w:val="center"/>
        <w:rPr>
          <w:rFonts w:ascii="Times New Roman" w:hAnsi="Times New Roman" w:eastAsia="仿宋_GB2312" w:cs="Times New Roman"/>
          <w:color w:val="000000"/>
          <w:kern w:val="0"/>
          <w:sz w:val="28"/>
          <w:szCs w:val="28"/>
          <w:shd w:val="clear" w:color="auto" w:fill="FFFFFF"/>
        </w:rPr>
      </w:pPr>
      <w:r>
        <w:rPr>
          <w:rFonts w:ascii="Times New Roman" w:hAnsi="Times New Roman" w:eastAsia="仿宋_GB2312" w:cs="Times New Roman"/>
          <w:color w:val="000000"/>
          <w:kern w:val="0"/>
          <w:sz w:val="28"/>
          <w:szCs w:val="28"/>
          <w:shd w:val="clear" w:color="auto" w:fill="FFFFFF"/>
        </w:rPr>
        <w:t>（</w:t>
      </w:r>
      <w:r>
        <w:rPr>
          <w:rFonts w:hint="eastAsia" w:ascii="Times New Roman" w:hAnsi="Times New Roman" w:eastAsia="仿宋_GB2312" w:cs="Times New Roman"/>
          <w:color w:val="000000"/>
          <w:kern w:val="0"/>
          <w:sz w:val="28"/>
          <w:szCs w:val="28"/>
          <w:shd w:val="clear" w:color="auto" w:fill="FFFFFF"/>
        </w:rPr>
        <w:t>十</w:t>
      </w:r>
      <w:r>
        <w:rPr>
          <w:rFonts w:ascii="Times New Roman" w:hAnsi="Times New Roman" w:eastAsia="仿宋_GB2312" w:cs="Times New Roman"/>
          <w:color w:val="000000"/>
          <w:kern w:val="0"/>
          <w:sz w:val="28"/>
          <w:szCs w:val="28"/>
          <w:shd w:val="clear" w:color="auto" w:fill="FFFFFF"/>
        </w:rPr>
        <w:t>）超便携多通道温室气体通量分析仪（1台）</w:t>
      </w:r>
    </w:p>
    <w:p w14:paraId="0411A4C9">
      <w:pPr>
        <w:widowControl/>
        <w:shd w:val="clear" w:color="auto" w:fill="FFFFFF"/>
        <w:spacing w:line="360" w:lineRule="auto"/>
        <w:ind w:firstLine="482" w:firstLineChars="200"/>
        <w:rPr>
          <w:rFonts w:ascii="Times New Roman" w:hAnsi="Times New Roman" w:eastAsia="仿宋_GB2312" w:cs="Times New Roman"/>
          <w:snapToGrid w:val="0"/>
          <w:kern w:val="0"/>
          <w:sz w:val="24"/>
          <w:szCs w:val="24"/>
          <w:lang w:val="zh-CN"/>
        </w:rPr>
      </w:pPr>
      <w:r>
        <w:rPr>
          <w:rFonts w:ascii="Times New Roman" w:hAnsi="Times New Roman" w:eastAsia="仿宋_GB2312" w:cs="Times New Roman"/>
          <w:b/>
          <w:bCs/>
          <w:snapToGrid w:val="0"/>
          <w:kern w:val="0"/>
          <w:sz w:val="24"/>
          <w:szCs w:val="24"/>
          <w:lang w:val="zh-CN"/>
        </w:rPr>
        <w:t>1.功能要求</w:t>
      </w:r>
      <w:r>
        <w:rPr>
          <w:rFonts w:ascii="Times New Roman" w:hAnsi="Times New Roman" w:eastAsia="仿宋_GB2312" w:cs="Times New Roman"/>
          <w:snapToGrid w:val="0"/>
          <w:kern w:val="0"/>
          <w:sz w:val="24"/>
          <w:szCs w:val="24"/>
          <w:lang w:val="zh-CN"/>
        </w:rPr>
        <w:t>：</w:t>
      </w:r>
    </w:p>
    <w:p w14:paraId="33EB70B0">
      <w:pPr>
        <w:widowControl/>
        <w:shd w:val="clear" w:color="auto" w:fill="FFFFFF"/>
        <w:spacing w:line="360" w:lineRule="auto"/>
        <w:ind w:firstLine="480" w:firstLineChars="200"/>
        <w:rPr>
          <w:rFonts w:ascii="Times New Roman" w:hAnsi="Times New Roman" w:eastAsia="仿宋_GB2312" w:cs="Times New Roman"/>
          <w:snapToGrid w:val="0"/>
          <w:kern w:val="0"/>
          <w:sz w:val="24"/>
          <w:szCs w:val="24"/>
          <w:lang w:val="zh-CN"/>
        </w:rPr>
      </w:pPr>
      <w:r>
        <w:rPr>
          <w:rFonts w:ascii="Times New Roman" w:hAnsi="Times New Roman" w:eastAsia="仿宋_GB2312" w:cs="Times New Roman"/>
          <w:snapToGrid w:val="0"/>
          <w:kern w:val="0"/>
          <w:sz w:val="24"/>
          <w:szCs w:val="24"/>
          <w:lang w:val="zh-CN"/>
        </w:rPr>
        <w:t>开展土壤/水体-大气界面二氧化碳通量、甲烷通量和土壤温湿度等理化性质参数原位观测，探索温室气体通量排放的空间分布特征、解析碳元素在不同碳库之间迁移转化的规律，为建立二氧化碳、甲烷等温室气体源汇监测技术体系与核算方法提供重要数据。</w:t>
      </w:r>
    </w:p>
    <w:p w14:paraId="6D7D0AB7">
      <w:pPr>
        <w:widowControl/>
        <w:shd w:val="clear" w:color="auto" w:fill="FFFFFF"/>
        <w:spacing w:line="360" w:lineRule="auto"/>
        <w:ind w:firstLine="482" w:firstLineChars="200"/>
        <w:rPr>
          <w:rFonts w:ascii="Times New Roman" w:hAnsi="Times New Roman" w:eastAsia="仿宋_GB2312" w:cs="Times New Roman"/>
          <w:b/>
          <w:bCs/>
          <w:snapToGrid w:val="0"/>
          <w:kern w:val="0"/>
          <w:sz w:val="24"/>
          <w:szCs w:val="24"/>
          <w:lang w:val="zh-CN"/>
        </w:rPr>
      </w:pPr>
      <w:r>
        <w:rPr>
          <w:rFonts w:ascii="Times New Roman" w:hAnsi="Times New Roman" w:eastAsia="仿宋_GB2312" w:cs="Times New Roman"/>
          <w:b/>
          <w:bCs/>
          <w:snapToGrid w:val="0"/>
          <w:kern w:val="0"/>
          <w:sz w:val="24"/>
          <w:szCs w:val="24"/>
          <w:lang w:val="zh-CN"/>
        </w:rPr>
        <w:t>2.应遵循的相关国家标准、行业标准、地方标准等标准、规范：符合相关国家标准、行业标准、地方标准等标准、规范。</w:t>
      </w:r>
    </w:p>
    <w:p w14:paraId="71110FA7">
      <w:pPr>
        <w:widowControl/>
        <w:shd w:val="clear" w:color="auto" w:fill="FFFFFF"/>
        <w:spacing w:line="360" w:lineRule="auto"/>
        <w:ind w:firstLine="482" w:firstLineChars="200"/>
        <w:rPr>
          <w:rFonts w:ascii="Times New Roman" w:hAnsi="Times New Roman" w:eastAsia="仿宋_GB2312" w:cs="Times New Roman"/>
          <w:b/>
          <w:bCs/>
          <w:snapToGrid w:val="0"/>
          <w:kern w:val="0"/>
          <w:sz w:val="24"/>
          <w:szCs w:val="24"/>
          <w:lang w:val="zh-CN"/>
        </w:rPr>
      </w:pPr>
      <w:r>
        <w:rPr>
          <w:rFonts w:ascii="Times New Roman" w:hAnsi="Times New Roman" w:eastAsia="仿宋_GB2312" w:cs="Times New Roman"/>
          <w:b/>
          <w:bCs/>
          <w:snapToGrid w:val="0"/>
          <w:kern w:val="0"/>
          <w:sz w:val="24"/>
          <w:szCs w:val="24"/>
          <w:lang w:val="zh-CN"/>
        </w:rPr>
        <w:t>3.后续运营维护、升级更新、备品备件等要求：</w:t>
      </w:r>
    </w:p>
    <w:p w14:paraId="36927F91">
      <w:pPr>
        <w:widowControl/>
        <w:shd w:val="clear" w:color="auto" w:fill="FFFFFF"/>
        <w:spacing w:line="360" w:lineRule="auto"/>
        <w:ind w:firstLine="480" w:firstLineChars="200"/>
        <w:rPr>
          <w:rFonts w:ascii="Times New Roman" w:hAnsi="Times New Roman" w:eastAsia="仿宋_GB2312" w:cs="Times New Roman"/>
          <w:snapToGrid w:val="0"/>
          <w:kern w:val="0"/>
          <w:sz w:val="24"/>
          <w:szCs w:val="24"/>
          <w:lang w:val="zh-CN"/>
        </w:rPr>
      </w:pPr>
      <w:r>
        <w:rPr>
          <w:rFonts w:ascii="Times New Roman" w:hAnsi="Times New Roman" w:eastAsia="仿宋_GB2312" w:cs="Times New Roman"/>
          <w:snapToGrid w:val="0"/>
          <w:kern w:val="0"/>
          <w:sz w:val="24"/>
          <w:szCs w:val="24"/>
          <w:lang w:val="zh-CN"/>
        </w:rPr>
        <w:t>(1)在质保期内免费上门服务，零部件损坏无偿更换，发生质量问题，在接到通知半小时之内作出响应，12小时内线上指导客户解决一般问题，重大问题或其它无法迅速解决的问题将派遣技术人员到现场进行解决。若系仪器本身运行故障（物理性人为因素除外），提供免费售后服务，不收取任何配件及人工费用；若设备发生人为故障或自然因素（如火灾、雷击、等不可抗力），上门更换同种品牌规格型号的新部件，只收零配件成本，不加收其它任何费用；</w:t>
      </w:r>
    </w:p>
    <w:p w14:paraId="2D34A7EE">
      <w:pPr>
        <w:widowControl/>
        <w:shd w:val="clear" w:color="auto" w:fill="FFFFFF"/>
        <w:spacing w:line="360" w:lineRule="auto"/>
        <w:ind w:firstLine="480" w:firstLineChars="200"/>
        <w:rPr>
          <w:rFonts w:ascii="Times New Roman" w:hAnsi="Times New Roman" w:eastAsia="仿宋_GB2312" w:cs="Times New Roman"/>
          <w:snapToGrid w:val="0"/>
          <w:kern w:val="0"/>
          <w:sz w:val="24"/>
          <w:szCs w:val="24"/>
          <w:lang w:val="zh-CN"/>
        </w:rPr>
      </w:pPr>
      <w:r>
        <w:rPr>
          <w:rFonts w:ascii="Times New Roman" w:hAnsi="Times New Roman" w:eastAsia="仿宋_GB2312" w:cs="Times New Roman"/>
          <w:snapToGrid w:val="0"/>
          <w:kern w:val="0"/>
          <w:sz w:val="24"/>
          <w:szCs w:val="24"/>
          <w:lang w:val="zh-CN"/>
        </w:rPr>
        <w:t>(2)质保期满后的服务：继续提供售后保修服务，仅收取零部件成本，免收人工费用，免费提供终身的技术咨询服务；</w:t>
      </w:r>
    </w:p>
    <w:p w14:paraId="581B2F86">
      <w:pPr>
        <w:widowControl/>
        <w:shd w:val="clear" w:color="auto" w:fill="FFFFFF"/>
        <w:spacing w:line="360" w:lineRule="auto"/>
        <w:ind w:firstLine="480" w:firstLineChars="200"/>
        <w:rPr>
          <w:rFonts w:ascii="Times New Roman" w:hAnsi="Times New Roman" w:eastAsia="仿宋_GB2312" w:cs="Times New Roman"/>
          <w:snapToGrid w:val="0"/>
          <w:kern w:val="0"/>
          <w:sz w:val="24"/>
          <w:szCs w:val="24"/>
          <w:lang w:val="zh-CN"/>
        </w:rPr>
      </w:pPr>
      <w:r>
        <w:rPr>
          <w:rFonts w:ascii="Times New Roman" w:hAnsi="Times New Roman" w:eastAsia="仿宋_GB2312" w:cs="Times New Roman"/>
          <w:snapToGrid w:val="0"/>
          <w:kern w:val="0"/>
          <w:sz w:val="24"/>
          <w:szCs w:val="24"/>
          <w:lang w:val="zh-CN"/>
        </w:rPr>
        <w:t>(3)软件终身无条件升级，免费提供终身的技术咨询服务；</w:t>
      </w:r>
    </w:p>
    <w:p w14:paraId="25FB0E42">
      <w:pPr>
        <w:widowControl/>
        <w:shd w:val="clear" w:color="auto" w:fill="FFFFFF"/>
        <w:spacing w:line="360" w:lineRule="auto"/>
        <w:ind w:firstLine="480" w:firstLineChars="200"/>
        <w:rPr>
          <w:rFonts w:ascii="Times New Roman" w:hAnsi="Times New Roman" w:eastAsia="仿宋_GB2312" w:cs="Times New Roman"/>
          <w:snapToGrid w:val="0"/>
          <w:kern w:val="0"/>
          <w:sz w:val="24"/>
          <w:szCs w:val="24"/>
          <w:lang w:val="zh-CN"/>
        </w:rPr>
      </w:pPr>
      <w:r>
        <w:rPr>
          <w:rFonts w:ascii="Times New Roman" w:hAnsi="Times New Roman" w:eastAsia="仿宋_GB2312" w:cs="Times New Roman"/>
          <w:snapToGrid w:val="0"/>
          <w:kern w:val="0"/>
          <w:sz w:val="24"/>
          <w:szCs w:val="24"/>
          <w:lang w:val="zh-CN"/>
        </w:rPr>
        <w:t>(4)提供使用说明书和保养手册，并对相关人员免费进行产品和设备原理、使用方法、注意事项、保养等多方面的培训，直至熟练掌握操作技能和注意事项；</w:t>
      </w:r>
    </w:p>
    <w:p w14:paraId="2B5EC701">
      <w:pPr>
        <w:widowControl/>
        <w:shd w:val="clear" w:color="auto" w:fill="FFFFFF"/>
        <w:spacing w:line="360" w:lineRule="auto"/>
        <w:ind w:firstLine="480" w:firstLineChars="200"/>
        <w:rPr>
          <w:rFonts w:ascii="Times New Roman" w:hAnsi="Times New Roman" w:eastAsia="仿宋_GB2312" w:cs="Times New Roman"/>
          <w:snapToGrid w:val="0"/>
          <w:kern w:val="0"/>
          <w:sz w:val="24"/>
          <w:szCs w:val="24"/>
          <w:lang w:val="zh-CN"/>
        </w:rPr>
      </w:pPr>
      <w:r>
        <w:rPr>
          <w:rFonts w:ascii="Times New Roman" w:hAnsi="Times New Roman" w:eastAsia="仿宋_GB2312" w:cs="Times New Roman"/>
          <w:snapToGrid w:val="0"/>
          <w:kern w:val="0"/>
          <w:sz w:val="24"/>
          <w:szCs w:val="24"/>
          <w:lang w:val="zh-CN"/>
        </w:rPr>
        <w:t>(5)若仪器使用过程中有耗材需求，质保期内需根据采购方要求按时送达耗材；质保期满后，按市场价配送耗材。</w:t>
      </w:r>
    </w:p>
    <w:p w14:paraId="6E0540B6">
      <w:pPr>
        <w:widowControl/>
        <w:shd w:val="clear" w:color="auto" w:fill="FFFFFF"/>
        <w:spacing w:line="360" w:lineRule="auto"/>
        <w:ind w:firstLine="482" w:firstLineChars="200"/>
        <w:rPr>
          <w:rFonts w:ascii="Times New Roman" w:hAnsi="Times New Roman" w:eastAsia="仿宋_GB2312" w:cs="Times New Roman"/>
          <w:b/>
          <w:bCs/>
          <w:snapToGrid w:val="0"/>
          <w:kern w:val="0"/>
          <w:sz w:val="24"/>
          <w:szCs w:val="24"/>
          <w:lang w:val="zh-CN"/>
        </w:rPr>
      </w:pPr>
      <w:r>
        <w:rPr>
          <w:rFonts w:ascii="Times New Roman" w:hAnsi="Times New Roman" w:eastAsia="仿宋_GB2312" w:cs="Times New Roman"/>
          <w:b/>
          <w:bCs/>
          <w:snapToGrid w:val="0"/>
          <w:kern w:val="0"/>
          <w:sz w:val="24"/>
          <w:szCs w:val="24"/>
          <w:lang w:val="zh-CN"/>
        </w:rPr>
        <w:t>4.各项指标要求：</w:t>
      </w:r>
    </w:p>
    <w:tbl>
      <w:tblPr>
        <w:tblStyle w:val="8"/>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1276"/>
        <w:gridCol w:w="992"/>
        <w:gridCol w:w="4253"/>
        <w:gridCol w:w="1173"/>
      </w:tblGrid>
      <w:tr w14:paraId="17EDC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06" w:type="dxa"/>
            <w:vAlign w:val="center"/>
          </w:tcPr>
          <w:p w14:paraId="130A5234">
            <w:pPr>
              <w:jc w:val="center"/>
              <w:rPr>
                <w:rFonts w:ascii="Times New Roman" w:hAnsi="Times New Roman" w:eastAsia="仿宋_GB2312" w:cs="Times New Roman"/>
                <w:b/>
                <w:szCs w:val="21"/>
              </w:rPr>
            </w:pPr>
            <w:r>
              <w:rPr>
                <w:rFonts w:ascii="Times New Roman" w:hAnsi="Times New Roman" w:eastAsia="仿宋_GB2312" w:cs="Times New Roman"/>
                <w:b/>
                <w:szCs w:val="21"/>
              </w:rPr>
              <w:t>序号</w:t>
            </w:r>
          </w:p>
        </w:tc>
        <w:tc>
          <w:tcPr>
            <w:tcW w:w="1276" w:type="dxa"/>
            <w:vAlign w:val="center"/>
          </w:tcPr>
          <w:p w14:paraId="0E006212">
            <w:pPr>
              <w:widowControl/>
              <w:jc w:val="center"/>
              <w:rPr>
                <w:rFonts w:ascii="Times New Roman" w:hAnsi="Times New Roman" w:eastAsia="仿宋_GB2312" w:cs="Times New Roman"/>
                <w:b/>
                <w:szCs w:val="21"/>
              </w:rPr>
            </w:pPr>
            <w:r>
              <w:rPr>
                <w:rFonts w:ascii="Times New Roman" w:hAnsi="Times New Roman" w:eastAsia="仿宋_GB2312" w:cs="Times New Roman"/>
                <w:b/>
                <w:szCs w:val="21"/>
              </w:rPr>
              <w:t>指标项</w:t>
            </w:r>
          </w:p>
        </w:tc>
        <w:tc>
          <w:tcPr>
            <w:tcW w:w="992" w:type="dxa"/>
            <w:vAlign w:val="center"/>
          </w:tcPr>
          <w:p w14:paraId="3FBF0376">
            <w:pPr>
              <w:widowControl/>
              <w:jc w:val="center"/>
              <w:rPr>
                <w:rFonts w:ascii="Times New Roman" w:hAnsi="Times New Roman" w:eastAsia="仿宋_GB2312" w:cs="Times New Roman"/>
                <w:b/>
                <w:szCs w:val="21"/>
              </w:rPr>
            </w:pPr>
            <w:r>
              <w:rPr>
                <w:rFonts w:ascii="Times New Roman" w:hAnsi="Times New Roman" w:eastAsia="仿宋_GB2312" w:cs="Times New Roman"/>
                <w:b/>
                <w:szCs w:val="21"/>
              </w:rPr>
              <w:t>重要性</w:t>
            </w:r>
          </w:p>
        </w:tc>
        <w:tc>
          <w:tcPr>
            <w:tcW w:w="4253" w:type="dxa"/>
            <w:vAlign w:val="center"/>
          </w:tcPr>
          <w:p w14:paraId="1DF4A52E">
            <w:pPr>
              <w:widowControl/>
              <w:jc w:val="center"/>
              <w:rPr>
                <w:rFonts w:ascii="Times New Roman" w:hAnsi="Times New Roman" w:eastAsia="仿宋_GB2312" w:cs="Times New Roman"/>
                <w:b/>
                <w:szCs w:val="21"/>
              </w:rPr>
            </w:pPr>
            <w:r>
              <w:rPr>
                <w:rFonts w:ascii="Times New Roman" w:hAnsi="Times New Roman" w:eastAsia="仿宋_GB2312" w:cs="Times New Roman"/>
                <w:b/>
                <w:szCs w:val="21"/>
              </w:rPr>
              <w:t>指标要求</w:t>
            </w:r>
          </w:p>
        </w:tc>
        <w:tc>
          <w:tcPr>
            <w:tcW w:w="1173" w:type="dxa"/>
            <w:vAlign w:val="center"/>
          </w:tcPr>
          <w:p w14:paraId="4D718AFC">
            <w:pPr>
              <w:widowControl/>
              <w:jc w:val="center"/>
              <w:rPr>
                <w:rFonts w:ascii="Times New Roman" w:hAnsi="Times New Roman" w:eastAsia="仿宋_GB2312" w:cs="Times New Roman"/>
                <w:b/>
                <w:szCs w:val="21"/>
              </w:rPr>
            </w:pPr>
            <w:r>
              <w:rPr>
                <w:rFonts w:ascii="Times New Roman" w:hAnsi="Times New Roman" w:eastAsia="仿宋_GB2312" w:cs="Times New Roman"/>
                <w:b/>
                <w:szCs w:val="21"/>
              </w:rPr>
              <w:t>证明材料要求</w:t>
            </w:r>
          </w:p>
        </w:tc>
      </w:tr>
      <w:tr w14:paraId="0F0E7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06" w:type="dxa"/>
            <w:vAlign w:val="center"/>
          </w:tcPr>
          <w:p w14:paraId="17ABA0F1">
            <w:pPr>
              <w:jc w:val="center"/>
              <w:rPr>
                <w:rFonts w:ascii="Times New Roman" w:hAnsi="Times New Roman" w:eastAsia="仿宋_GB2312" w:cs="Times New Roman"/>
                <w:szCs w:val="21"/>
              </w:rPr>
            </w:pPr>
            <w:r>
              <w:rPr>
                <w:rFonts w:ascii="Times New Roman" w:hAnsi="Times New Roman" w:eastAsia="仿宋_GB2312" w:cs="Times New Roman"/>
                <w:szCs w:val="21"/>
              </w:rPr>
              <w:t>1</w:t>
            </w:r>
          </w:p>
        </w:tc>
        <w:tc>
          <w:tcPr>
            <w:tcW w:w="1276" w:type="dxa"/>
            <w:vAlign w:val="center"/>
          </w:tcPr>
          <w:p w14:paraId="2E49EE68">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激光器要求</w:t>
            </w:r>
          </w:p>
        </w:tc>
        <w:tc>
          <w:tcPr>
            <w:tcW w:w="992" w:type="dxa"/>
            <w:vAlign w:val="center"/>
          </w:tcPr>
          <w:p w14:paraId="654BCFBD">
            <w:pPr>
              <w:widowControl/>
              <w:jc w:val="center"/>
              <w:rPr>
                <w:rFonts w:ascii="Times New Roman" w:hAnsi="Times New Roman" w:eastAsia="仿宋_GB2312" w:cs="Times New Roman"/>
                <w:szCs w:val="21"/>
              </w:rPr>
            </w:pPr>
            <w:r>
              <w:rPr>
                <w:rFonts w:ascii="Segoe UI Symbol" w:hAnsi="Segoe UI Symbol" w:eastAsia="仿宋_GB2312" w:cs="Segoe UI Symbol"/>
                <w:szCs w:val="21"/>
              </w:rPr>
              <w:t>★</w:t>
            </w:r>
          </w:p>
        </w:tc>
        <w:tc>
          <w:tcPr>
            <w:tcW w:w="4253" w:type="dxa"/>
          </w:tcPr>
          <w:p w14:paraId="286D7C33">
            <w:pPr>
              <w:widowControl/>
              <w:jc w:val="left"/>
              <w:rPr>
                <w:rFonts w:ascii="Times New Roman" w:hAnsi="Times New Roman" w:eastAsia="仿宋_GB2312" w:cs="Times New Roman"/>
                <w:szCs w:val="21"/>
              </w:rPr>
            </w:pPr>
            <w:r>
              <w:rPr>
                <w:rFonts w:ascii="Times New Roman" w:hAnsi="Times New Roman" w:eastAsia="仿宋_GB2312" w:cs="Times New Roman"/>
                <w:szCs w:val="21"/>
              </w:rPr>
              <w:t>双激光器，需提供截图证明，可以同时测量CH</w:t>
            </w:r>
            <w:r>
              <w:rPr>
                <w:rFonts w:ascii="Times New Roman" w:hAnsi="Times New Roman" w:eastAsia="仿宋_GB2312" w:cs="Times New Roman"/>
                <w:szCs w:val="21"/>
                <w:vertAlign w:val="subscript"/>
              </w:rPr>
              <w:t>4</w:t>
            </w:r>
            <w:r>
              <w:rPr>
                <w:rFonts w:ascii="Times New Roman" w:hAnsi="Times New Roman" w:eastAsia="仿宋_GB2312" w:cs="Times New Roman"/>
                <w:szCs w:val="21"/>
              </w:rPr>
              <w:t>、CO</w:t>
            </w:r>
            <w:r>
              <w:rPr>
                <w:rFonts w:ascii="Times New Roman" w:hAnsi="Times New Roman" w:eastAsia="仿宋_GB2312" w:cs="Times New Roman"/>
                <w:szCs w:val="21"/>
                <w:vertAlign w:val="subscript"/>
              </w:rPr>
              <w:t>2</w:t>
            </w:r>
            <w:r>
              <w:rPr>
                <w:rFonts w:ascii="Times New Roman" w:hAnsi="Times New Roman" w:eastAsia="仿宋_GB2312" w:cs="Times New Roman"/>
                <w:szCs w:val="21"/>
              </w:rPr>
              <w:t>和H</w:t>
            </w:r>
            <w:r>
              <w:rPr>
                <w:rFonts w:ascii="Times New Roman" w:hAnsi="Times New Roman" w:eastAsia="仿宋_GB2312" w:cs="Times New Roman"/>
                <w:szCs w:val="21"/>
                <w:vertAlign w:val="subscript"/>
              </w:rPr>
              <w:t>2</w:t>
            </w:r>
            <w:r>
              <w:rPr>
                <w:rFonts w:ascii="Times New Roman" w:hAnsi="Times New Roman" w:eastAsia="仿宋_GB2312" w:cs="Times New Roman"/>
                <w:szCs w:val="21"/>
              </w:rPr>
              <w:t>O浓度并通过数据处理系统得到实时排放速率</w:t>
            </w:r>
          </w:p>
        </w:tc>
        <w:tc>
          <w:tcPr>
            <w:tcW w:w="1173" w:type="dxa"/>
            <w:vAlign w:val="center"/>
          </w:tcPr>
          <w:p w14:paraId="0B4271A5">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49E3A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06" w:type="dxa"/>
            <w:vAlign w:val="center"/>
          </w:tcPr>
          <w:p w14:paraId="389816C3">
            <w:pPr>
              <w:jc w:val="center"/>
              <w:rPr>
                <w:rFonts w:ascii="Times New Roman" w:hAnsi="Times New Roman" w:eastAsia="仿宋_GB2312" w:cs="Times New Roman"/>
                <w:szCs w:val="21"/>
              </w:rPr>
            </w:pPr>
            <w:r>
              <w:rPr>
                <w:rFonts w:ascii="Times New Roman" w:hAnsi="Times New Roman" w:eastAsia="仿宋_GB2312" w:cs="Times New Roman"/>
                <w:szCs w:val="21"/>
              </w:rPr>
              <w:t>2</w:t>
            </w:r>
          </w:p>
        </w:tc>
        <w:tc>
          <w:tcPr>
            <w:tcW w:w="1276" w:type="dxa"/>
            <w:vAlign w:val="center"/>
          </w:tcPr>
          <w:p w14:paraId="3DADFC86">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国标要求</w:t>
            </w:r>
          </w:p>
        </w:tc>
        <w:tc>
          <w:tcPr>
            <w:tcW w:w="992" w:type="dxa"/>
            <w:vAlign w:val="center"/>
          </w:tcPr>
          <w:p w14:paraId="56BD77AC">
            <w:pPr>
              <w:widowControl/>
              <w:jc w:val="center"/>
              <w:rPr>
                <w:rFonts w:ascii="Times New Roman" w:hAnsi="Times New Roman" w:eastAsia="仿宋_GB2312" w:cs="Times New Roman"/>
                <w:szCs w:val="21"/>
              </w:rPr>
            </w:pPr>
            <w:r>
              <w:rPr>
                <w:rFonts w:ascii="Times New Roman" w:hAnsi="Times New Roman" w:eastAsia="仿宋_GB2312" w:cs="Times New Roman"/>
                <w:szCs w:val="21"/>
              </w:rPr>
              <w:t>#</w:t>
            </w:r>
          </w:p>
        </w:tc>
        <w:tc>
          <w:tcPr>
            <w:tcW w:w="4253" w:type="dxa"/>
          </w:tcPr>
          <w:p w14:paraId="3DA4D6E7">
            <w:pPr>
              <w:widowControl/>
              <w:jc w:val="left"/>
              <w:rPr>
                <w:rFonts w:ascii="Times New Roman" w:hAnsi="Times New Roman" w:eastAsia="仿宋_GB2312" w:cs="Times New Roman"/>
                <w:szCs w:val="21"/>
              </w:rPr>
            </w:pPr>
            <w:r>
              <w:rPr>
                <w:rFonts w:ascii="Times New Roman" w:hAnsi="Times New Roman" w:eastAsia="仿宋_GB2312" w:cs="Times New Roman"/>
                <w:szCs w:val="21"/>
              </w:rPr>
              <w:t>满足国标测量要求，GB/T 33672-2017；GB/T 34415-2017</w:t>
            </w:r>
          </w:p>
        </w:tc>
        <w:tc>
          <w:tcPr>
            <w:tcW w:w="1173" w:type="dxa"/>
            <w:vAlign w:val="center"/>
          </w:tcPr>
          <w:p w14:paraId="77D53874">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否</w:t>
            </w:r>
          </w:p>
        </w:tc>
      </w:tr>
      <w:tr w14:paraId="0C054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06" w:type="dxa"/>
            <w:vAlign w:val="center"/>
          </w:tcPr>
          <w:p w14:paraId="3C90E069">
            <w:pPr>
              <w:jc w:val="center"/>
              <w:rPr>
                <w:rFonts w:ascii="Times New Roman" w:hAnsi="Times New Roman" w:eastAsia="仿宋_GB2312" w:cs="Times New Roman"/>
                <w:szCs w:val="21"/>
              </w:rPr>
            </w:pPr>
            <w:r>
              <w:rPr>
                <w:rFonts w:ascii="Times New Roman" w:hAnsi="Times New Roman" w:eastAsia="仿宋_GB2312" w:cs="Times New Roman"/>
                <w:szCs w:val="21"/>
              </w:rPr>
              <w:t>3</w:t>
            </w:r>
          </w:p>
        </w:tc>
        <w:tc>
          <w:tcPr>
            <w:tcW w:w="1276" w:type="dxa"/>
            <w:vAlign w:val="center"/>
          </w:tcPr>
          <w:p w14:paraId="1CFDDF6F">
            <w:pPr>
              <w:widowControl/>
              <w:jc w:val="center"/>
              <w:rPr>
                <w:rFonts w:ascii="Times New Roman" w:hAnsi="Times New Roman" w:eastAsia="仿宋_GB2312" w:cs="Times New Roman"/>
                <w:szCs w:val="21"/>
              </w:rPr>
            </w:pPr>
            <w:r>
              <w:rPr>
                <w:rFonts w:ascii="Times New Roman" w:hAnsi="Times New Roman" w:eastAsia="仿宋_GB2312" w:cs="Times New Roman"/>
                <w:szCs w:val="21"/>
              </w:rPr>
              <w:t>CH</w:t>
            </w:r>
            <w:r>
              <w:rPr>
                <w:rFonts w:ascii="Times New Roman" w:hAnsi="Times New Roman" w:eastAsia="仿宋_GB2312" w:cs="Times New Roman"/>
                <w:szCs w:val="21"/>
                <w:vertAlign w:val="subscript"/>
              </w:rPr>
              <w:t>4</w:t>
            </w:r>
            <w:r>
              <w:rPr>
                <w:rFonts w:ascii="Times New Roman" w:hAnsi="Times New Roman" w:eastAsia="仿宋_GB2312" w:cs="Times New Roman"/>
                <w:szCs w:val="21"/>
              </w:rPr>
              <w:t>测量</w:t>
            </w:r>
          </w:p>
        </w:tc>
        <w:tc>
          <w:tcPr>
            <w:tcW w:w="992" w:type="dxa"/>
            <w:vAlign w:val="center"/>
          </w:tcPr>
          <w:p w14:paraId="52715D25">
            <w:pPr>
              <w:widowControl/>
              <w:jc w:val="center"/>
              <w:rPr>
                <w:rFonts w:ascii="Times New Roman" w:hAnsi="Times New Roman" w:eastAsia="仿宋_GB2312" w:cs="Times New Roman"/>
                <w:szCs w:val="21"/>
              </w:rPr>
            </w:pPr>
            <w:r>
              <w:rPr>
                <w:rFonts w:ascii="Times New Roman" w:hAnsi="Times New Roman" w:eastAsia="仿宋_GB2312" w:cs="Times New Roman"/>
                <w:szCs w:val="21"/>
              </w:rPr>
              <w:t>#</w:t>
            </w:r>
          </w:p>
        </w:tc>
        <w:tc>
          <w:tcPr>
            <w:tcW w:w="4253" w:type="dxa"/>
            <w:vAlign w:val="center"/>
          </w:tcPr>
          <w:p w14:paraId="620F3AA4">
            <w:pPr>
              <w:widowControl/>
              <w:jc w:val="left"/>
              <w:rPr>
                <w:rFonts w:ascii="Times New Roman" w:hAnsi="Times New Roman" w:eastAsia="仿宋_GB2312" w:cs="Times New Roman"/>
                <w:szCs w:val="21"/>
              </w:rPr>
            </w:pPr>
            <w:r>
              <w:rPr>
                <w:rFonts w:ascii="Times New Roman" w:hAnsi="Times New Roman" w:eastAsia="仿宋_GB2312" w:cs="Times New Roman"/>
                <w:szCs w:val="21"/>
              </w:rPr>
              <w:t>测量范围：覆盖0-100ppm； CH</w:t>
            </w:r>
            <w:r>
              <w:rPr>
                <w:rFonts w:ascii="Times New Roman" w:hAnsi="Times New Roman" w:eastAsia="仿宋_GB2312" w:cs="Times New Roman"/>
                <w:szCs w:val="21"/>
                <w:vertAlign w:val="subscript"/>
              </w:rPr>
              <w:t>4</w:t>
            </w:r>
            <w:r>
              <w:rPr>
                <w:rFonts w:ascii="Times New Roman" w:hAnsi="Times New Roman" w:eastAsia="仿宋_GB2312" w:cs="Times New Roman"/>
                <w:szCs w:val="21"/>
              </w:rPr>
              <w:t>精度（1σ，100秒）：≤0.4ppb</w:t>
            </w:r>
          </w:p>
        </w:tc>
        <w:tc>
          <w:tcPr>
            <w:tcW w:w="1173" w:type="dxa"/>
            <w:vAlign w:val="center"/>
          </w:tcPr>
          <w:p w14:paraId="7D499C7C">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7C584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06" w:type="dxa"/>
            <w:vAlign w:val="center"/>
          </w:tcPr>
          <w:p w14:paraId="4229149D">
            <w:pPr>
              <w:jc w:val="center"/>
              <w:rPr>
                <w:rFonts w:ascii="Times New Roman" w:hAnsi="Times New Roman" w:eastAsia="仿宋_GB2312" w:cs="Times New Roman"/>
                <w:szCs w:val="21"/>
              </w:rPr>
            </w:pPr>
            <w:r>
              <w:rPr>
                <w:rFonts w:ascii="Times New Roman" w:hAnsi="Times New Roman" w:eastAsia="仿宋_GB2312" w:cs="Times New Roman"/>
                <w:szCs w:val="21"/>
              </w:rPr>
              <w:t>4</w:t>
            </w:r>
          </w:p>
        </w:tc>
        <w:tc>
          <w:tcPr>
            <w:tcW w:w="1276" w:type="dxa"/>
            <w:vAlign w:val="center"/>
          </w:tcPr>
          <w:p w14:paraId="3D089F1B">
            <w:pPr>
              <w:widowControl/>
              <w:jc w:val="center"/>
              <w:rPr>
                <w:rFonts w:ascii="Times New Roman" w:hAnsi="Times New Roman" w:eastAsia="仿宋_GB2312" w:cs="Times New Roman"/>
                <w:szCs w:val="21"/>
              </w:rPr>
            </w:pPr>
            <w:r>
              <w:rPr>
                <w:rFonts w:ascii="Times New Roman" w:hAnsi="Times New Roman" w:eastAsia="仿宋_GB2312" w:cs="Times New Roman"/>
                <w:szCs w:val="21"/>
              </w:rPr>
              <w:t>CO</w:t>
            </w:r>
            <w:r>
              <w:rPr>
                <w:rFonts w:ascii="Times New Roman" w:hAnsi="Times New Roman" w:eastAsia="仿宋_GB2312" w:cs="Times New Roman"/>
                <w:szCs w:val="21"/>
                <w:vertAlign w:val="subscript"/>
              </w:rPr>
              <w:t>2</w:t>
            </w:r>
            <w:r>
              <w:rPr>
                <w:rFonts w:ascii="Times New Roman" w:hAnsi="Times New Roman" w:eastAsia="仿宋_GB2312" w:cs="Times New Roman"/>
                <w:szCs w:val="21"/>
              </w:rPr>
              <w:t>测量</w:t>
            </w:r>
          </w:p>
        </w:tc>
        <w:tc>
          <w:tcPr>
            <w:tcW w:w="992" w:type="dxa"/>
            <w:vAlign w:val="center"/>
          </w:tcPr>
          <w:p w14:paraId="0ECCA102">
            <w:pPr>
              <w:widowControl/>
              <w:jc w:val="center"/>
              <w:rPr>
                <w:rFonts w:ascii="Times New Roman" w:hAnsi="Times New Roman" w:eastAsia="仿宋_GB2312" w:cs="Times New Roman"/>
                <w:szCs w:val="21"/>
              </w:rPr>
            </w:pPr>
            <w:r>
              <w:rPr>
                <w:rFonts w:ascii="Times New Roman" w:hAnsi="Times New Roman" w:eastAsia="仿宋_GB2312" w:cs="Times New Roman"/>
                <w:szCs w:val="21"/>
              </w:rPr>
              <w:t>#</w:t>
            </w:r>
          </w:p>
        </w:tc>
        <w:tc>
          <w:tcPr>
            <w:tcW w:w="4253" w:type="dxa"/>
            <w:vAlign w:val="center"/>
          </w:tcPr>
          <w:p w14:paraId="5B49872B">
            <w:pPr>
              <w:widowControl/>
              <w:jc w:val="left"/>
              <w:rPr>
                <w:rFonts w:ascii="Times New Roman" w:hAnsi="Times New Roman" w:eastAsia="仿宋_GB2312" w:cs="Times New Roman"/>
                <w:szCs w:val="21"/>
              </w:rPr>
            </w:pPr>
            <w:r>
              <w:rPr>
                <w:rFonts w:ascii="Times New Roman" w:hAnsi="Times New Roman" w:eastAsia="仿宋_GB2312" w:cs="Times New Roman"/>
                <w:szCs w:val="21"/>
              </w:rPr>
              <w:t>测量范围：覆盖0-10000ppm；CO</w:t>
            </w:r>
            <w:r>
              <w:rPr>
                <w:rFonts w:ascii="Times New Roman" w:hAnsi="Times New Roman" w:eastAsia="仿宋_GB2312" w:cs="Times New Roman"/>
                <w:szCs w:val="21"/>
                <w:vertAlign w:val="subscript"/>
              </w:rPr>
              <w:t>2</w:t>
            </w:r>
            <w:r>
              <w:rPr>
                <w:rFonts w:ascii="Times New Roman" w:hAnsi="Times New Roman" w:eastAsia="仿宋_GB2312" w:cs="Times New Roman"/>
                <w:szCs w:val="21"/>
              </w:rPr>
              <w:t>精度（1σ，100秒）：≤100ppb</w:t>
            </w:r>
          </w:p>
        </w:tc>
        <w:tc>
          <w:tcPr>
            <w:tcW w:w="1173" w:type="dxa"/>
            <w:vAlign w:val="center"/>
          </w:tcPr>
          <w:p w14:paraId="2ED3545D">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5ADE9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06" w:type="dxa"/>
            <w:vAlign w:val="center"/>
          </w:tcPr>
          <w:p w14:paraId="60EEF895">
            <w:pPr>
              <w:jc w:val="center"/>
              <w:rPr>
                <w:rFonts w:ascii="Times New Roman" w:hAnsi="Times New Roman" w:eastAsia="仿宋_GB2312" w:cs="Times New Roman"/>
                <w:szCs w:val="21"/>
              </w:rPr>
            </w:pPr>
            <w:r>
              <w:rPr>
                <w:rFonts w:ascii="Times New Roman" w:hAnsi="Times New Roman" w:eastAsia="仿宋_GB2312" w:cs="Times New Roman"/>
                <w:szCs w:val="21"/>
              </w:rPr>
              <w:t>5</w:t>
            </w:r>
          </w:p>
        </w:tc>
        <w:tc>
          <w:tcPr>
            <w:tcW w:w="1276" w:type="dxa"/>
            <w:vAlign w:val="center"/>
          </w:tcPr>
          <w:p w14:paraId="4AC3564D">
            <w:pPr>
              <w:widowControl/>
              <w:jc w:val="center"/>
              <w:rPr>
                <w:rFonts w:ascii="Times New Roman" w:hAnsi="Times New Roman" w:eastAsia="仿宋_GB2312" w:cs="Times New Roman"/>
                <w:szCs w:val="21"/>
              </w:rPr>
            </w:pPr>
            <w:r>
              <w:rPr>
                <w:rFonts w:ascii="Times New Roman" w:hAnsi="Times New Roman" w:eastAsia="仿宋_GB2312" w:cs="Times New Roman"/>
                <w:szCs w:val="21"/>
              </w:rPr>
              <w:t>H</w:t>
            </w:r>
            <w:r>
              <w:rPr>
                <w:rFonts w:ascii="Times New Roman" w:hAnsi="Times New Roman" w:eastAsia="仿宋_GB2312" w:cs="Times New Roman"/>
                <w:szCs w:val="21"/>
                <w:vertAlign w:val="subscript"/>
              </w:rPr>
              <w:t>2</w:t>
            </w:r>
            <w:r>
              <w:rPr>
                <w:rFonts w:ascii="Times New Roman" w:hAnsi="Times New Roman" w:eastAsia="仿宋_GB2312" w:cs="Times New Roman"/>
                <w:szCs w:val="21"/>
              </w:rPr>
              <w:t>O测量</w:t>
            </w:r>
          </w:p>
        </w:tc>
        <w:tc>
          <w:tcPr>
            <w:tcW w:w="992" w:type="dxa"/>
            <w:vAlign w:val="center"/>
          </w:tcPr>
          <w:p w14:paraId="42D2B093">
            <w:pPr>
              <w:widowControl/>
              <w:jc w:val="center"/>
              <w:rPr>
                <w:rFonts w:ascii="Times New Roman" w:hAnsi="Times New Roman" w:eastAsia="仿宋_GB2312" w:cs="Times New Roman"/>
                <w:szCs w:val="21"/>
              </w:rPr>
            </w:pPr>
          </w:p>
        </w:tc>
        <w:tc>
          <w:tcPr>
            <w:tcW w:w="4253" w:type="dxa"/>
            <w:vAlign w:val="center"/>
          </w:tcPr>
          <w:p w14:paraId="27CCC0C2">
            <w:pPr>
              <w:widowControl/>
              <w:jc w:val="left"/>
              <w:rPr>
                <w:rFonts w:ascii="Times New Roman" w:hAnsi="Times New Roman" w:eastAsia="仿宋_GB2312" w:cs="Times New Roman"/>
                <w:szCs w:val="21"/>
              </w:rPr>
            </w:pPr>
            <w:r>
              <w:rPr>
                <w:rFonts w:ascii="Times New Roman" w:hAnsi="Times New Roman" w:eastAsia="仿宋_GB2312" w:cs="Times New Roman"/>
                <w:szCs w:val="21"/>
              </w:rPr>
              <w:t>范围：覆盖0-60000ppm； H</w:t>
            </w:r>
            <w:r>
              <w:rPr>
                <w:rFonts w:ascii="Times New Roman" w:hAnsi="Times New Roman" w:eastAsia="仿宋_GB2312" w:cs="Times New Roman"/>
                <w:szCs w:val="21"/>
                <w:vertAlign w:val="subscript"/>
              </w:rPr>
              <w:t>2</w:t>
            </w:r>
            <w:r>
              <w:rPr>
                <w:rFonts w:ascii="Times New Roman" w:hAnsi="Times New Roman" w:eastAsia="仿宋_GB2312" w:cs="Times New Roman"/>
                <w:szCs w:val="21"/>
              </w:rPr>
              <w:t>O精度（1σ，100秒）：≤60ppm</w:t>
            </w:r>
          </w:p>
        </w:tc>
        <w:tc>
          <w:tcPr>
            <w:tcW w:w="1173" w:type="dxa"/>
            <w:vAlign w:val="center"/>
          </w:tcPr>
          <w:p w14:paraId="750BA5A5">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否</w:t>
            </w:r>
          </w:p>
        </w:tc>
      </w:tr>
      <w:tr w14:paraId="4DCBD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06" w:type="dxa"/>
            <w:vAlign w:val="center"/>
          </w:tcPr>
          <w:p w14:paraId="292AD547">
            <w:pPr>
              <w:jc w:val="center"/>
              <w:rPr>
                <w:rFonts w:ascii="Times New Roman" w:hAnsi="Times New Roman" w:eastAsia="仿宋_GB2312" w:cs="Times New Roman"/>
                <w:szCs w:val="21"/>
              </w:rPr>
            </w:pPr>
            <w:r>
              <w:rPr>
                <w:rFonts w:ascii="Times New Roman" w:hAnsi="Times New Roman" w:eastAsia="仿宋_GB2312" w:cs="Times New Roman"/>
                <w:szCs w:val="21"/>
              </w:rPr>
              <w:t>6</w:t>
            </w:r>
          </w:p>
        </w:tc>
        <w:tc>
          <w:tcPr>
            <w:tcW w:w="1276" w:type="dxa"/>
            <w:vAlign w:val="center"/>
          </w:tcPr>
          <w:p w14:paraId="6B44DF01">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压力修正</w:t>
            </w:r>
          </w:p>
        </w:tc>
        <w:tc>
          <w:tcPr>
            <w:tcW w:w="992" w:type="dxa"/>
            <w:vAlign w:val="center"/>
          </w:tcPr>
          <w:p w14:paraId="4C2C1DE0">
            <w:pPr>
              <w:widowControl/>
              <w:jc w:val="center"/>
              <w:rPr>
                <w:rFonts w:ascii="Times New Roman" w:hAnsi="Times New Roman" w:eastAsia="仿宋_GB2312" w:cs="Times New Roman"/>
                <w:szCs w:val="21"/>
              </w:rPr>
            </w:pPr>
            <w:r>
              <w:rPr>
                <w:rFonts w:ascii="Segoe UI Symbol" w:hAnsi="Segoe UI Symbol" w:eastAsia="仿宋_GB2312" w:cs="Segoe UI Symbol"/>
                <w:szCs w:val="21"/>
              </w:rPr>
              <w:t>★</w:t>
            </w:r>
          </w:p>
        </w:tc>
        <w:tc>
          <w:tcPr>
            <w:tcW w:w="4253" w:type="dxa"/>
            <w:vAlign w:val="center"/>
          </w:tcPr>
          <w:p w14:paraId="53830599">
            <w:pPr>
              <w:widowControl/>
              <w:jc w:val="left"/>
              <w:rPr>
                <w:rFonts w:ascii="Times New Roman" w:hAnsi="Times New Roman" w:eastAsia="仿宋_GB2312" w:cs="Times New Roman"/>
                <w:szCs w:val="21"/>
              </w:rPr>
            </w:pPr>
            <w:r>
              <w:rPr>
                <w:rFonts w:ascii="Times New Roman" w:hAnsi="Times New Roman" w:eastAsia="仿宋_GB2312" w:cs="Times New Roman"/>
                <w:szCs w:val="21"/>
              </w:rPr>
              <w:t>气体分析仪自带压力修正，支持负压测量功能，能保证在憋气或前端堵塞状态下运行，需提供负压状态≤10torr下的操作界面截图</w:t>
            </w:r>
          </w:p>
        </w:tc>
        <w:tc>
          <w:tcPr>
            <w:tcW w:w="1173" w:type="dxa"/>
            <w:vAlign w:val="center"/>
          </w:tcPr>
          <w:p w14:paraId="647A95A6">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15C40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06" w:type="dxa"/>
            <w:vAlign w:val="center"/>
          </w:tcPr>
          <w:p w14:paraId="2104A7B8">
            <w:pPr>
              <w:jc w:val="center"/>
              <w:rPr>
                <w:rFonts w:ascii="Times New Roman" w:hAnsi="Times New Roman" w:eastAsia="仿宋_GB2312" w:cs="Times New Roman"/>
                <w:szCs w:val="21"/>
              </w:rPr>
            </w:pPr>
            <w:r>
              <w:rPr>
                <w:rFonts w:ascii="Times New Roman" w:hAnsi="Times New Roman" w:eastAsia="仿宋_GB2312" w:cs="Times New Roman"/>
                <w:szCs w:val="21"/>
              </w:rPr>
              <w:t>7</w:t>
            </w:r>
          </w:p>
        </w:tc>
        <w:tc>
          <w:tcPr>
            <w:tcW w:w="1276" w:type="dxa"/>
            <w:vAlign w:val="center"/>
          </w:tcPr>
          <w:p w14:paraId="4AA2FE35">
            <w:pPr>
              <w:widowControl/>
              <w:jc w:val="center"/>
              <w:rPr>
                <w:rFonts w:ascii="Times New Roman" w:hAnsi="Times New Roman" w:eastAsia="仿宋_GB2312" w:cs="Times New Roman"/>
                <w:szCs w:val="21"/>
              </w:rPr>
            </w:pPr>
            <w:r>
              <w:rPr>
                <w:rFonts w:ascii="Times New Roman" w:hAnsi="Times New Roman" w:eastAsia="仿宋_GB2312" w:cs="Times New Roman"/>
                <w:szCs w:val="21"/>
              </w:rPr>
              <w:t>CO</w:t>
            </w:r>
            <w:r>
              <w:rPr>
                <w:rFonts w:ascii="Times New Roman" w:hAnsi="Times New Roman" w:eastAsia="仿宋_GB2312" w:cs="Times New Roman"/>
                <w:szCs w:val="21"/>
                <w:vertAlign w:val="subscript"/>
              </w:rPr>
              <w:t>2</w:t>
            </w:r>
            <w:r>
              <w:rPr>
                <w:rFonts w:ascii="Times New Roman" w:hAnsi="Times New Roman" w:eastAsia="仿宋_GB2312" w:cs="Times New Roman"/>
                <w:szCs w:val="21"/>
              </w:rPr>
              <w:t>线性</w:t>
            </w:r>
          </w:p>
        </w:tc>
        <w:tc>
          <w:tcPr>
            <w:tcW w:w="992" w:type="dxa"/>
            <w:vAlign w:val="center"/>
          </w:tcPr>
          <w:p w14:paraId="69FF1237">
            <w:pPr>
              <w:widowControl/>
              <w:jc w:val="center"/>
              <w:rPr>
                <w:rFonts w:ascii="Times New Roman" w:hAnsi="Times New Roman" w:eastAsia="仿宋_GB2312" w:cs="Times New Roman"/>
                <w:szCs w:val="21"/>
              </w:rPr>
            </w:pPr>
            <w:r>
              <w:rPr>
                <w:rFonts w:ascii="Times New Roman" w:hAnsi="Times New Roman" w:eastAsia="仿宋_GB2312" w:cs="Times New Roman"/>
                <w:szCs w:val="21"/>
              </w:rPr>
              <w:t>#</w:t>
            </w:r>
          </w:p>
        </w:tc>
        <w:tc>
          <w:tcPr>
            <w:tcW w:w="4253" w:type="dxa"/>
            <w:vAlign w:val="center"/>
          </w:tcPr>
          <w:p w14:paraId="796AB573">
            <w:pPr>
              <w:widowControl/>
              <w:jc w:val="left"/>
              <w:rPr>
                <w:rFonts w:ascii="Times New Roman" w:hAnsi="Times New Roman" w:eastAsia="仿宋_GB2312" w:cs="Times New Roman"/>
                <w:szCs w:val="21"/>
              </w:rPr>
            </w:pPr>
            <w:r>
              <w:rPr>
                <w:rFonts w:ascii="Times New Roman" w:hAnsi="Times New Roman" w:eastAsia="仿宋_GB2312" w:cs="Times New Roman"/>
                <w:szCs w:val="21"/>
              </w:rPr>
              <w:t>R</w:t>
            </w:r>
            <w:r>
              <w:rPr>
                <w:rFonts w:ascii="Times New Roman" w:hAnsi="Times New Roman" w:eastAsia="仿宋_GB2312" w:cs="Times New Roman"/>
                <w:szCs w:val="21"/>
                <w:vertAlign w:val="superscript"/>
              </w:rPr>
              <w:t>2</w:t>
            </w:r>
            <w:r>
              <w:rPr>
                <w:rFonts w:ascii="Times New Roman" w:hAnsi="Times New Roman" w:eastAsia="仿宋_GB2312" w:cs="Times New Roman"/>
                <w:szCs w:val="21"/>
              </w:rPr>
              <w:t>＞0.9999，提供不少于5个浓度梯度标气的实测证明</w:t>
            </w:r>
          </w:p>
        </w:tc>
        <w:tc>
          <w:tcPr>
            <w:tcW w:w="1173" w:type="dxa"/>
            <w:vAlign w:val="center"/>
          </w:tcPr>
          <w:p w14:paraId="0DBFE515">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61BBC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06" w:type="dxa"/>
            <w:vAlign w:val="center"/>
          </w:tcPr>
          <w:p w14:paraId="1BDE89D4">
            <w:pPr>
              <w:jc w:val="center"/>
              <w:rPr>
                <w:rFonts w:ascii="Times New Roman" w:hAnsi="Times New Roman" w:eastAsia="仿宋_GB2312" w:cs="Times New Roman"/>
                <w:szCs w:val="21"/>
              </w:rPr>
            </w:pPr>
            <w:r>
              <w:rPr>
                <w:rFonts w:ascii="Times New Roman" w:hAnsi="Times New Roman" w:eastAsia="仿宋_GB2312" w:cs="Times New Roman"/>
                <w:szCs w:val="21"/>
              </w:rPr>
              <w:t>8</w:t>
            </w:r>
          </w:p>
        </w:tc>
        <w:tc>
          <w:tcPr>
            <w:tcW w:w="1276" w:type="dxa"/>
            <w:vAlign w:val="center"/>
          </w:tcPr>
          <w:p w14:paraId="435A53D2">
            <w:pPr>
              <w:widowControl/>
              <w:jc w:val="center"/>
              <w:rPr>
                <w:rFonts w:ascii="Times New Roman" w:hAnsi="Times New Roman" w:eastAsia="仿宋_GB2312" w:cs="Times New Roman"/>
                <w:szCs w:val="21"/>
              </w:rPr>
            </w:pPr>
            <w:r>
              <w:rPr>
                <w:rFonts w:ascii="Times New Roman" w:hAnsi="Times New Roman" w:eastAsia="仿宋_GB2312" w:cs="Times New Roman"/>
                <w:szCs w:val="21"/>
              </w:rPr>
              <w:t>CH</w:t>
            </w:r>
            <w:r>
              <w:rPr>
                <w:rFonts w:ascii="Times New Roman" w:hAnsi="Times New Roman" w:eastAsia="仿宋_GB2312" w:cs="Times New Roman"/>
                <w:szCs w:val="21"/>
                <w:vertAlign w:val="subscript"/>
              </w:rPr>
              <w:t>4</w:t>
            </w:r>
            <w:r>
              <w:rPr>
                <w:rFonts w:ascii="Times New Roman" w:hAnsi="Times New Roman" w:eastAsia="仿宋_GB2312" w:cs="Times New Roman"/>
                <w:szCs w:val="21"/>
              </w:rPr>
              <w:t>线性</w:t>
            </w:r>
          </w:p>
        </w:tc>
        <w:tc>
          <w:tcPr>
            <w:tcW w:w="992" w:type="dxa"/>
            <w:vAlign w:val="center"/>
          </w:tcPr>
          <w:p w14:paraId="7B4E75E7">
            <w:pPr>
              <w:widowControl/>
              <w:jc w:val="center"/>
              <w:rPr>
                <w:rFonts w:ascii="Times New Roman" w:hAnsi="Times New Roman" w:eastAsia="仿宋_GB2312" w:cs="Times New Roman"/>
                <w:szCs w:val="21"/>
              </w:rPr>
            </w:pPr>
            <w:r>
              <w:rPr>
                <w:rFonts w:ascii="Times New Roman" w:hAnsi="Times New Roman" w:eastAsia="仿宋_GB2312" w:cs="Times New Roman"/>
                <w:szCs w:val="21"/>
              </w:rPr>
              <w:t>#</w:t>
            </w:r>
          </w:p>
        </w:tc>
        <w:tc>
          <w:tcPr>
            <w:tcW w:w="4253" w:type="dxa"/>
            <w:vAlign w:val="center"/>
          </w:tcPr>
          <w:p w14:paraId="0C0E1E3A">
            <w:pPr>
              <w:widowControl/>
              <w:jc w:val="left"/>
              <w:rPr>
                <w:rFonts w:ascii="Times New Roman" w:hAnsi="Times New Roman" w:eastAsia="仿宋_GB2312" w:cs="Times New Roman"/>
                <w:szCs w:val="21"/>
              </w:rPr>
            </w:pPr>
            <w:r>
              <w:rPr>
                <w:rFonts w:ascii="Times New Roman" w:hAnsi="Times New Roman" w:eastAsia="仿宋_GB2312" w:cs="Times New Roman"/>
                <w:szCs w:val="21"/>
              </w:rPr>
              <w:t>R</w:t>
            </w:r>
            <w:r>
              <w:rPr>
                <w:rFonts w:ascii="Times New Roman" w:hAnsi="Times New Roman" w:eastAsia="仿宋_GB2312" w:cs="Times New Roman"/>
                <w:szCs w:val="21"/>
                <w:vertAlign w:val="superscript"/>
              </w:rPr>
              <w:t>2</w:t>
            </w:r>
            <w:r>
              <w:rPr>
                <w:rFonts w:ascii="Times New Roman" w:hAnsi="Times New Roman" w:eastAsia="仿宋_GB2312" w:cs="Times New Roman"/>
                <w:szCs w:val="21"/>
              </w:rPr>
              <w:t>＞0.9998，提供不少于5个浓度梯度标气的实测证明</w:t>
            </w:r>
          </w:p>
        </w:tc>
        <w:tc>
          <w:tcPr>
            <w:tcW w:w="1173" w:type="dxa"/>
            <w:vAlign w:val="center"/>
          </w:tcPr>
          <w:p w14:paraId="14AA3B90">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26AA6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06" w:type="dxa"/>
            <w:vAlign w:val="center"/>
          </w:tcPr>
          <w:p w14:paraId="7C03B6A9">
            <w:pPr>
              <w:jc w:val="center"/>
              <w:rPr>
                <w:rFonts w:ascii="Times New Roman" w:hAnsi="Times New Roman" w:eastAsia="仿宋_GB2312" w:cs="Times New Roman"/>
                <w:szCs w:val="21"/>
              </w:rPr>
            </w:pPr>
            <w:r>
              <w:rPr>
                <w:rFonts w:ascii="Times New Roman" w:hAnsi="Times New Roman" w:eastAsia="仿宋_GB2312" w:cs="Times New Roman"/>
                <w:szCs w:val="21"/>
              </w:rPr>
              <w:t>9</w:t>
            </w:r>
          </w:p>
        </w:tc>
        <w:tc>
          <w:tcPr>
            <w:tcW w:w="1276" w:type="dxa"/>
            <w:vAlign w:val="center"/>
          </w:tcPr>
          <w:p w14:paraId="358367C8">
            <w:pPr>
              <w:widowControl/>
              <w:jc w:val="center"/>
              <w:rPr>
                <w:rFonts w:ascii="Times New Roman" w:hAnsi="Times New Roman" w:eastAsia="仿宋_GB2312" w:cs="Times New Roman"/>
                <w:szCs w:val="21"/>
              </w:rPr>
            </w:pPr>
            <w:r>
              <w:rPr>
                <w:rFonts w:ascii="Times New Roman" w:hAnsi="Times New Roman" w:eastAsia="仿宋_GB2312" w:cs="Times New Roman"/>
                <w:szCs w:val="21"/>
              </w:rPr>
              <w:t>H</w:t>
            </w:r>
            <w:r>
              <w:rPr>
                <w:rFonts w:ascii="Times New Roman" w:hAnsi="Times New Roman" w:eastAsia="仿宋_GB2312" w:cs="Times New Roman"/>
                <w:szCs w:val="21"/>
                <w:vertAlign w:val="subscript"/>
              </w:rPr>
              <w:t>2</w:t>
            </w:r>
            <w:r>
              <w:rPr>
                <w:rFonts w:ascii="Times New Roman" w:hAnsi="Times New Roman" w:eastAsia="仿宋_GB2312" w:cs="Times New Roman"/>
                <w:szCs w:val="21"/>
              </w:rPr>
              <w:t>O线性</w:t>
            </w:r>
          </w:p>
        </w:tc>
        <w:tc>
          <w:tcPr>
            <w:tcW w:w="992" w:type="dxa"/>
            <w:vAlign w:val="center"/>
          </w:tcPr>
          <w:p w14:paraId="0D313D33">
            <w:pPr>
              <w:widowControl/>
              <w:jc w:val="center"/>
              <w:rPr>
                <w:rFonts w:ascii="Times New Roman" w:hAnsi="Times New Roman" w:eastAsia="仿宋_GB2312" w:cs="Times New Roman"/>
                <w:szCs w:val="21"/>
              </w:rPr>
            </w:pPr>
            <w:r>
              <w:rPr>
                <w:rFonts w:ascii="Times New Roman" w:hAnsi="Times New Roman" w:eastAsia="仿宋_GB2312" w:cs="Times New Roman"/>
                <w:szCs w:val="21"/>
              </w:rPr>
              <w:t>#</w:t>
            </w:r>
          </w:p>
        </w:tc>
        <w:tc>
          <w:tcPr>
            <w:tcW w:w="4253" w:type="dxa"/>
            <w:vAlign w:val="center"/>
          </w:tcPr>
          <w:p w14:paraId="35058354">
            <w:pPr>
              <w:widowControl/>
              <w:jc w:val="left"/>
              <w:rPr>
                <w:rFonts w:ascii="Times New Roman" w:hAnsi="Times New Roman" w:eastAsia="仿宋_GB2312" w:cs="Times New Roman"/>
                <w:szCs w:val="21"/>
              </w:rPr>
            </w:pPr>
            <w:r>
              <w:rPr>
                <w:rFonts w:ascii="Times New Roman" w:hAnsi="Times New Roman" w:eastAsia="仿宋_GB2312" w:cs="Times New Roman"/>
                <w:szCs w:val="21"/>
              </w:rPr>
              <w:t>R</w:t>
            </w:r>
            <w:r>
              <w:rPr>
                <w:rFonts w:ascii="Times New Roman" w:hAnsi="Times New Roman" w:eastAsia="仿宋_GB2312" w:cs="Times New Roman"/>
                <w:szCs w:val="21"/>
                <w:vertAlign w:val="superscript"/>
              </w:rPr>
              <w:t>2</w:t>
            </w:r>
            <w:r>
              <w:rPr>
                <w:rFonts w:ascii="Times New Roman" w:hAnsi="Times New Roman" w:eastAsia="仿宋_GB2312" w:cs="Times New Roman"/>
                <w:szCs w:val="21"/>
              </w:rPr>
              <w:t>＞0.999，提供不少于5个浓度梯度标气的实测证明</w:t>
            </w:r>
          </w:p>
        </w:tc>
        <w:tc>
          <w:tcPr>
            <w:tcW w:w="1173" w:type="dxa"/>
            <w:vAlign w:val="center"/>
          </w:tcPr>
          <w:p w14:paraId="2F8BF107">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5D8B3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06" w:type="dxa"/>
            <w:vAlign w:val="center"/>
          </w:tcPr>
          <w:p w14:paraId="72223EE7">
            <w:pPr>
              <w:jc w:val="center"/>
              <w:rPr>
                <w:rFonts w:ascii="Times New Roman" w:hAnsi="Times New Roman" w:eastAsia="仿宋_GB2312" w:cs="Times New Roman"/>
                <w:szCs w:val="21"/>
              </w:rPr>
            </w:pPr>
            <w:r>
              <w:rPr>
                <w:rFonts w:ascii="Times New Roman" w:hAnsi="Times New Roman" w:eastAsia="仿宋_GB2312" w:cs="Times New Roman"/>
                <w:szCs w:val="21"/>
              </w:rPr>
              <w:t>10</w:t>
            </w:r>
          </w:p>
        </w:tc>
        <w:tc>
          <w:tcPr>
            <w:tcW w:w="1276" w:type="dxa"/>
            <w:vAlign w:val="center"/>
          </w:tcPr>
          <w:p w14:paraId="26D41BF4">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操作温度范围</w:t>
            </w:r>
          </w:p>
        </w:tc>
        <w:tc>
          <w:tcPr>
            <w:tcW w:w="992" w:type="dxa"/>
            <w:vAlign w:val="center"/>
          </w:tcPr>
          <w:p w14:paraId="3241392E">
            <w:pPr>
              <w:widowControl/>
              <w:jc w:val="center"/>
              <w:rPr>
                <w:rFonts w:ascii="Times New Roman" w:hAnsi="Times New Roman" w:eastAsia="仿宋_GB2312" w:cs="Times New Roman"/>
                <w:szCs w:val="21"/>
              </w:rPr>
            </w:pPr>
          </w:p>
        </w:tc>
        <w:tc>
          <w:tcPr>
            <w:tcW w:w="4253" w:type="dxa"/>
            <w:vAlign w:val="center"/>
          </w:tcPr>
          <w:p w14:paraId="0B3B75E0">
            <w:pPr>
              <w:widowControl/>
              <w:jc w:val="left"/>
              <w:rPr>
                <w:rFonts w:ascii="Times New Roman" w:hAnsi="Times New Roman" w:eastAsia="仿宋_GB2312" w:cs="Times New Roman"/>
                <w:szCs w:val="21"/>
              </w:rPr>
            </w:pPr>
            <w:r>
              <w:rPr>
                <w:rFonts w:ascii="Times New Roman" w:hAnsi="Times New Roman" w:eastAsia="仿宋_GB2312" w:cs="Times New Roman"/>
                <w:szCs w:val="21"/>
              </w:rPr>
              <w:t>-20-50 ℃</w:t>
            </w:r>
          </w:p>
        </w:tc>
        <w:tc>
          <w:tcPr>
            <w:tcW w:w="1173" w:type="dxa"/>
            <w:vAlign w:val="center"/>
          </w:tcPr>
          <w:p w14:paraId="0325D5E4">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否</w:t>
            </w:r>
          </w:p>
        </w:tc>
      </w:tr>
      <w:tr w14:paraId="4D148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06" w:type="dxa"/>
            <w:vAlign w:val="center"/>
          </w:tcPr>
          <w:p w14:paraId="40115BA4">
            <w:pPr>
              <w:jc w:val="center"/>
              <w:rPr>
                <w:rFonts w:ascii="Times New Roman" w:hAnsi="Times New Roman" w:eastAsia="仿宋_GB2312" w:cs="Times New Roman"/>
                <w:szCs w:val="21"/>
              </w:rPr>
            </w:pPr>
            <w:r>
              <w:rPr>
                <w:rFonts w:ascii="Times New Roman" w:hAnsi="Times New Roman" w:eastAsia="仿宋_GB2312" w:cs="Times New Roman"/>
                <w:szCs w:val="21"/>
              </w:rPr>
              <w:t>11</w:t>
            </w:r>
          </w:p>
        </w:tc>
        <w:tc>
          <w:tcPr>
            <w:tcW w:w="1276" w:type="dxa"/>
            <w:vAlign w:val="center"/>
          </w:tcPr>
          <w:p w14:paraId="74F58B40">
            <w:pPr>
              <w:widowControl/>
              <w:jc w:val="center"/>
              <w:rPr>
                <w:rFonts w:ascii="Times New Roman" w:hAnsi="Times New Roman" w:eastAsia="仿宋_GB2312" w:cs="Times New Roman"/>
                <w:szCs w:val="21"/>
              </w:rPr>
            </w:pPr>
            <w:r>
              <w:rPr>
                <w:rFonts w:ascii="Times New Roman" w:hAnsi="Times New Roman" w:eastAsia="仿宋_GB2312" w:cs="Times New Roman"/>
                <w:szCs w:val="21"/>
              </w:rPr>
              <w:t>供电要求</w:t>
            </w:r>
          </w:p>
        </w:tc>
        <w:tc>
          <w:tcPr>
            <w:tcW w:w="992" w:type="dxa"/>
            <w:vAlign w:val="center"/>
          </w:tcPr>
          <w:p w14:paraId="0AEC0CF1">
            <w:pPr>
              <w:widowControl/>
              <w:jc w:val="center"/>
              <w:rPr>
                <w:rFonts w:ascii="Times New Roman" w:hAnsi="Times New Roman" w:eastAsia="仿宋_GB2312" w:cs="Times New Roman"/>
                <w:szCs w:val="21"/>
              </w:rPr>
            </w:pPr>
            <w:r>
              <w:rPr>
                <w:rFonts w:ascii="Times New Roman" w:hAnsi="Times New Roman" w:eastAsia="仿宋_GB2312" w:cs="Times New Roman"/>
                <w:szCs w:val="21"/>
              </w:rPr>
              <w:t>#</w:t>
            </w:r>
          </w:p>
        </w:tc>
        <w:tc>
          <w:tcPr>
            <w:tcW w:w="4253" w:type="dxa"/>
            <w:vAlign w:val="center"/>
          </w:tcPr>
          <w:p w14:paraId="1CB9223D">
            <w:pPr>
              <w:widowControl/>
              <w:jc w:val="left"/>
              <w:rPr>
                <w:rFonts w:ascii="Times New Roman" w:hAnsi="Times New Roman" w:eastAsia="仿宋_GB2312" w:cs="Times New Roman"/>
                <w:szCs w:val="21"/>
              </w:rPr>
            </w:pPr>
            <w:r>
              <w:rPr>
                <w:rFonts w:ascii="Times New Roman" w:hAnsi="Times New Roman" w:eastAsia="仿宋_GB2312" w:cs="Times New Roman"/>
                <w:szCs w:val="21"/>
              </w:rPr>
              <w:t>内置电池供电，内置电池属于国家强制性产品认证目录范围内的产品，应具有有效的CCC认证。投标文件中提供CCC认证证书或其他符合国家规定的证明材料。</w:t>
            </w:r>
          </w:p>
        </w:tc>
        <w:tc>
          <w:tcPr>
            <w:tcW w:w="1173" w:type="dxa"/>
            <w:vAlign w:val="center"/>
          </w:tcPr>
          <w:p w14:paraId="056349D7">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08ABB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06" w:type="dxa"/>
            <w:vAlign w:val="center"/>
          </w:tcPr>
          <w:p w14:paraId="26D0778A">
            <w:pPr>
              <w:jc w:val="center"/>
              <w:rPr>
                <w:rFonts w:ascii="Times New Roman" w:hAnsi="Times New Roman" w:eastAsia="仿宋_GB2312" w:cs="Times New Roman"/>
                <w:szCs w:val="21"/>
              </w:rPr>
            </w:pPr>
            <w:r>
              <w:rPr>
                <w:rFonts w:ascii="Times New Roman" w:hAnsi="Times New Roman" w:eastAsia="仿宋_GB2312" w:cs="Times New Roman"/>
                <w:szCs w:val="21"/>
              </w:rPr>
              <w:t>12</w:t>
            </w:r>
          </w:p>
        </w:tc>
        <w:tc>
          <w:tcPr>
            <w:tcW w:w="1276" w:type="dxa"/>
            <w:vAlign w:val="center"/>
          </w:tcPr>
          <w:p w14:paraId="2686BD47">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测量频率</w:t>
            </w:r>
          </w:p>
        </w:tc>
        <w:tc>
          <w:tcPr>
            <w:tcW w:w="992" w:type="dxa"/>
            <w:vAlign w:val="center"/>
          </w:tcPr>
          <w:p w14:paraId="1A1825F6">
            <w:pPr>
              <w:widowControl/>
              <w:jc w:val="center"/>
              <w:rPr>
                <w:rFonts w:ascii="Times New Roman" w:hAnsi="Times New Roman" w:eastAsia="仿宋_GB2312" w:cs="Times New Roman"/>
                <w:szCs w:val="21"/>
              </w:rPr>
            </w:pPr>
            <w:r>
              <w:rPr>
                <w:rFonts w:ascii="Segoe UI Symbol" w:hAnsi="Segoe UI Symbol" w:eastAsia="仿宋_GB2312" w:cs="Segoe UI Symbol"/>
                <w:szCs w:val="21"/>
              </w:rPr>
              <w:t>★</w:t>
            </w:r>
          </w:p>
        </w:tc>
        <w:tc>
          <w:tcPr>
            <w:tcW w:w="4253" w:type="dxa"/>
            <w:vAlign w:val="center"/>
          </w:tcPr>
          <w:p w14:paraId="2B7507B0">
            <w:pPr>
              <w:widowControl/>
              <w:jc w:val="left"/>
              <w:rPr>
                <w:rFonts w:ascii="Times New Roman" w:hAnsi="Times New Roman" w:eastAsia="仿宋_GB2312" w:cs="Times New Roman"/>
                <w:szCs w:val="21"/>
              </w:rPr>
            </w:pPr>
            <w:r>
              <w:rPr>
                <w:rFonts w:ascii="Times New Roman" w:hAnsi="Times New Roman" w:eastAsia="仿宋_GB2312" w:cs="Times New Roman"/>
                <w:szCs w:val="21"/>
              </w:rPr>
              <w:t>≥10Hz；需提供操作界面截图证明材料</w:t>
            </w:r>
          </w:p>
        </w:tc>
        <w:tc>
          <w:tcPr>
            <w:tcW w:w="1173" w:type="dxa"/>
            <w:vAlign w:val="center"/>
          </w:tcPr>
          <w:p w14:paraId="43B4C30E">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34953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06" w:type="dxa"/>
            <w:vAlign w:val="center"/>
          </w:tcPr>
          <w:p w14:paraId="3F2F74A3">
            <w:pPr>
              <w:jc w:val="center"/>
              <w:rPr>
                <w:rFonts w:ascii="Times New Roman" w:hAnsi="Times New Roman" w:eastAsia="仿宋_GB2312" w:cs="Times New Roman"/>
                <w:szCs w:val="21"/>
              </w:rPr>
            </w:pPr>
            <w:r>
              <w:rPr>
                <w:rFonts w:ascii="Times New Roman" w:hAnsi="Times New Roman" w:eastAsia="仿宋_GB2312" w:cs="Times New Roman"/>
                <w:szCs w:val="21"/>
              </w:rPr>
              <w:t>13</w:t>
            </w:r>
          </w:p>
        </w:tc>
        <w:tc>
          <w:tcPr>
            <w:tcW w:w="1276" w:type="dxa"/>
            <w:vAlign w:val="center"/>
          </w:tcPr>
          <w:p w14:paraId="1A9A56D3">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气压监测</w:t>
            </w:r>
          </w:p>
        </w:tc>
        <w:tc>
          <w:tcPr>
            <w:tcW w:w="992" w:type="dxa"/>
            <w:vAlign w:val="center"/>
          </w:tcPr>
          <w:p w14:paraId="2E01ACAD">
            <w:pPr>
              <w:widowControl/>
              <w:jc w:val="center"/>
              <w:rPr>
                <w:rFonts w:ascii="Times New Roman" w:hAnsi="Times New Roman" w:eastAsia="仿宋_GB2312" w:cs="Times New Roman"/>
                <w:szCs w:val="21"/>
              </w:rPr>
            </w:pPr>
          </w:p>
        </w:tc>
        <w:tc>
          <w:tcPr>
            <w:tcW w:w="4253" w:type="dxa"/>
            <w:vAlign w:val="center"/>
          </w:tcPr>
          <w:p w14:paraId="114A4264">
            <w:pPr>
              <w:widowControl/>
              <w:jc w:val="left"/>
              <w:rPr>
                <w:rFonts w:ascii="Times New Roman" w:hAnsi="Times New Roman" w:eastAsia="仿宋_GB2312" w:cs="Times New Roman"/>
                <w:szCs w:val="21"/>
              </w:rPr>
            </w:pPr>
            <w:r>
              <w:rPr>
                <w:rFonts w:ascii="Times New Roman" w:hAnsi="Times New Roman" w:eastAsia="仿宋_GB2312" w:cs="Times New Roman"/>
                <w:szCs w:val="21"/>
              </w:rPr>
              <w:t>压力范围15-115 kPa，精度：±1.5%</w:t>
            </w:r>
          </w:p>
        </w:tc>
        <w:tc>
          <w:tcPr>
            <w:tcW w:w="1173" w:type="dxa"/>
            <w:vAlign w:val="center"/>
          </w:tcPr>
          <w:p w14:paraId="68E1AC20">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否</w:t>
            </w:r>
          </w:p>
        </w:tc>
      </w:tr>
      <w:tr w14:paraId="13BF9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06" w:type="dxa"/>
            <w:vAlign w:val="center"/>
          </w:tcPr>
          <w:p w14:paraId="5A98C83A">
            <w:pPr>
              <w:jc w:val="center"/>
              <w:rPr>
                <w:rFonts w:ascii="Times New Roman" w:hAnsi="Times New Roman" w:eastAsia="仿宋_GB2312" w:cs="Times New Roman"/>
                <w:szCs w:val="21"/>
              </w:rPr>
            </w:pPr>
            <w:r>
              <w:rPr>
                <w:rFonts w:ascii="Times New Roman" w:hAnsi="Times New Roman" w:eastAsia="仿宋_GB2312" w:cs="Times New Roman"/>
                <w:szCs w:val="21"/>
              </w:rPr>
              <w:t>14</w:t>
            </w:r>
          </w:p>
        </w:tc>
        <w:tc>
          <w:tcPr>
            <w:tcW w:w="1276" w:type="dxa"/>
            <w:vAlign w:val="center"/>
          </w:tcPr>
          <w:p w14:paraId="324632E9">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温度监测</w:t>
            </w:r>
          </w:p>
        </w:tc>
        <w:tc>
          <w:tcPr>
            <w:tcW w:w="992" w:type="dxa"/>
            <w:vAlign w:val="center"/>
          </w:tcPr>
          <w:p w14:paraId="4A1BE651">
            <w:pPr>
              <w:widowControl/>
              <w:jc w:val="center"/>
              <w:rPr>
                <w:rFonts w:ascii="Times New Roman" w:hAnsi="Times New Roman" w:eastAsia="仿宋_GB2312" w:cs="Times New Roman"/>
                <w:szCs w:val="21"/>
              </w:rPr>
            </w:pPr>
            <w:r>
              <w:rPr>
                <w:rFonts w:ascii="Times New Roman" w:hAnsi="Times New Roman" w:eastAsia="仿宋_GB2312" w:cs="Times New Roman"/>
                <w:szCs w:val="21"/>
              </w:rPr>
              <w:t>#</w:t>
            </w:r>
          </w:p>
        </w:tc>
        <w:tc>
          <w:tcPr>
            <w:tcW w:w="4253" w:type="dxa"/>
            <w:vAlign w:val="center"/>
          </w:tcPr>
          <w:p w14:paraId="2B5F8AD1">
            <w:pPr>
              <w:widowControl/>
              <w:jc w:val="left"/>
              <w:rPr>
                <w:rFonts w:ascii="Times New Roman" w:hAnsi="Times New Roman" w:eastAsia="仿宋_GB2312" w:cs="Times New Roman"/>
                <w:szCs w:val="21"/>
              </w:rPr>
            </w:pPr>
            <w:r>
              <w:rPr>
                <w:rFonts w:ascii="Times New Roman" w:hAnsi="Times New Roman" w:eastAsia="仿宋_GB2312" w:cs="Times New Roman"/>
                <w:szCs w:val="21"/>
              </w:rPr>
              <w:t>温度范围：-30 -70 ℃，最大实际测量温差≤0.2℃；（本项以提供-30-70℃范围内，不少于15个温度梯度的温度标定曲线为依据，否则为负偏离）</w:t>
            </w:r>
          </w:p>
        </w:tc>
        <w:tc>
          <w:tcPr>
            <w:tcW w:w="1173" w:type="dxa"/>
            <w:vAlign w:val="center"/>
          </w:tcPr>
          <w:p w14:paraId="0B5D4228">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67195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06" w:type="dxa"/>
            <w:vAlign w:val="center"/>
          </w:tcPr>
          <w:p w14:paraId="391A32B6">
            <w:pPr>
              <w:jc w:val="center"/>
              <w:rPr>
                <w:rFonts w:ascii="Times New Roman" w:hAnsi="Times New Roman" w:eastAsia="仿宋_GB2312" w:cs="Times New Roman"/>
                <w:szCs w:val="21"/>
              </w:rPr>
            </w:pPr>
            <w:r>
              <w:rPr>
                <w:rFonts w:ascii="Times New Roman" w:hAnsi="Times New Roman" w:eastAsia="仿宋_GB2312" w:cs="Times New Roman"/>
                <w:szCs w:val="21"/>
              </w:rPr>
              <w:t>15</w:t>
            </w:r>
          </w:p>
        </w:tc>
        <w:tc>
          <w:tcPr>
            <w:tcW w:w="1276" w:type="dxa"/>
            <w:vAlign w:val="center"/>
          </w:tcPr>
          <w:p w14:paraId="3D185100">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水分监测</w:t>
            </w:r>
          </w:p>
        </w:tc>
        <w:tc>
          <w:tcPr>
            <w:tcW w:w="992" w:type="dxa"/>
            <w:vAlign w:val="center"/>
          </w:tcPr>
          <w:p w14:paraId="68E84184">
            <w:pPr>
              <w:widowControl/>
              <w:jc w:val="center"/>
              <w:rPr>
                <w:rFonts w:ascii="Times New Roman" w:hAnsi="Times New Roman" w:eastAsia="仿宋_GB2312" w:cs="Times New Roman"/>
                <w:szCs w:val="21"/>
              </w:rPr>
            </w:pPr>
          </w:p>
        </w:tc>
        <w:tc>
          <w:tcPr>
            <w:tcW w:w="4253" w:type="dxa"/>
            <w:vAlign w:val="center"/>
          </w:tcPr>
          <w:p w14:paraId="312660F6">
            <w:pPr>
              <w:widowControl/>
              <w:jc w:val="left"/>
              <w:rPr>
                <w:rFonts w:ascii="Times New Roman" w:hAnsi="Times New Roman" w:eastAsia="仿宋_GB2312" w:cs="Times New Roman"/>
                <w:szCs w:val="21"/>
              </w:rPr>
            </w:pPr>
            <w:r>
              <w:rPr>
                <w:rFonts w:ascii="Times New Roman" w:hAnsi="Times New Roman" w:eastAsia="仿宋_GB2312" w:cs="Times New Roman"/>
                <w:szCs w:val="21"/>
              </w:rPr>
              <w:t>测量范围：0-100%，精度为±2% (0-50%)，±3% (51-100%)</w:t>
            </w:r>
          </w:p>
        </w:tc>
        <w:tc>
          <w:tcPr>
            <w:tcW w:w="1173" w:type="dxa"/>
            <w:vAlign w:val="center"/>
          </w:tcPr>
          <w:p w14:paraId="28628872">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否</w:t>
            </w:r>
          </w:p>
        </w:tc>
      </w:tr>
      <w:tr w14:paraId="6B1FD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06" w:type="dxa"/>
            <w:vAlign w:val="center"/>
          </w:tcPr>
          <w:p w14:paraId="523AEA07">
            <w:pPr>
              <w:jc w:val="center"/>
              <w:rPr>
                <w:rFonts w:ascii="Times New Roman" w:hAnsi="Times New Roman" w:eastAsia="仿宋_GB2312" w:cs="Times New Roman"/>
                <w:szCs w:val="21"/>
              </w:rPr>
            </w:pPr>
            <w:r>
              <w:rPr>
                <w:rFonts w:ascii="Times New Roman" w:hAnsi="Times New Roman" w:eastAsia="仿宋_GB2312" w:cs="Times New Roman"/>
                <w:szCs w:val="21"/>
              </w:rPr>
              <w:t>16</w:t>
            </w:r>
          </w:p>
        </w:tc>
        <w:tc>
          <w:tcPr>
            <w:tcW w:w="1276" w:type="dxa"/>
            <w:vAlign w:val="center"/>
          </w:tcPr>
          <w:p w14:paraId="3930DFB1">
            <w:pPr>
              <w:widowControl/>
              <w:jc w:val="center"/>
              <w:rPr>
                <w:rFonts w:ascii="Times New Roman" w:hAnsi="Times New Roman" w:eastAsia="仿宋_GB2312" w:cs="Times New Roman"/>
                <w:szCs w:val="21"/>
              </w:rPr>
            </w:pPr>
            <w:r>
              <w:rPr>
                <w:rFonts w:ascii="Times New Roman" w:hAnsi="Times New Roman" w:eastAsia="仿宋_GB2312" w:cs="Times New Roman"/>
                <w:szCs w:val="21"/>
              </w:rPr>
              <w:t>通量显示</w:t>
            </w:r>
          </w:p>
        </w:tc>
        <w:tc>
          <w:tcPr>
            <w:tcW w:w="992" w:type="dxa"/>
            <w:vAlign w:val="center"/>
          </w:tcPr>
          <w:p w14:paraId="23025847">
            <w:pPr>
              <w:widowControl/>
              <w:jc w:val="center"/>
              <w:rPr>
                <w:rFonts w:ascii="Times New Roman" w:hAnsi="Times New Roman" w:eastAsia="仿宋_GB2312" w:cs="Times New Roman"/>
                <w:szCs w:val="21"/>
              </w:rPr>
            </w:pPr>
            <w:r>
              <w:rPr>
                <w:rFonts w:ascii="Segoe UI Symbol" w:hAnsi="Segoe UI Symbol" w:eastAsia="仿宋_GB2312" w:cs="Segoe UI Symbol"/>
                <w:szCs w:val="21"/>
              </w:rPr>
              <w:t>★</w:t>
            </w:r>
          </w:p>
        </w:tc>
        <w:tc>
          <w:tcPr>
            <w:tcW w:w="4253" w:type="dxa"/>
            <w:vAlign w:val="center"/>
          </w:tcPr>
          <w:p w14:paraId="2C016081">
            <w:pPr>
              <w:widowControl/>
              <w:jc w:val="left"/>
              <w:rPr>
                <w:rFonts w:ascii="Times New Roman" w:hAnsi="Times New Roman" w:eastAsia="仿宋_GB2312" w:cs="Times New Roman"/>
                <w:szCs w:val="21"/>
              </w:rPr>
            </w:pPr>
            <w:r>
              <w:rPr>
                <w:rFonts w:ascii="Times New Roman" w:hAnsi="Times New Roman" w:eastAsia="仿宋_GB2312" w:cs="Times New Roman"/>
                <w:szCs w:val="21"/>
              </w:rPr>
              <w:t>可实现线性回归及指数回归两种土壤通量输出结果，需提供软件界面截图</w:t>
            </w:r>
          </w:p>
        </w:tc>
        <w:tc>
          <w:tcPr>
            <w:tcW w:w="1173" w:type="dxa"/>
            <w:vAlign w:val="center"/>
          </w:tcPr>
          <w:p w14:paraId="4BDFFDFE">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10751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06" w:type="dxa"/>
            <w:vAlign w:val="center"/>
          </w:tcPr>
          <w:p w14:paraId="4090BE96">
            <w:pPr>
              <w:jc w:val="center"/>
              <w:rPr>
                <w:rFonts w:ascii="Times New Roman" w:hAnsi="Times New Roman" w:eastAsia="仿宋_GB2312" w:cs="Times New Roman"/>
                <w:szCs w:val="21"/>
              </w:rPr>
            </w:pPr>
            <w:r>
              <w:rPr>
                <w:rFonts w:ascii="Times New Roman" w:hAnsi="Times New Roman" w:eastAsia="仿宋_GB2312" w:cs="Times New Roman"/>
                <w:szCs w:val="21"/>
              </w:rPr>
              <w:t>17</w:t>
            </w:r>
          </w:p>
        </w:tc>
        <w:tc>
          <w:tcPr>
            <w:tcW w:w="1276" w:type="dxa"/>
            <w:vAlign w:val="center"/>
          </w:tcPr>
          <w:p w14:paraId="0BEC480D">
            <w:pPr>
              <w:widowControl/>
              <w:jc w:val="center"/>
              <w:rPr>
                <w:rFonts w:ascii="Times New Roman" w:hAnsi="Times New Roman" w:eastAsia="仿宋_GB2312" w:cs="Times New Roman"/>
                <w:szCs w:val="21"/>
              </w:rPr>
            </w:pPr>
            <w:r>
              <w:rPr>
                <w:rFonts w:ascii="Times New Roman" w:hAnsi="Times New Roman" w:eastAsia="仿宋_GB2312" w:cs="Times New Roman"/>
                <w:szCs w:val="21"/>
              </w:rPr>
              <w:t>后处理软件</w:t>
            </w:r>
          </w:p>
        </w:tc>
        <w:tc>
          <w:tcPr>
            <w:tcW w:w="992" w:type="dxa"/>
            <w:vAlign w:val="center"/>
          </w:tcPr>
          <w:p w14:paraId="0294E01C">
            <w:pPr>
              <w:widowControl/>
              <w:jc w:val="center"/>
              <w:rPr>
                <w:rFonts w:ascii="Times New Roman" w:hAnsi="Times New Roman" w:eastAsia="仿宋_GB2312" w:cs="Times New Roman"/>
                <w:szCs w:val="21"/>
              </w:rPr>
            </w:pPr>
          </w:p>
        </w:tc>
        <w:tc>
          <w:tcPr>
            <w:tcW w:w="4253" w:type="dxa"/>
            <w:vAlign w:val="center"/>
          </w:tcPr>
          <w:p w14:paraId="24664D4B">
            <w:pPr>
              <w:widowControl/>
              <w:jc w:val="left"/>
              <w:rPr>
                <w:rFonts w:ascii="Times New Roman" w:hAnsi="Times New Roman" w:eastAsia="仿宋_GB2312" w:cs="Times New Roman"/>
                <w:szCs w:val="21"/>
              </w:rPr>
            </w:pPr>
            <w:r>
              <w:rPr>
                <w:rFonts w:ascii="Times New Roman" w:hAnsi="Times New Roman" w:eastAsia="仿宋_GB2312" w:cs="Times New Roman"/>
                <w:szCs w:val="21"/>
              </w:rPr>
              <w:t>可在实验室对已测量数据分析重算，避免因野外测量时参数设置不准确造成的数据无法使用问题</w:t>
            </w:r>
          </w:p>
        </w:tc>
        <w:tc>
          <w:tcPr>
            <w:tcW w:w="1173" w:type="dxa"/>
            <w:vAlign w:val="center"/>
          </w:tcPr>
          <w:p w14:paraId="03AFF5CB">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2B05E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06" w:type="dxa"/>
            <w:vAlign w:val="center"/>
          </w:tcPr>
          <w:p w14:paraId="7642B4D2">
            <w:pPr>
              <w:jc w:val="center"/>
              <w:rPr>
                <w:rFonts w:ascii="Times New Roman" w:hAnsi="Times New Roman" w:eastAsia="仿宋_GB2312" w:cs="Times New Roman"/>
                <w:szCs w:val="21"/>
              </w:rPr>
            </w:pPr>
            <w:r>
              <w:rPr>
                <w:rFonts w:ascii="Times New Roman" w:hAnsi="Times New Roman" w:eastAsia="仿宋_GB2312" w:cs="Times New Roman"/>
                <w:szCs w:val="21"/>
              </w:rPr>
              <w:t>18</w:t>
            </w:r>
          </w:p>
        </w:tc>
        <w:tc>
          <w:tcPr>
            <w:tcW w:w="1276" w:type="dxa"/>
            <w:vAlign w:val="center"/>
          </w:tcPr>
          <w:p w14:paraId="781FC14A">
            <w:pPr>
              <w:widowControl/>
              <w:jc w:val="center"/>
              <w:rPr>
                <w:rFonts w:ascii="Times New Roman" w:hAnsi="Times New Roman" w:eastAsia="仿宋_GB2312" w:cs="Times New Roman"/>
                <w:szCs w:val="21"/>
              </w:rPr>
            </w:pPr>
            <w:r>
              <w:rPr>
                <w:rFonts w:ascii="Times New Roman" w:hAnsi="Times New Roman" w:eastAsia="仿宋_GB2312" w:cs="Times New Roman"/>
                <w:szCs w:val="21"/>
              </w:rPr>
              <w:t>便携性</w:t>
            </w:r>
          </w:p>
        </w:tc>
        <w:tc>
          <w:tcPr>
            <w:tcW w:w="992" w:type="dxa"/>
            <w:vAlign w:val="center"/>
          </w:tcPr>
          <w:p w14:paraId="75472E63">
            <w:pPr>
              <w:widowControl/>
              <w:jc w:val="center"/>
              <w:rPr>
                <w:rFonts w:ascii="Times New Roman" w:hAnsi="Times New Roman" w:eastAsia="仿宋_GB2312" w:cs="Times New Roman"/>
                <w:szCs w:val="21"/>
              </w:rPr>
            </w:pPr>
            <w:r>
              <w:rPr>
                <w:rFonts w:ascii="Segoe UI Symbol" w:hAnsi="Segoe UI Symbol" w:eastAsia="仿宋_GB2312" w:cs="Segoe UI Symbol"/>
                <w:szCs w:val="21"/>
              </w:rPr>
              <w:t>★</w:t>
            </w:r>
          </w:p>
        </w:tc>
        <w:tc>
          <w:tcPr>
            <w:tcW w:w="4253" w:type="dxa"/>
            <w:vAlign w:val="center"/>
          </w:tcPr>
          <w:p w14:paraId="46CB8B91">
            <w:pPr>
              <w:widowControl/>
              <w:jc w:val="left"/>
              <w:rPr>
                <w:rFonts w:ascii="Times New Roman" w:hAnsi="Times New Roman" w:eastAsia="仿宋_GB2312" w:cs="Times New Roman"/>
                <w:szCs w:val="21"/>
              </w:rPr>
            </w:pPr>
            <w:r>
              <w:rPr>
                <w:rFonts w:ascii="Times New Roman" w:hAnsi="Times New Roman" w:eastAsia="仿宋_GB2312" w:cs="Times New Roman"/>
                <w:szCs w:val="21"/>
              </w:rPr>
              <w:t>内置电池供电，电池续航时间不低于8小时，整机≤9kg</w:t>
            </w:r>
          </w:p>
        </w:tc>
        <w:tc>
          <w:tcPr>
            <w:tcW w:w="1173" w:type="dxa"/>
            <w:vAlign w:val="center"/>
          </w:tcPr>
          <w:p w14:paraId="09B62068">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2A6DB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06" w:type="dxa"/>
            <w:vAlign w:val="center"/>
          </w:tcPr>
          <w:p w14:paraId="1CFD78B6">
            <w:pPr>
              <w:jc w:val="center"/>
              <w:rPr>
                <w:rFonts w:ascii="Times New Roman" w:hAnsi="Times New Roman" w:eastAsia="仿宋_GB2312" w:cs="Times New Roman"/>
                <w:szCs w:val="21"/>
              </w:rPr>
            </w:pPr>
            <w:r>
              <w:rPr>
                <w:rFonts w:ascii="Times New Roman" w:hAnsi="Times New Roman" w:eastAsia="仿宋_GB2312" w:cs="Times New Roman"/>
                <w:szCs w:val="21"/>
              </w:rPr>
              <w:t>19</w:t>
            </w:r>
          </w:p>
        </w:tc>
        <w:tc>
          <w:tcPr>
            <w:tcW w:w="1276" w:type="dxa"/>
            <w:vAlign w:val="center"/>
          </w:tcPr>
          <w:p w14:paraId="430CA00E">
            <w:pPr>
              <w:widowControl/>
              <w:jc w:val="center"/>
              <w:rPr>
                <w:rFonts w:ascii="Times New Roman" w:hAnsi="Times New Roman" w:eastAsia="仿宋_GB2312" w:cs="Times New Roman"/>
                <w:szCs w:val="21"/>
              </w:rPr>
            </w:pPr>
            <w:r>
              <w:rPr>
                <w:rFonts w:ascii="Times New Roman" w:hAnsi="Times New Roman" w:eastAsia="仿宋_GB2312" w:cs="Times New Roman"/>
                <w:szCs w:val="21"/>
              </w:rPr>
              <w:t>稳定性和兼容性</w:t>
            </w:r>
          </w:p>
        </w:tc>
        <w:tc>
          <w:tcPr>
            <w:tcW w:w="992" w:type="dxa"/>
            <w:vAlign w:val="center"/>
          </w:tcPr>
          <w:p w14:paraId="56650CEE">
            <w:pPr>
              <w:widowControl/>
              <w:jc w:val="center"/>
              <w:rPr>
                <w:rFonts w:ascii="Times New Roman" w:hAnsi="Times New Roman" w:eastAsia="仿宋_GB2312" w:cs="Times New Roman"/>
                <w:szCs w:val="21"/>
              </w:rPr>
            </w:pPr>
            <w:r>
              <w:rPr>
                <w:rFonts w:ascii="Times New Roman" w:hAnsi="Times New Roman" w:eastAsia="仿宋_GB2312" w:cs="Times New Roman"/>
                <w:szCs w:val="21"/>
              </w:rPr>
              <w:t>#</w:t>
            </w:r>
          </w:p>
        </w:tc>
        <w:tc>
          <w:tcPr>
            <w:tcW w:w="4253" w:type="dxa"/>
            <w:vAlign w:val="center"/>
          </w:tcPr>
          <w:p w14:paraId="7DADEA1D">
            <w:pPr>
              <w:widowControl/>
              <w:jc w:val="left"/>
              <w:rPr>
                <w:rFonts w:ascii="Times New Roman" w:hAnsi="Times New Roman" w:eastAsia="仿宋_GB2312" w:cs="Times New Roman"/>
                <w:szCs w:val="21"/>
              </w:rPr>
            </w:pPr>
            <w:r>
              <w:rPr>
                <w:rFonts w:ascii="Times New Roman" w:hAnsi="Times New Roman" w:eastAsia="仿宋_GB2312" w:cs="Times New Roman"/>
                <w:szCs w:val="21"/>
              </w:rPr>
              <w:t>为保证稳定性和兼容性，要求气体分析仪、通量自动测量系统系统和土壤呼吸室需为同一厂家生产制造</w:t>
            </w:r>
          </w:p>
        </w:tc>
        <w:tc>
          <w:tcPr>
            <w:tcW w:w="1173" w:type="dxa"/>
            <w:vAlign w:val="center"/>
          </w:tcPr>
          <w:p w14:paraId="13FB4AB5">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r w14:paraId="46FF6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06" w:type="dxa"/>
            <w:vAlign w:val="center"/>
          </w:tcPr>
          <w:p w14:paraId="4D55AF89">
            <w:pPr>
              <w:jc w:val="center"/>
              <w:rPr>
                <w:rFonts w:ascii="Times New Roman" w:hAnsi="Times New Roman" w:eastAsia="仿宋_GB2312" w:cs="Times New Roman"/>
                <w:szCs w:val="21"/>
              </w:rPr>
            </w:pPr>
            <w:r>
              <w:rPr>
                <w:rFonts w:ascii="Times New Roman" w:hAnsi="Times New Roman" w:eastAsia="仿宋_GB2312" w:cs="Times New Roman"/>
                <w:szCs w:val="21"/>
              </w:rPr>
              <w:t>20</w:t>
            </w:r>
          </w:p>
        </w:tc>
        <w:tc>
          <w:tcPr>
            <w:tcW w:w="1276" w:type="dxa"/>
            <w:vAlign w:val="center"/>
          </w:tcPr>
          <w:p w14:paraId="6B3C07CA">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招标配置要求</w:t>
            </w:r>
          </w:p>
        </w:tc>
        <w:tc>
          <w:tcPr>
            <w:tcW w:w="992" w:type="dxa"/>
            <w:vAlign w:val="center"/>
          </w:tcPr>
          <w:p w14:paraId="7903B53C">
            <w:pPr>
              <w:widowControl/>
              <w:jc w:val="center"/>
              <w:rPr>
                <w:rFonts w:ascii="Times New Roman" w:hAnsi="Times New Roman" w:eastAsia="仿宋_GB2312" w:cs="Times New Roman"/>
                <w:szCs w:val="21"/>
              </w:rPr>
            </w:pPr>
            <w:r>
              <w:rPr>
                <w:rFonts w:ascii="Segoe UI Symbol" w:hAnsi="Segoe UI Symbol" w:eastAsia="仿宋" w:cs="Segoe UI Symbol"/>
                <w:szCs w:val="21"/>
              </w:rPr>
              <w:t>★</w:t>
            </w:r>
          </w:p>
        </w:tc>
        <w:tc>
          <w:tcPr>
            <w:tcW w:w="4253" w:type="dxa"/>
            <w:vAlign w:val="center"/>
          </w:tcPr>
          <w:p w14:paraId="1E4CAB85">
            <w:pPr>
              <w:widowControl/>
              <w:jc w:val="left"/>
              <w:rPr>
                <w:rFonts w:ascii="Times New Roman" w:hAnsi="Times New Roman" w:eastAsia="仿宋_GB2312" w:cs="Times New Roman"/>
                <w:szCs w:val="21"/>
              </w:rPr>
            </w:pPr>
            <w:r>
              <w:rPr>
                <w:rFonts w:ascii="Times New Roman" w:hAnsi="Times New Roman" w:eastAsia="仿宋_GB2312" w:cs="Times New Roman"/>
                <w:szCs w:val="21"/>
              </w:rPr>
              <w:t>满足便携式测量要求，户外使用时长≥8小时，配置要求如下：</w:t>
            </w:r>
          </w:p>
          <w:p w14:paraId="7E5CD65E">
            <w:pPr>
              <w:widowControl/>
              <w:jc w:val="left"/>
              <w:rPr>
                <w:rFonts w:ascii="Times New Roman" w:hAnsi="Times New Roman" w:eastAsia="仿宋_GB2312" w:cs="Times New Roman"/>
                <w:szCs w:val="21"/>
              </w:rPr>
            </w:pPr>
            <w:r>
              <w:rPr>
                <w:rFonts w:ascii="Times New Roman" w:hAnsi="Times New Roman" w:eastAsia="仿宋_GB2312" w:cs="Times New Roman"/>
                <w:szCs w:val="21"/>
              </w:rPr>
              <w:t>1、便携式温室气体分析仪（内置供电电池2块）1台；</w:t>
            </w:r>
          </w:p>
          <w:p w14:paraId="4A98D82C">
            <w:pPr>
              <w:widowControl/>
              <w:jc w:val="left"/>
              <w:rPr>
                <w:rFonts w:ascii="Times New Roman" w:hAnsi="Times New Roman" w:eastAsia="仿宋_GB2312" w:cs="Times New Roman"/>
                <w:szCs w:val="21"/>
              </w:rPr>
            </w:pPr>
            <w:r>
              <w:rPr>
                <w:rFonts w:ascii="Times New Roman" w:hAnsi="Times New Roman" w:eastAsia="仿宋_GB2312" w:cs="Times New Roman"/>
                <w:szCs w:val="21"/>
              </w:rPr>
              <w:t>2、</w:t>
            </w:r>
            <w:bookmarkStart w:id="23" w:name="OLE_LINK2"/>
            <w:r>
              <w:rPr>
                <w:rFonts w:ascii="Times New Roman" w:hAnsi="Times New Roman" w:eastAsia="仿宋_GB2312" w:cs="Times New Roman"/>
                <w:szCs w:val="21"/>
              </w:rPr>
              <w:t>通量自动测量系统</w:t>
            </w:r>
            <w:bookmarkEnd w:id="23"/>
            <w:r>
              <w:rPr>
                <w:rFonts w:ascii="Times New Roman" w:hAnsi="Times New Roman" w:eastAsia="仿宋_GB2312" w:cs="Times New Roman"/>
                <w:szCs w:val="21"/>
              </w:rPr>
              <w:t>（主机内置，可自动将浓度数据转化为通量数据）1套；</w:t>
            </w:r>
          </w:p>
          <w:p w14:paraId="64A9EBEB">
            <w:pPr>
              <w:widowControl/>
              <w:jc w:val="left"/>
              <w:rPr>
                <w:rFonts w:ascii="Times New Roman" w:hAnsi="Times New Roman" w:eastAsia="仿宋_GB2312" w:cs="Times New Roman"/>
                <w:szCs w:val="21"/>
              </w:rPr>
            </w:pPr>
            <w:r>
              <w:rPr>
                <w:rFonts w:ascii="Times New Roman" w:hAnsi="Times New Roman" w:eastAsia="仿宋_GB2312" w:cs="Times New Roman"/>
                <w:szCs w:val="21"/>
              </w:rPr>
              <w:t>3、适配器（220V转12V）1个；</w:t>
            </w:r>
          </w:p>
          <w:p w14:paraId="65CC91B3">
            <w:pPr>
              <w:widowControl/>
              <w:jc w:val="left"/>
              <w:rPr>
                <w:rFonts w:ascii="Times New Roman" w:hAnsi="Times New Roman" w:eastAsia="仿宋_GB2312" w:cs="Times New Roman"/>
                <w:szCs w:val="21"/>
              </w:rPr>
            </w:pPr>
            <w:r>
              <w:rPr>
                <w:rFonts w:ascii="Times New Roman" w:hAnsi="Times New Roman" w:eastAsia="仿宋_GB2312" w:cs="Times New Roman"/>
                <w:szCs w:val="21"/>
              </w:rPr>
              <w:t>4、供电电缆（长度≥1.5米）1根；</w:t>
            </w:r>
          </w:p>
          <w:p w14:paraId="73FE7F7A">
            <w:pPr>
              <w:widowControl/>
              <w:jc w:val="left"/>
              <w:rPr>
                <w:rFonts w:ascii="Times New Roman" w:hAnsi="Times New Roman" w:eastAsia="仿宋_GB2312" w:cs="Times New Roman"/>
                <w:szCs w:val="21"/>
              </w:rPr>
            </w:pPr>
            <w:r>
              <w:rPr>
                <w:rFonts w:ascii="Times New Roman" w:hAnsi="Times New Roman" w:eastAsia="仿宋_GB2312" w:cs="Times New Roman"/>
                <w:szCs w:val="21"/>
              </w:rPr>
              <w:t>5、全自动土壤测量室（尺寸≥20cm）1个</w:t>
            </w:r>
          </w:p>
          <w:p w14:paraId="056D6A67">
            <w:pPr>
              <w:widowControl/>
              <w:jc w:val="left"/>
              <w:rPr>
                <w:rFonts w:ascii="Times New Roman" w:hAnsi="Times New Roman" w:eastAsia="仿宋_GB2312" w:cs="Times New Roman"/>
                <w:szCs w:val="21"/>
              </w:rPr>
            </w:pPr>
            <w:r>
              <w:rPr>
                <w:rFonts w:ascii="Times New Roman" w:hAnsi="Times New Roman" w:eastAsia="仿宋_GB2312" w:cs="Times New Roman"/>
                <w:szCs w:val="21"/>
              </w:rPr>
              <w:t>6、连接管路（长度≥1.5米）1套</w:t>
            </w:r>
          </w:p>
          <w:p w14:paraId="5197A74A">
            <w:pPr>
              <w:widowControl/>
              <w:jc w:val="left"/>
              <w:rPr>
                <w:rFonts w:ascii="Times New Roman" w:hAnsi="Times New Roman" w:eastAsia="仿宋_GB2312" w:cs="Times New Roman"/>
                <w:szCs w:val="21"/>
              </w:rPr>
            </w:pPr>
            <w:r>
              <w:rPr>
                <w:rFonts w:ascii="Times New Roman" w:hAnsi="Times New Roman" w:eastAsia="仿宋_GB2312" w:cs="Times New Roman"/>
                <w:szCs w:val="21"/>
              </w:rPr>
              <w:t>7、土壤温湿度传感器（自动输出土壤体积含水量数据，土壤湿度范围覆盖绝对干燥到完全饱和）1个</w:t>
            </w:r>
          </w:p>
          <w:p w14:paraId="41F9B2BA">
            <w:pPr>
              <w:widowControl/>
              <w:jc w:val="left"/>
              <w:rPr>
                <w:rFonts w:ascii="Times New Roman" w:hAnsi="Times New Roman" w:eastAsia="仿宋_GB2312" w:cs="Times New Roman"/>
                <w:szCs w:val="21"/>
              </w:rPr>
            </w:pPr>
            <w:r>
              <w:rPr>
                <w:rFonts w:ascii="Times New Roman" w:hAnsi="Times New Roman" w:eastAsia="仿宋_GB2312" w:cs="Times New Roman"/>
                <w:szCs w:val="21"/>
              </w:rPr>
              <w:t>8、土壤环（尺寸≥20cm）10个</w:t>
            </w:r>
          </w:p>
          <w:p w14:paraId="234A522E">
            <w:pPr>
              <w:widowControl/>
              <w:jc w:val="left"/>
              <w:rPr>
                <w:rFonts w:ascii="Times New Roman" w:hAnsi="Times New Roman" w:eastAsia="仿宋_GB2312" w:cs="Times New Roman"/>
                <w:szCs w:val="21"/>
              </w:rPr>
            </w:pPr>
            <w:r>
              <w:rPr>
                <w:rFonts w:ascii="Times New Roman" w:hAnsi="Times New Roman" w:eastAsia="仿宋_GB2312" w:cs="Times New Roman"/>
                <w:szCs w:val="21"/>
              </w:rPr>
              <w:t>9、空气温度传感器（呼吸室内置，温度范围-20到50℃）1个</w:t>
            </w:r>
          </w:p>
          <w:p w14:paraId="753F628F">
            <w:pPr>
              <w:widowControl/>
              <w:jc w:val="left"/>
              <w:rPr>
                <w:rFonts w:ascii="Times New Roman" w:hAnsi="Times New Roman" w:eastAsia="仿宋_GB2312" w:cs="Times New Roman"/>
                <w:szCs w:val="21"/>
              </w:rPr>
            </w:pPr>
            <w:r>
              <w:rPr>
                <w:rFonts w:ascii="Times New Roman" w:hAnsi="Times New Roman" w:eastAsia="仿宋_GB2312" w:cs="Times New Roman"/>
                <w:szCs w:val="21"/>
              </w:rPr>
              <w:t>10、大气压传感器（呼吸室内置，压力范围70到120kpa）1个</w:t>
            </w:r>
          </w:p>
          <w:p w14:paraId="1BB4FC77">
            <w:pPr>
              <w:widowControl/>
              <w:jc w:val="left"/>
              <w:rPr>
                <w:rFonts w:ascii="Times New Roman" w:hAnsi="Times New Roman" w:eastAsia="仿宋_GB2312" w:cs="Times New Roman"/>
                <w:szCs w:val="21"/>
              </w:rPr>
            </w:pPr>
            <w:r>
              <w:rPr>
                <w:rFonts w:ascii="Times New Roman" w:hAnsi="Times New Roman" w:eastAsia="仿宋_GB2312" w:cs="Times New Roman"/>
                <w:szCs w:val="21"/>
              </w:rPr>
              <w:t>11、防雨箱（便携式，具快插接口）1套</w:t>
            </w:r>
          </w:p>
          <w:p w14:paraId="09462618">
            <w:pPr>
              <w:widowControl/>
              <w:jc w:val="left"/>
              <w:rPr>
                <w:rFonts w:ascii="Times New Roman" w:hAnsi="Times New Roman" w:eastAsia="仿宋_GB2312" w:cs="Times New Roman"/>
                <w:szCs w:val="21"/>
              </w:rPr>
            </w:pPr>
            <w:r>
              <w:rPr>
                <w:rFonts w:ascii="Times New Roman" w:hAnsi="Times New Roman" w:eastAsia="仿宋_GB2312" w:cs="Times New Roman"/>
                <w:szCs w:val="21"/>
              </w:rPr>
              <w:t>12、远程传输功能模块（内置无线路由，可直接与Pad或者手机App与主机相连）1套</w:t>
            </w:r>
          </w:p>
        </w:tc>
        <w:tc>
          <w:tcPr>
            <w:tcW w:w="1173" w:type="dxa"/>
            <w:vAlign w:val="center"/>
          </w:tcPr>
          <w:p w14:paraId="6330176C">
            <w:pPr>
              <w:widowControl/>
              <w:jc w:val="center"/>
              <w:rPr>
                <w:rFonts w:ascii="Times New Roman" w:hAnsi="Times New Roman" w:eastAsia="仿宋_GB2312" w:cs="Times New Roman"/>
                <w:szCs w:val="21"/>
              </w:rPr>
            </w:pPr>
            <w:r>
              <w:rPr>
                <w:rFonts w:ascii="Times New Roman" w:hAnsi="Times New Roman" w:eastAsia="仿宋_GB2312" w:cs="Times New Roman"/>
                <w:szCs w:val="21"/>
              </w:rPr>
              <w:t>是</w:t>
            </w:r>
          </w:p>
        </w:tc>
      </w:tr>
    </w:tbl>
    <w:p w14:paraId="33738583">
      <w:pPr>
        <w:widowControl/>
        <w:shd w:val="clear" w:color="auto" w:fill="FFFFFF"/>
        <w:spacing w:line="360" w:lineRule="auto"/>
        <w:rPr>
          <w:rFonts w:ascii="Times New Roman" w:hAnsi="Times New Roman" w:eastAsia="仿宋_GB2312" w:cs="Times New Roman"/>
          <w:b/>
          <w:color w:val="000000"/>
          <w:kern w:val="0"/>
          <w:sz w:val="24"/>
          <w:szCs w:val="24"/>
          <w:shd w:val="clear" w:color="auto" w:fill="FFFFFF"/>
        </w:rPr>
      </w:pPr>
      <w:r>
        <w:rPr>
          <w:rFonts w:ascii="Times New Roman" w:hAnsi="Times New Roman" w:eastAsia="仿宋_GB2312" w:cs="Times New Roman"/>
          <w:b/>
          <w:color w:val="000000"/>
          <w:kern w:val="0"/>
          <w:sz w:val="24"/>
          <w:szCs w:val="24"/>
          <w:shd w:val="clear" w:color="auto" w:fill="FFFFFF"/>
        </w:rPr>
        <w:t>说明：</w:t>
      </w:r>
    </w:p>
    <w:p w14:paraId="71D5BB44">
      <w:pPr>
        <w:widowControl/>
        <w:shd w:val="clear" w:color="auto" w:fill="FFFFFF"/>
        <w:spacing w:line="360" w:lineRule="auto"/>
        <w:rPr>
          <w:rFonts w:ascii="Times New Roman" w:hAnsi="Times New Roman" w:eastAsia="仿宋_GB2312" w:cs="Times New Roman"/>
          <w:color w:val="000000"/>
          <w:kern w:val="0"/>
          <w:sz w:val="24"/>
          <w:szCs w:val="24"/>
          <w:shd w:val="clear" w:color="auto" w:fill="FFFFFF"/>
        </w:rPr>
      </w:pPr>
      <w:r>
        <w:rPr>
          <w:rFonts w:ascii="Times New Roman" w:hAnsi="Times New Roman" w:eastAsia="仿宋_GB2312" w:cs="Times New Roman"/>
          <w:color w:val="000000"/>
          <w:kern w:val="0"/>
          <w:sz w:val="24"/>
          <w:szCs w:val="24"/>
          <w:shd w:val="clear" w:color="auto" w:fill="FFFFFF"/>
        </w:rPr>
        <w:fldChar w:fldCharType="begin"/>
      </w:r>
      <w:r>
        <w:rPr>
          <w:rFonts w:ascii="Times New Roman" w:hAnsi="Times New Roman" w:eastAsia="仿宋_GB2312" w:cs="Times New Roman"/>
          <w:color w:val="000000"/>
          <w:kern w:val="0"/>
          <w:sz w:val="24"/>
          <w:szCs w:val="24"/>
          <w:shd w:val="clear" w:color="auto" w:fill="FFFFFF"/>
        </w:rPr>
        <w:instrText xml:space="preserve">= 1 \* GB3</w:instrText>
      </w:r>
      <w:r>
        <w:rPr>
          <w:rFonts w:ascii="Times New Roman" w:hAnsi="Times New Roman" w:eastAsia="仿宋_GB2312" w:cs="Times New Roman"/>
          <w:color w:val="000000"/>
          <w:kern w:val="0"/>
          <w:sz w:val="24"/>
          <w:szCs w:val="24"/>
          <w:shd w:val="clear" w:color="auto" w:fill="FFFFFF"/>
        </w:rPr>
        <w:fldChar w:fldCharType="separate"/>
      </w:r>
      <w:r>
        <w:rPr>
          <w:rFonts w:ascii="Cambria Math" w:hAnsi="Cambria Math" w:eastAsia="仿宋_GB2312" w:cs="Cambria Math"/>
          <w:color w:val="000000"/>
          <w:kern w:val="0"/>
          <w:sz w:val="24"/>
          <w:szCs w:val="24"/>
          <w:shd w:val="clear" w:color="auto" w:fill="FFFFFF"/>
        </w:rPr>
        <w:t>①</w:t>
      </w:r>
      <w:r>
        <w:rPr>
          <w:rFonts w:ascii="Times New Roman" w:hAnsi="Times New Roman" w:eastAsia="仿宋_GB2312" w:cs="Times New Roman"/>
          <w:color w:val="000000"/>
          <w:kern w:val="0"/>
          <w:sz w:val="24"/>
          <w:szCs w:val="24"/>
          <w:shd w:val="clear" w:color="auto" w:fill="FFFFFF"/>
        </w:rPr>
        <w:fldChar w:fldCharType="end"/>
      </w:r>
      <w:r>
        <w:rPr>
          <w:rFonts w:ascii="Times New Roman" w:hAnsi="Times New Roman" w:eastAsia="仿宋_GB2312" w:cs="Times New Roman"/>
          <w:color w:val="000000"/>
          <w:kern w:val="0"/>
          <w:sz w:val="24"/>
          <w:szCs w:val="24"/>
          <w:shd w:val="clear" w:color="auto" w:fill="FFFFFF"/>
        </w:rPr>
        <w:t>重要性可用“</w:t>
      </w:r>
      <w:r>
        <w:rPr>
          <w:rFonts w:ascii="Segoe UI Symbol" w:hAnsi="Segoe UI Symbol" w:eastAsia="仿宋_GB2312" w:cs="Segoe UI Symbol"/>
          <w:color w:val="000000"/>
          <w:kern w:val="0"/>
          <w:sz w:val="24"/>
          <w:szCs w:val="24"/>
          <w:shd w:val="clear" w:color="auto" w:fill="FFFFFF"/>
        </w:rPr>
        <w:t>★</w:t>
      </w:r>
      <w:r>
        <w:rPr>
          <w:rFonts w:ascii="Times New Roman" w:hAnsi="Times New Roman" w:eastAsia="仿宋_GB2312" w:cs="Times New Roman"/>
          <w:color w:val="000000"/>
          <w:kern w:val="0"/>
          <w:sz w:val="24"/>
          <w:szCs w:val="24"/>
          <w:shd w:val="clear" w:color="auto" w:fill="FFFFFF"/>
        </w:rPr>
        <w:t>”“#”表示，“</w:t>
      </w:r>
      <w:r>
        <w:rPr>
          <w:rFonts w:ascii="Segoe UI Symbol" w:hAnsi="Segoe UI Symbol" w:eastAsia="仿宋_GB2312" w:cs="Segoe UI Symbol"/>
          <w:color w:val="000000"/>
          <w:kern w:val="0"/>
          <w:sz w:val="24"/>
          <w:szCs w:val="24"/>
          <w:shd w:val="clear" w:color="auto" w:fill="FFFFFF"/>
        </w:rPr>
        <w:t>★</w:t>
      </w:r>
      <w:r>
        <w:rPr>
          <w:rFonts w:ascii="Times New Roman" w:hAnsi="Times New Roman" w:eastAsia="仿宋_GB2312" w:cs="Times New Roman"/>
          <w:color w:val="000000"/>
          <w:kern w:val="0"/>
          <w:sz w:val="24"/>
          <w:szCs w:val="24"/>
          <w:shd w:val="clear" w:color="auto" w:fill="FFFFFF"/>
        </w:rPr>
        <w:t>”代表关键指标，不满足该指标项将导致响应被拒绝；“#”代表重要指标；无标识则表示属一般指标项。</w:t>
      </w:r>
    </w:p>
    <w:p w14:paraId="2F7E2740">
      <w:pPr>
        <w:widowControl/>
        <w:shd w:val="clear" w:color="auto" w:fill="FFFFFF"/>
        <w:spacing w:line="360" w:lineRule="auto"/>
        <w:rPr>
          <w:rFonts w:ascii="Times New Roman" w:hAnsi="Times New Roman" w:eastAsia="仿宋_GB2312" w:cs="Times New Roman"/>
          <w:color w:val="000000"/>
          <w:kern w:val="0"/>
          <w:sz w:val="24"/>
          <w:szCs w:val="24"/>
          <w:shd w:val="clear" w:color="auto" w:fill="FFFFFF"/>
        </w:rPr>
      </w:pPr>
      <w:r>
        <w:rPr>
          <w:rFonts w:ascii="Times New Roman" w:hAnsi="Times New Roman" w:eastAsia="仿宋_GB2312" w:cs="Times New Roman"/>
          <w:color w:val="000000"/>
          <w:kern w:val="0"/>
          <w:sz w:val="24"/>
          <w:szCs w:val="24"/>
          <w:shd w:val="clear" w:color="auto" w:fill="FFFFFF"/>
        </w:rPr>
        <w:fldChar w:fldCharType="begin"/>
      </w:r>
      <w:r>
        <w:rPr>
          <w:rFonts w:ascii="Times New Roman" w:hAnsi="Times New Roman" w:eastAsia="仿宋_GB2312" w:cs="Times New Roman"/>
          <w:color w:val="000000"/>
          <w:kern w:val="0"/>
          <w:sz w:val="24"/>
          <w:szCs w:val="24"/>
          <w:shd w:val="clear" w:color="auto" w:fill="FFFFFF"/>
        </w:rPr>
        <w:instrText xml:space="preserve">= 2 \* GB3</w:instrText>
      </w:r>
      <w:r>
        <w:rPr>
          <w:rFonts w:ascii="Times New Roman" w:hAnsi="Times New Roman" w:eastAsia="仿宋_GB2312" w:cs="Times New Roman"/>
          <w:color w:val="000000"/>
          <w:kern w:val="0"/>
          <w:sz w:val="24"/>
          <w:szCs w:val="24"/>
          <w:shd w:val="clear" w:color="auto" w:fill="FFFFFF"/>
        </w:rPr>
        <w:fldChar w:fldCharType="separate"/>
      </w:r>
      <w:r>
        <w:rPr>
          <w:rFonts w:ascii="Cambria Math" w:hAnsi="Cambria Math" w:eastAsia="仿宋_GB2312" w:cs="Cambria Math"/>
          <w:color w:val="000000"/>
          <w:kern w:val="0"/>
          <w:sz w:val="24"/>
          <w:szCs w:val="24"/>
          <w:shd w:val="clear" w:color="auto" w:fill="FFFFFF"/>
        </w:rPr>
        <w:t>②</w:t>
      </w:r>
      <w:r>
        <w:rPr>
          <w:rFonts w:ascii="Times New Roman" w:hAnsi="Times New Roman" w:eastAsia="仿宋_GB2312" w:cs="Times New Roman"/>
          <w:color w:val="000000"/>
          <w:kern w:val="0"/>
          <w:sz w:val="24"/>
          <w:szCs w:val="24"/>
          <w:shd w:val="clear" w:color="auto" w:fill="FFFFFF"/>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r>
        <w:rPr>
          <w:rFonts w:ascii="仿宋_GB2312" w:hAnsi="宋体" w:eastAsia="仿宋_GB2312" w:cs="宋体"/>
          <w:snapToGrid w:val="0"/>
          <w:kern w:val="0"/>
          <w:sz w:val="24"/>
          <w:szCs w:val="24"/>
          <w:lang w:val="zh-CN"/>
        </w:rPr>
        <w:t>填写“否”的提供技术参数偏离表或承诺响应，未提供或提供的偏离表中或承诺有负偏离的，则该指标按不满足处理。若供应商偏离表中与响应文件所列证明材料内容不一致时，将以证明材料内容为准进行评审。</w:t>
      </w:r>
    </w:p>
    <w:p w14:paraId="15B48C5B">
      <w:pPr>
        <w:widowControl/>
        <w:ind w:firstLine="643" w:firstLineChars="200"/>
        <w:jc w:val="left"/>
        <w:rPr>
          <w:rFonts w:ascii="Times New Roman" w:hAnsi="Times New Roman" w:eastAsia="仿宋_GB2312" w:cs="Times New Roman"/>
          <w:b/>
          <w:color w:val="000000"/>
          <w:kern w:val="0"/>
          <w:sz w:val="32"/>
          <w:szCs w:val="28"/>
          <w:shd w:val="clear" w:color="auto" w:fill="FFFFFF"/>
        </w:rPr>
      </w:pPr>
      <w:r>
        <w:rPr>
          <w:rFonts w:ascii="Times New Roman" w:hAnsi="Times New Roman" w:eastAsia="仿宋_GB2312" w:cs="Times New Roman"/>
          <w:b/>
          <w:color w:val="000000"/>
          <w:kern w:val="0"/>
          <w:sz w:val="32"/>
          <w:szCs w:val="28"/>
          <w:shd w:val="clear" w:color="auto" w:fill="FFFFFF"/>
        </w:rPr>
        <w:t>四、商务要求</w:t>
      </w:r>
    </w:p>
    <w:tbl>
      <w:tblPr>
        <w:tblStyle w:val="8"/>
        <w:tblW w:w="8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603"/>
        <w:gridCol w:w="940"/>
        <w:gridCol w:w="5237"/>
      </w:tblGrid>
      <w:tr w14:paraId="22F07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blHeader/>
          <w:jc w:val="center"/>
        </w:trPr>
        <w:tc>
          <w:tcPr>
            <w:tcW w:w="892" w:type="dxa"/>
            <w:vAlign w:val="center"/>
          </w:tcPr>
          <w:p w14:paraId="4A794B2F">
            <w:pPr>
              <w:autoSpaceDE w:val="0"/>
              <w:autoSpaceDN w:val="0"/>
              <w:adjustRightInd w:val="0"/>
              <w:snapToGrid w:val="0"/>
              <w:jc w:val="center"/>
              <w:rPr>
                <w:rFonts w:ascii="Times New Roman" w:hAnsi="Times New Roman" w:eastAsia="仿宋_GB2312" w:cs="Times New Roman"/>
                <w:b/>
                <w:snapToGrid w:val="0"/>
                <w:kern w:val="0"/>
                <w:szCs w:val="21"/>
                <w:lang w:val="zh-CN"/>
              </w:rPr>
            </w:pPr>
            <w:r>
              <w:rPr>
                <w:rFonts w:ascii="Times New Roman" w:hAnsi="Times New Roman" w:eastAsia="仿宋_GB2312" w:cs="Times New Roman"/>
                <w:b/>
                <w:snapToGrid w:val="0"/>
                <w:kern w:val="0"/>
                <w:szCs w:val="21"/>
                <w:lang w:val="zh-CN"/>
              </w:rPr>
              <w:t>序号</w:t>
            </w:r>
          </w:p>
        </w:tc>
        <w:tc>
          <w:tcPr>
            <w:tcW w:w="1603" w:type="dxa"/>
            <w:vAlign w:val="center"/>
          </w:tcPr>
          <w:p w14:paraId="2A4638E5">
            <w:pPr>
              <w:autoSpaceDE w:val="0"/>
              <w:autoSpaceDN w:val="0"/>
              <w:adjustRightInd w:val="0"/>
              <w:snapToGrid w:val="0"/>
              <w:jc w:val="center"/>
              <w:rPr>
                <w:rFonts w:ascii="Times New Roman" w:hAnsi="Times New Roman" w:eastAsia="仿宋_GB2312" w:cs="Times New Roman"/>
                <w:b/>
                <w:snapToGrid w:val="0"/>
                <w:kern w:val="0"/>
                <w:szCs w:val="21"/>
                <w:lang w:val="zh-CN"/>
              </w:rPr>
            </w:pPr>
            <w:r>
              <w:rPr>
                <w:rFonts w:ascii="Times New Roman" w:hAnsi="Times New Roman" w:eastAsia="仿宋_GB2312" w:cs="Times New Roman"/>
                <w:b/>
                <w:snapToGrid w:val="0"/>
                <w:kern w:val="0"/>
                <w:szCs w:val="21"/>
                <w:lang w:val="zh-CN"/>
              </w:rPr>
              <w:t>指标项</w:t>
            </w:r>
          </w:p>
        </w:tc>
        <w:tc>
          <w:tcPr>
            <w:tcW w:w="940" w:type="dxa"/>
            <w:vAlign w:val="center"/>
          </w:tcPr>
          <w:p w14:paraId="63017577">
            <w:pPr>
              <w:autoSpaceDE w:val="0"/>
              <w:autoSpaceDN w:val="0"/>
              <w:adjustRightInd w:val="0"/>
              <w:snapToGrid w:val="0"/>
              <w:jc w:val="center"/>
              <w:rPr>
                <w:rFonts w:ascii="Times New Roman" w:hAnsi="Times New Roman" w:eastAsia="仿宋_GB2312" w:cs="Times New Roman"/>
                <w:b/>
                <w:snapToGrid w:val="0"/>
                <w:kern w:val="0"/>
                <w:szCs w:val="21"/>
                <w:lang w:val="zh-CN"/>
              </w:rPr>
            </w:pPr>
            <w:r>
              <w:rPr>
                <w:rFonts w:ascii="Times New Roman" w:hAnsi="Times New Roman" w:eastAsia="仿宋_GB2312" w:cs="Times New Roman"/>
                <w:b/>
                <w:snapToGrid w:val="0"/>
                <w:kern w:val="0"/>
                <w:szCs w:val="21"/>
                <w:lang w:val="zh-CN"/>
              </w:rPr>
              <w:t>重要性</w:t>
            </w:r>
          </w:p>
        </w:tc>
        <w:tc>
          <w:tcPr>
            <w:tcW w:w="5237" w:type="dxa"/>
            <w:vAlign w:val="center"/>
          </w:tcPr>
          <w:p w14:paraId="4A0452FC">
            <w:pPr>
              <w:autoSpaceDE w:val="0"/>
              <w:autoSpaceDN w:val="0"/>
              <w:adjustRightInd w:val="0"/>
              <w:snapToGrid w:val="0"/>
              <w:jc w:val="center"/>
              <w:rPr>
                <w:rFonts w:ascii="Times New Roman" w:hAnsi="Times New Roman" w:eastAsia="仿宋_GB2312" w:cs="Times New Roman"/>
                <w:b/>
                <w:snapToGrid w:val="0"/>
                <w:kern w:val="0"/>
                <w:szCs w:val="21"/>
                <w:lang w:val="zh-CN"/>
              </w:rPr>
            </w:pPr>
            <w:r>
              <w:rPr>
                <w:rFonts w:ascii="Times New Roman" w:hAnsi="Times New Roman" w:eastAsia="仿宋_GB2312" w:cs="Times New Roman"/>
                <w:b/>
                <w:snapToGrid w:val="0"/>
                <w:kern w:val="0"/>
                <w:szCs w:val="21"/>
                <w:lang w:val="zh-CN"/>
              </w:rPr>
              <w:t>指标要求</w:t>
            </w:r>
          </w:p>
        </w:tc>
      </w:tr>
      <w:tr w14:paraId="06F6F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92" w:type="dxa"/>
            <w:vAlign w:val="center"/>
          </w:tcPr>
          <w:p w14:paraId="7E36560D">
            <w:pPr>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lang w:val="zh-CN"/>
              </w:rPr>
              <w:t>1</w:t>
            </w:r>
          </w:p>
        </w:tc>
        <w:tc>
          <w:tcPr>
            <w:tcW w:w="1603" w:type="dxa"/>
            <w:vAlign w:val="center"/>
          </w:tcPr>
          <w:p w14:paraId="05903A72">
            <w:pPr>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lang w:val="zh-CN"/>
              </w:rPr>
              <w:t>供货期/服务期/工期</w:t>
            </w:r>
          </w:p>
        </w:tc>
        <w:tc>
          <w:tcPr>
            <w:tcW w:w="940" w:type="dxa"/>
          </w:tcPr>
          <w:p w14:paraId="091ED580">
            <w:pPr>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Segoe UI Symbol" w:hAnsi="Segoe UI Symbol" w:eastAsia="仿宋_GB2312" w:cs="Segoe UI Symbol"/>
                <w:snapToGrid w:val="0"/>
                <w:kern w:val="0"/>
                <w:szCs w:val="21"/>
                <w:lang w:val="zh-CN"/>
              </w:rPr>
              <w:t>★</w:t>
            </w:r>
          </w:p>
        </w:tc>
        <w:tc>
          <w:tcPr>
            <w:tcW w:w="5237" w:type="dxa"/>
          </w:tcPr>
          <w:p w14:paraId="7EF137CF">
            <w:pPr>
              <w:autoSpaceDE w:val="0"/>
              <w:autoSpaceDN w:val="0"/>
              <w:adjustRightInd w:val="0"/>
              <w:snapToGrid w:val="0"/>
              <w:spacing w:line="360" w:lineRule="auto"/>
              <w:jc w:val="left"/>
              <w:rPr>
                <w:rFonts w:ascii="Times New Roman" w:hAnsi="Times New Roman" w:eastAsia="仿宋_GB2312" w:cs="Times New Roman"/>
                <w:iCs/>
                <w:szCs w:val="21"/>
              </w:rPr>
            </w:pPr>
            <w:r>
              <w:rPr>
                <w:rFonts w:ascii="Times New Roman" w:hAnsi="Times New Roman" w:eastAsia="仿宋_GB2312" w:cs="Times New Roman"/>
                <w:szCs w:val="21"/>
              </w:rPr>
              <w:t>合同签订后90天内交货并完成安装调试</w:t>
            </w:r>
          </w:p>
        </w:tc>
      </w:tr>
      <w:tr w14:paraId="7F3CB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4B3F1387">
            <w:pPr>
              <w:autoSpaceDE w:val="0"/>
              <w:autoSpaceDN w:val="0"/>
              <w:adjustRightInd w:val="0"/>
              <w:snapToGrid w:val="0"/>
              <w:jc w:val="center"/>
              <w:rPr>
                <w:rFonts w:ascii="Times New Roman" w:hAnsi="Times New Roman" w:eastAsia="仿宋_GB2312" w:cs="Times New Roman"/>
                <w:snapToGrid w:val="0"/>
                <w:kern w:val="0"/>
                <w:szCs w:val="21"/>
              </w:rPr>
            </w:pPr>
            <w:r>
              <w:rPr>
                <w:rFonts w:ascii="Times New Roman" w:hAnsi="Times New Roman" w:eastAsia="仿宋_GB2312" w:cs="Times New Roman"/>
                <w:snapToGrid w:val="0"/>
                <w:kern w:val="0"/>
                <w:szCs w:val="21"/>
              </w:rPr>
              <w:t>2</w:t>
            </w:r>
          </w:p>
        </w:tc>
        <w:tc>
          <w:tcPr>
            <w:tcW w:w="1603" w:type="dxa"/>
            <w:vAlign w:val="center"/>
          </w:tcPr>
          <w:p w14:paraId="4DDD0C24">
            <w:pPr>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lang w:val="zh-CN"/>
              </w:rPr>
              <w:t>交货/服务/建设地点</w:t>
            </w:r>
          </w:p>
        </w:tc>
        <w:tc>
          <w:tcPr>
            <w:tcW w:w="940" w:type="dxa"/>
            <w:vAlign w:val="center"/>
          </w:tcPr>
          <w:p w14:paraId="3427A2B6">
            <w:pPr>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Segoe UI Symbol" w:hAnsi="Segoe UI Symbol" w:eastAsia="仿宋_GB2312" w:cs="Segoe UI Symbol"/>
                <w:snapToGrid w:val="0"/>
                <w:kern w:val="0"/>
                <w:szCs w:val="21"/>
                <w:lang w:val="zh-CN"/>
              </w:rPr>
              <w:t>★</w:t>
            </w:r>
          </w:p>
        </w:tc>
        <w:tc>
          <w:tcPr>
            <w:tcW w:w="5237" w:type="dxa"/>
            <w:vAlign w:val="center"/>
          </w:tcPr>
          <w:p w14:paraId="6F99ED97">
            <w:pPr>
              <w:autoSpaceDE w:val="0"/>
              <w:autoSpaceDN w:val="0"/>
              <w:adjustRightInd w:val="0"/>
              <w:snapToGrid w:val="0"/>
              <w:spacing w:line="360" w:lineRule="auto"/>
              <w:jc w:val="left"/>
              <w:rPr>
                <w:rFonts w:ascii="Times New Roman" w:hAnsi="Times New Roman" w:eastAsia="仿宋_GB2312" w:cs="Times New Roman"/>
                <w:i/>
                <w:snapToGrid w:val="0"/>
                <w:kern w:val="0"/>
                <w:szCs w:val="21"/>
                <w:lang w:val="zh-CN"/>
              </w:rPr>
            </w:pPr>
            <w:r>
              <w:rPr>
                <w:rFonts w:ascii="Times New Roman" w:hAnsi="Times New Roman" w:eastAsia="仿宋_GB2312" w:cs="Times New Roman"/>
                <w:iCs/>
                <w:snapToGrid w:val="0"/>
                <w:kern w:val="0"/>
                <w:szCs w:val="21"/>
                <w:lang w:val="zh-CN"/>
              </w:rPr>
              <w:t>采购人指定地点。</w:t>
            </w:r>
          </w:p>
        </w:tc>
      </w:tr>
      <w:tr w14:paraId="7AC9C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56AC6F5A">
            <w:pPr>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rPr>
              <w:t>3</w:t>
            </w:r>
          </w:p>
        </w:tc>
        <w:tc>
          <w:tcPr>
            <w:tcW w:w="1603" w:type="dxa"/>
            <w:vAlign w:val="center"/>
          </w:tcPr>
          <w:p w14:paraId="3038B3E0">
            <w:pPr>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lang w:val="zh-CN"/>
              </w:rPr>
              <w:t>质保期</w:t>
            </w:r>
          </w:p>
        </w:tc>
        <w:tc>
          <w:tcPr>
            <w:tcW w:w="940" w:type="dxa"/>
            <w:vAlign w:val="center"/>
          </w:tcPr>
          <w:p w14:paraId="0A596C99">
            <w:pPr>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Segoe UI Symbol" w:hAnsi="Segoe UI Symbol" w:eastAsia="仿宋_GB2312" w:cs="Segoe UI Symbol"/>
                <w:snapToGrid w:val="0"/>
                <w:kern w:val="0"/>
                <w:szCs w:val="21"/>
                <w:lang w:val="zh-CN"/>
              </w:rPr>
              <w:t>★</w:t>
            </w:r>
          </w:p>
        </w:tc>
        <w:tc>
          <w:tcPr>
            <w:tcW w:w="5237" w:type="dxa"/>
            <w:vAlign w:val="center"/>
          </w:tcPr>
          <w:p w14:paraId="23A7E35B">
            <w:pPr>
              <w:autoSpaceDE w:val="0"/>
              <w:autoSpaceDN w:val="0"/>
              <w:adjustRightInd w:val="0"/>
              <w:snapToGrid w:val="0"/>
              <w:spacing w:line="360" w:lineRule="auto"/>
              <w:jc w:val="left"/>
              <w:rPr>
                <w:rFonts w:ascii="Times New Roman" w:hAnsi="Times New Roman" w:eastAsia="仿宋_GB2312" w:cs="Times New Roman"/>
                <w:i/>
                <w:snapToGrid w:val="0"/>
                <w:kern w:val="0"/>
                <w:szCs w:val="21"/>
                <w:lang w:val="zh-CN"/>
              </w:rPr>
            </w:pPr>
            <w:r>
              <w:rPr>
                <w:rFonts w:ascii="Times New Roman" w:hAnsi="Times New Roman" w:eastAsia="仿宋_GB2312" w:cs="Times New Roman"/>
                <w:iCs/>
                <w:snapToGrid w:val="0"/>
                <w:kern w:val="0"/>
                <w:szCs w:val="21"/>
                <w:lang w:val="zh-CN"/>
              </w:rPr>
              <w:t>自验收合格之日起计算</w:t>
            </w:r>
            <w:r>
              <w:rPr>
                <w:rFonts w:ascii="Times New Roman" w:hAnsi="Times New Roman" w:eastAsia="仿宋_GB2312" w:cs="Times New Roman"/>
                <w:iCs/>
                <w:snapToGrid w:val="0"/>
                <w:kern w:val="0"/>
                <w:szCs w:val="21"/>
              </w:rPr>
              <w:t>，</w:t>
            </w:r>
            <w:r>
              <w:rPr>
                <w:rFonts w:ascii="Times New Roman" w:hAnsi="Times New Roman" w:eastAsia="仿宋_GB2312" w:cs="Times New Roman"/>
                <w:iCs/>
                <w:snapToGrid w:val="0"/>
                <w:kern w:val="0"/>
                <w:szCs w:val="21"/>
                <w:lang w:val="zh-CN"/>
              </w:rPr>
              <w:t>所有硬件</w:t>
            </w:r>
            <w:r>
              <w:rPr>
                <w:rFonts w:ascii="Times New Roman" w:hAnsi="Times New Roman" w:eastAsia="仿宋_GB2312" w:cs="Times New Roman"/>
                <w:iCs/>
                <w:snapToGrid w:val="0"/>
                <w:kern w:val="0"/>
                <w:szCs w:val="21"/>
              </w:rPr>
              <w:t>2</w:t>
            </w:r>
            <w:r>
              <w:rPr>
                <w:rFonts w:ascii="Times New Roman" w:hAnsi="Times New Roman" w:eastAsia="仿宋_GB2312" w:cs="Times New Roman"/>
                <w:iCs/>
                <w:snapToGrid w:val="0"/>
                <w:kern w:val="0"/>
                <w:szCs w:val="21"/>
                <w:lang w:val="zh-CN"/>
              </w:rPr>
              <w:t>年免费保修、所有软件</w:t>
            </w:r>
            <w:r>
              <w:rPr>
                <w:rFonts w:ascii="Times New Roman" w:hAnsi="Times New Roman" w:eastAsia="仿宋_GB2312" w:cs="Times New Roman"/>
                <w:iCs/>
                <w:snapToGrid w:val="0"/>
                <w:kern w:val="0"/>
                <w:szCs w:val="21"/>
              </w:rPr>
              <w:t>终身</w:t>
            </w:r>
            <w:r>
              <w:rPr>
                <w:rFonts w:ascii="Times New Roman" w:hAnsi="Times New Roman" w:eastAsia="仿宋_GB2312" w:cs="Times New Roman"/>
                <w:iCs/>
                <w:snapToGrid w:val="0"/>
                <w:kern w:val="0"/>
                <w:szCs w:val="21"/>
                <w:lang w:val="zh-CN"/>
              </w:rPr>
              <w:t>免费升级</w:t>
            </w:r>
            <w:r>
              <w:rPr>
                <w:rFonts w:ascii="Times New Roman" w:hAnsi="Times New Roman" w:eastAsia="仿宋_GB2312" w:cs="Times New Roman"/>
                <w:iCs/>
                <w:snapToGrid w:val="0"/>
                <w:kern w:val="0"/>
                <w:szCs w:val="21"/>
              </w:rPr>
              <w:t>.</w:t>
            </w:r>
          </w:p>
        </w:tc>
      </w:tr>
      <w:tr w14:paraId="3DBA2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2B20EF78">
            <w:pPr>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rPr>
              <w:t>4</w:t>
            </w:r>
          </w:p>
        </w:tc>
        <w:tc>
          <w:tcPr>
            <w:tcW w:w="1603" w:type="dxa"/>
            <w:vAlign w:val="center"/>
          </w:tcPr>
          <w:p w14:paraId="298F9601">
            <w:pPr>
              <w:widowControl/>
              <w:autoSpaceDE w:val="0"/>
              <w:autoSpaceDN w:val="0"/>
              <w:adjustRightInd w:val="0"/>
              <w:snapToGrid w:val="0"/>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lang w:val="zh-CN"/>
              </w:rPr>
              <w:t>包装和运输</w:t>
            </w:r>
          </w:p>
        </w:tc>
        <w:tc>
          <w:tcPr>
            <w:tcW w:w="940" w:type="dxa"/>
          </w:tcPr>
          <w:p w14:paraId="047A5BD0">
            <w:pPr>
              <w:widowControl/>
              <w:autoSpaceDE w:val="0"/>
              <w:autoSpaceDN w:val="0"/>
              <w:adjustRightInd w:val="0"/>
              <w:snapToGrid w:val="0"/>
              <w:rPr>
                <w:rFonts w:ascii="Times New Roman" w:hAnsi="Times New Roman" w:eastAsia="仿宋_GB2312" w:cs="Times New Roman"/>
                <w:snapToGrid w:val="0"/>
                <w:kern w:val="0"/>
                <w:szCs w:val="21"/>
                <w:lang w:val="zh-CN"/>
              </w:rPr>
            </w:pPr>
          </w:p>
        </w:tc>
        <w:tc>
          <w:tcPr>
            <w:tcW w:w="5237" w:type="dxa"/>
          </w:tcPr>
          <w:p w14:paraId="6520FDEC">
            <w:pPr>
              <w:widowControl/>
              <w:autoSpaceDE w:val="0"/>
              <w:autoSpaceDN w:val="0"/>
              <w:adjustRightInd w:val="0"/>
              <w:snapToGrid w:val="0"/>
              <w:jc w:val="left"/>
              <w:rPr>
                <w:rFonts w:ascii="Times New Roman" w:hAnsi="Times New Roman" w:eastAsia="仿宋_GB2312" w:cs="Times New Roman"/>
                <w:snapToGrid w:val="0"/>
                <w:kern w:val="0"/>
                <w:szCs w:val="21"/>
                <w:lang w:val="zh-CN"/>
              </w:rPr>
            </w:pPr>
            <w:r>
              <w:rPr>
                <w:rFonts w:ascii="Times New Roman" w:hAnsi="Times New Roman" w:eastAsia="仿宋_GB2312" w:cs="Times New Roman"/>
                <w:iCs/>
                <w:snapToGrid w:val="0"/>
                <w:kern w:val="0"/>
                <w:szCs w:val="21"/>
                <w:lang w:val="zh-CN"/>
              </w:rPr>
              <w:t>供应商应提供货物（货物需为原厂包装）运至项目现场所需要的包装，以防止设备在运输中损坏或丢失。</w:t>
            </w:r>
          </w:p>
        </w:tc>
      </w:tr>
      <w:tr w14:paraId="2DA97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2A32858C">
            <w:pPr>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rPr>
              <w:t>5</w:t>
            </w:r>
          </w:p>
        </w:tc>
        <w:tc>
          <w:tcPr>
            <w:tcW w:w="1603" w:type="dxa"/>
            <w:vAlign w:val="center"/>
          </w:tcPr>
          <w:p w14:paraId="6F3A1CC8">
            <w:pPr>
              <w:widowControl/>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lang w:val="zh-CN"/>
              </w:rPr>
              <w:t>服务标准/</w:t>
            </w:r>
          </w:p>
          <w:p w14:paraId="236F0517">
            <w:pPr>
              <w:widowControl/>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lang w:val="zh-CN"/>
              </w:rPr>
              <w:t>售后服务要求</w:t>
            </w:r>
          </w:p>
        </w:tc>
        <w:tc>
          <w:tcPr>
            <w:tcW w:w="940" w:type="dxa"/>
          </w:tcPr>
          <w:p w14:paraId="75231480">
            <w:pPr>
              <w:widowControl/>
              <w:autoSpaceDE w:val="0"/>
              <w:autoSpaceDN w:val="0"/>
              <w:adjustRightInd w:val="0"/>
              <w:snapToGrid w:val="0"/>
              <w:jc w:val="center"/>
              <w:rPr>
                <w:rFonts w:ascii="Times New Roman" w:hAnsi="Times New Roman" w:eastAsia="仿宋_GB2312" w:cs="Times New Roman"/>
                <w:snapToGrid w:val="0"/>
                <w:kern w:val="0"/>
                <w:szCs w:val="21"/>
                <w:lang w:val="zh-CN"/>
              </w:rPr>
            </w:pPr>
          </w:p>
        </w:tc>
        <w:tc>
          <w:tcPr>
            <w:tcW w:w="5237" w:type="dxa"/>
          </w:tcPr>
          <w:p w14:paraId="5DD667D6">
            <w:pPr>
              <w:widowControl/>
              <w:autoSpaceDE w:val="0"/>
              <w:autoSpaceDN w:val="0"/>
              <w:adjustRightInd w:val="0"/>
              <w:snapToGrid w:val="0"/>
              <w:rPr>
                <w:rFonts w:ascii="Times New Roman" w:hAnsi="Times New Roman" w:eastAsia="仿宋_GB2312" w:cs="Times New Roman"/>
                <w:iCs/>
                <w:snapToGrid w:val="0"/>
                <w:kern w:val="0"/>
                <w:szCs w:val="21"/>
                <w:lang w:val="zh-CN"/>
              </w:rPr>
            </w:pPr>
            <w:r>
              <w:rPr>
                <w:rFonts w:ascii="Times New Roman" w:hAnsi="Times New Roman" w:eastAsia="仿宋_GB2312" w:cs="Times New Roman"/>
                <w:iCs/>
                <w:snapToGrid w:val="0"/>
                <w:kern w:val="0"/>
                <w:szCs w:val="21"/>
                <w:lang w:val="zh-CN"/>
              </w:rPr>
              <w:t>电话报修后</w:t>
            </w:r>
            <w:r>
              <w:rPr>
                <w:rFonts w:ascii="Times New Roman" w:hAnsi="Times New Roman" w:eastAsia="仿宋_GB2312" w:cs="Times New Roman"/>
                <w:iCs/>
                <w:snapToGrid w:val="0"/>
                <w:kern w:val="0"/>
                <w:szCs w:val="21"/>
              </w:rPr>
              <w:t>48</w:t>
            </w:r>
            <w:r>
              <w:rPr>
                <w:rFonts w:ascii="Times New Roman" w:hAnsi="Times New Roman" w:eastAsia="仿宋_GB2312" w:cs="Times New Roman"/>
                <w:iCs/>
                <w:snapToGrid w:val="0"/>
                <w:kern w:val="0"/>
                <w:szCs w:val="21"/>
                <w:lang w:val="zh-CN"/>
              </w:rPr>
              <w:t>小时上门服务、</w:t>
            </w:r>
            <w:r>
              <w:rPr>
                <w:rFonts w:ascii="Times New Roman" w:hAnsi="Times New Roman" w:eastAsia="仿宋_GB2312" w:cs="Times New Roman"/>
                <w:iCs/>
                <w:snapToGrid w:val="0"/>
                <w:kern w:val="0"/>
                <w:szCs w:val="21"/>
              </w:rPr>
              <w:t>72</w:t>
            </w:r>
            <w:r>
              <w:rPr>
                <w:rFonts w:ascii="Times New Roman" w:hAnsi="Times New Roman" w:eastAsia="仿宋_GB2312" w:cs="Times New Roman"/>
                <w:iCs/>
                <w:snapToGrid w:val="0"/>
                <w:kern w:val="0"/>
                <w:szCs w:val="21"/>
                <w:lang w:val="zh-CN"/>
              </w:rPr>
              <w:t>小时内排除故障</w:t>
            </w:r>
            <w:r>
              <w:rPr>
                <w:rFonts w:ascii="Times New Roman" w:hAnsi="Times New Roman" w:eastAsia="仿宋_GB2312" w:cs="Times New Roman"/>
                <w:iCs/>
                <w:snapToGrid w:val="0"/>
                <w:kern w:val="0"/>
                <w:szCs w:val="21"/>
              </w:rPr>
              <w:t>或找到解决方案</w:t>
            </w:r>
            <w:r>
              <w:rPr>
                <w:rFonts w:ascii="Times New Roman" w:hAnsi="Times New Roman" w:eastAsia="仿宋_GB2312" w:cs="Times New Roman"/>
                <w:iCs/>
                <w:snapToGrid w:val="0"/>
                <w:kern w:val="0"/>
                <w:szCs w:val="21"/>
                <w:lang w:val="zh-CN"/>
              </w:rPr>
              <w:t>。</w:t>
            </w:r>
          </w:p>
          <w:p w14:paraId="785345CB">
            <w:pPr>
              <w:widowControl/>
              <w:autoSpaceDE w:val="0"/>
              <w:autoSpaceDN w:val="0"/>
              <w:adjustRightInd w:val="0"/>
              <w:snapToGrid w:val="0"/>
              <w:rPr>
                <w:rFonts w:ascii="Times New Roman" w:hAnsi="Times New Roman" w:eastAsia="仿宋_GB2312" w:cs="Times New Roman"/>
                <w:iCs/>
                <w:snapToGrid w:val="0"/>
                <w:kern w:val="0"/>
                <w:szCs w:val="21"/>
                <w:lang w:val="zh-CN"/>
              </w:rPr>
            </w:pPr>
            <w:r>
              <w:rPr>
                <w:rFonts w:ascii="Times New Roman" w:hAnsi="Times New Roman" w:eastAsia="仿宋_GB2312" w:cs="Times New Roman"/>
                <w:iCs/>
                <w:snapToGrid w:val="0"/>
                <w:kern w:val="0"/>
                <w:szCs w:val="21"/>
                <w:lang w:val="zh-CN"/>
              </w:rPr>
              <w:t>所有硬件过免费保修期后、所有软件过免费保修升级期后继续提供技术支持，硬件优惠收取配件费用（参考投标所列价格或合同签订时的价格进行折扣优惠），软件优惠进行维修升级，响应速度同保修期响应速度。</w:t>
            </w:r>
          </w:p>
        </w:tc>
      </w:tr>
      <w:tr w14:paraId="5F69B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5A8D03A0">
            <w:pPr>
              <w:autoSpaceDE w:val="0"/>
              <w:autoSpaceDN w:val="0"/>
              <w:adjustRightInd w:val="0"/>
              <w:snapToGrid w:val="0"/>
              <w:jc w:val="center"/>
              <w:rPr>
                <w:rFonts w:ascii="Times New Roman" w:hAnsi="Times New Roman" w:eastAsia="仿宋_GB2312" w:cs="Times New Roman"/>
                <w:snapToGrid w:val="0"/>
                <w:kern w:val="0"/>
                <w:szCs w:val="21"/>
              </w:rPr>
            </w:pPr>
            <w:r>
              <w:rPr>
                <w:rFonts w:ascii="Times New Roman" w:hAnsi="Times New Roman" w:eastAsia="仿宋_GB2312" w:cs="Times New Roman"/>
                <w:snapToGrid w:val="0"/>
                <w:kern w:val="0"/>
                <w:szCs w:val="21"/>
              </w:rPr>
              <w:t>6</w:t>
            </w:r>
          </w:p>
        </w:tc>
        <w:tc>
          <w:tcPr>
            <w:tcW w:w="1603" w:type="dxa"/>
            <w:vAlign w:val="center"/>
          </w:tcPr>
          <w:p w14:paraId="6ED0FED1">
            <w:pPr>
              <w:widowControl/>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lang w:val="zh-CN"/>
              </w:rPr>
              <w:t>安装调试</w:t>
            </w:r>
          </w:p>
        </w:tc>
        <w:tc>
          <w:tcPr>
            <w:tcW w:w="940" w:type="dxa"/>
          </w:tcPr>
          <w:p w14:paraId="62CC9521">
            <w:pPr>
              <w:widowControl/>
              <w:autoSpaceDE w:val="0"/>
              <w:autoSpaceDN w:val="0"/>
              <w:adjustRightInd w:val="0"/>
              <w:snapToGrid w:val="0"/>
              <w:jc w:val="center"/>
              <w:rPr>
                <w:rFonts w:ascii="Times New Roman" w:hAnsi="Times New Roman" w:eastAsia="仿宋_GB2312" w:cs="Times New Roman"/>
                <w:snapToGrid w:val="0"/>
                <w:kern w:val="0"/>
                <w:szCs w:val="21"/>
                <w:lang w:val="zh-CN"/>
              </w:rPr>
            </w:pPr>
          </w:p>
        </w:tc>
        <w:tc>
          <w:tcPr>
            <w:tcW w:w="5237" w:type="dxa"/>
            <w:vAlign w:val="center"/>
          </w:tcPr>
          <w:p w14:paraId="5D8200E8">
            <w:pPr>
              <w:widowControl/>
              <w:autoSpaceDE w:val="0"/>
              <w:autoSpaceDN w:val="0"/>
              <w:adjustRightInd w:val="0"/>
              <w:snapToGrid w:val="0"/>
              <w:rPr>
                <w:rFonts w:ascii="Times New Roman" w:hAnsi="Times New Roman" w:eastAsia="仿宋_GB2312" w:cs="Times New Roman"/>
                <w:i/>
                <w:snapToGrid w:val="0"/>
                <w:kern w:val="0"/>
                <w:szCs w:val="21"/>
                <w:lang w:val="zh-CN"/>
              </w:rPr>
            </w:pPr>
            <w:r>
              <w:rPr>
                <w:rFonts w:ascii="Times New Roman" w:hAnsi="Times New Roman" w:eastAsia="仿宋_GB2312" w:cs="Times New Roman"/>
                <w:iCs/>
                <w:snapToGrid w:val="0"/>
                <w:kern w:val="0"/>
                <w:szCs w:val="21"/>
                <w:lang w:val="zh-CN"/>
              </w:rPr>
              <w:t>安装和调试过程中需要的专用器具和其他物资由供应商负责，采购人负责相应的现场协调等方面的协调配合工作。安装与调试所产生费用由供应商承担。</w:t>
            </w:r>
          </w:p>
        </w:tc>
      </w:tr>
      <w:tr w14:paraId="31CC9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7492DE06">
            <w:pPr>
              <w:autoSpaceDE w:val="0"/>
              <w:autoSpaceDN w:val="0"/>
              <w:adjustRightInd w:val="0"/>
              <w:snapToGrid w:val="0"/>
              <w:jc w:val="center"/>
              <w:rPr>
                <w:rFonts w:ascii="Times New Roman" w:hAnsi="Times New Roman" w:eastAsia="仿宋_GB2312" w:cs="Times New Roman"/>
                <w:snapToGrid w:val="0"/>
                <w:kern w:val="0"/>
                <w:szCs w:val="21"/>
              </w:rPr>
            </w:pPr>
            <w:r>
              <w:rPr>
                <w:rFonts w:ascii="Times New Roman" w:hAnsi="Times New Roman" w:eastAsia="仿宋_GB2312" w:cs="Times New Roman"/>
                <w:snapToGrid w:val="0"/>
                <w:kern w:val="0"/>
                <w:szCs w:val="21"/>
              </w:rPr>
              <w:t>7</w:t>
            </w:r>
          </w:p>
        </w:tc>
        <w:tc>
          <w:tcPr>
            <w:tcW w:w="1603" w:type="dxa"/>
            <w:vAlign w:val="center"/>
          </w:tcPr>
          <w:p w14:paraId="415C7215">
            <w:pPr>
              <w:widowControl/>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lang w:val="zh-CN"/>
              </w:rPr>
              <w:t>培训要求</w:t>
            </w:r>
          </w:p>
        </w:tc>
        <w:tc>
          <w:tcPr>
            <w:tcW w:w="940" w:type="dxa"/>
          </w:tcPr>
          <w:p w14:paraId="12916AAB">
            <w:pPr>
              <w:widowControl/>
              <w:autoSpaceDE w:val="0"/>
              <w:autoSpaceDN w:val="0"/>
              <w:adjustRightInd w:val="0"/>
              <w:snapToGrid w:val="0"/>
              <w:jc w:val="center"/>
              <w:rPr>
                <w:rFonts w:ascii="Times New Roman" w:hAnsi="Times New Roman" w:eastAsia="仿宋_GB2312" w:cs="Times New Roman"/>
                <w:snapToGrid w:val="0"/>
                <w:kern w:val="0"/>
                <w:szCs w:val="21"/>
                <w:lang w:val="zh-CN"/>
              </w:rPr>
            </w:pPr>
          </w:p>
        </w:tc>
        <w:tc>
          <w:tcPr>
            <w:tcW w:w="5237" w:type="dxa"/>
            <w:vAlign w:val="center"/>
          </w:tcPr>
          <w:p w14:paraId="6FB5F032">
            <w:pPr>
              <w:widowControl/>
              <w:autoSpaceDE w:val="0"/>
              <w:autoSpaceDN w:val="0"/>
              <w:adjustRightInd w:val="0"/>
              <w:snapToGrid w:val="0"/>
              <w:rPr>
                <w:rFonts w:ascii="Times New Roman" w:hAnsi="Times New Roman" w:eastAsia="仿宋_GB2312" w:cs="Times New Roman"/>
                <w:i/>
                <w:snapToGrid w:val="0"/>
                <w:kern w:val="0"/>
                <w:szCs w:val="21"/>
                <w:lang w:val="zh-CN"/>
              </w:rPr>
            </w:pPr>
            <w:r>
              <w:rPr>
                <w:rFonts w:ascii="Times New Roman" w:hAnsi="Times New Roman" w:eastAsia="仿宋_GB2312" w:cs="Times New Roman"/>
                <w:iCs/>
                <w:snapToGrid w:val="0"/>
                <w:kern w:val="0"/>
                <w:szCs w:val="21"/>
                <w:lang w:val="zh-CN"/>
              </w:rPr>
              <w:t>提供2天以上现场培训，交通等与培训相关的费用均由成交供应商承担。</w:t>
            </w:r>
          </w:p>
        </w:tc>
      </w:tr>
      <w:tr w14:paraId="6B058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10170E44">
            <w:pPr>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rPr>
              <w:t>8</w:t>
            </w:r>
          </w:p>
        </w:tc>
        <w:tc>
          <w:tcPr>
            <w:tcW w:w="1603" w:type="dxa"/>
            <w:vAlign w:val="center"/>
          </w:tcPr>
          <w:p w14:paraId="5F8B0771">
            <w:pPr>
              <w:widowControl/>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lang w:val="zh-CN"/>
              </w:rPr>
              <w:t>验收标准</w:t>
            </w:r>
          </w:p>
        </w:tc>
        <w:tc>
          <w:tcPr>
            <w:tcW w:w="940" w:type="dxa"/>
          </w:tcPr>
          <w:p w14:paraId="73A9517D">
            <w:pPr>
              <w:widowControl/>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Segoe UI Symbol" w:hAnsi="Segoe UI Symbol" w:eastAsia="仿宋_GB2312" w:cs="Segoe UI Symbol"/>
                <w:snapToGrid w:val="0"/>
                <w:kern w:val="0"/>
                <w:szCs w:val="21"/>
                <w:lang w:val="zh-CN"/>
              </w:rPr>
              <w:t>★</w:t>
            </w:r>
          </w:p>
        </w:tc>
        <w:tc>
          <w:tcPr>
            <w:tcW w:w="5237" w:type="dxa"/>
          </w:tcPr>
          <w:p w14:paraId="41A827A3">
            <w:pPr>
              <w:widowControl/>
              <w:autoSpaceDE w:val="0"/>
              <w:autoSpaceDN w:val="0"/>
              <w:adjustRightInd w:val="0"/>
              <w:snapToGrid w:val="0"/>
              <w:jc w:val="left"/>
              <w:rPr>
                <w:rFonts w:ascii="Times New Roman" w:hAnsi="Times New Roman" w:eastAsia="仿宋_GB2312" w:cs="Times New Roman"/>
                <w:snapToGrid w:val="0"/>
                <w:kern w:val="0"/>
                <w:szCs w:val="21"/>
                <w:lang w:val="zh-CN"/>
              </w:rPr>
            </w:pPr>
            <w:r>
              <w:rPr>
                <w:rFonts w:ascii="Times New Roman" w:hAnsi="Times New Roman" w:eastAsia="仿宋_GB2312" w:cs="Times New Roman"/>
                <w:iCs/>
                <w:snapToGrid w:val="0"/>
                <w:kern w:val="0"/>
                <w:szCs w:val="21"/>
                <w:lang w:val="zh-CN"/>
              </w:rPr>
              <w:t>按照供应商响应文件及采购文件确定的技术和服务指标进行验收。</w:t>
            </w:r>
          </w:p>
        </w:tc>
      </w:tr>
      <w:tr w14:paraId="48635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4D6DB84E">
            <w:pPr>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rPr>
              <w:t>9</w:t>
            </w:r>
          </w:p>
        </w:tc>
        <w:tc>
          <w:tcPr>
            <w:tcW w:w="1603" w:type="dxa"/>
            <w:vAlign w:val="center"/>
          </w:tcPr>
          <w:p w14:paraId="05446FF7">
            <w:pPr>
              <w:widowControl/>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lang w:val="zh-CN"/>
              </w:rPr>
              <w:t>付款方式</w:t>
            </w:r>
          </w:p>
        </w:tc>
        <w:tc>
          <w:tcPr>
            <w:tcW w:w="940" w:type="dxa"/>
          </w:tcPr>
          <w:p w14:paraId="2D88123A">
            <w:pPr>
              <w:widowControl/>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Segoe UI Symbol" w:hAnsi="Segoe UI Symbol" w:eastAsia="仿宋_GB2312" w:cs="Segoe UI Symbol"/>
                <w:snapToGrid w:val="0"/>
                <w:kern w:val="0"/>
                <w:szCs w:val="21"/>
                <w:lang w:val="zh-CN"/>
              </w:rPr>
              <w:t>★</w:t>
            </w:r>
          </w:p>
        </w:tc>
        <w:tc>
          <w:tcPr>
            <w:tcW w:w="5237" w:type="dxa"/>
            <w:vAlign w:val="center"/>
          </w:tcPr>
          <w:p w14:paraId="582FF716">
            <w:pPr>
              <w:widowControl/>
              <w:autoSpaceDE w:val="0"/>
              <w:autoSpaceDN w:val="0"/>
              <w:adjustRightInd w:val="0"/>
              <w:snapToGrid w:val="0"/>
              <w:rPr>
                <w:rFonts w:ascii="Times New Roman" w:hAnsi="Times New Roman" w:eastAsia="仿宋_GB2312" w:cs="Times New Roman"/>
                <w:iCs/>
                <w:snapToGrid w:val="0"/>
                <w:kern w:val="0"/>
                <w:szCs w:val="21"/>
                <w:lang w:val="zh-CN"/>
              </w:rPr>
            </w:pPr>
            <w:r>
              <w:rPr>
                <w:rFonts w:ascii="Times New Roman" w:hAnsi="Times New Roman" w:eastAsia="仿宋_GB2312" w:cs="Times New Roman"/>
                <w:iCs/>
                <w:snapToGrid w:val="0"/>
                <w:kern w:val="0"/>
                <w:szCs w:val="21"/>
                <w:lang w:val="zh-CN"/>
              </w:rPr>
              <w:t>仪器设备安装调试到位并验收合格后，支付至合同总金额的95%，余款在运行一年无质量问题后一次性付清。</w:t>
            </w:r>
          </w:p>
          <w:p w14:paraId="4326F3CA">
            <w:pPr>
              <w:widowControl/>
              <w:autoSpaceDE w:val="0"/>
              <w:autoSpaceDN w:val="0"/>
              <w:adjustRightInd w:val="0"/>
              <w:snapToGrid w:val="0"/>
              <w:rPr>
                <w:rFonts w:ascii="Times New Roman" w:hAnsi="Times New Roman" w:eastAsia="仿宋_GB2312" w:cs="Times New Roman"/>
                <w:snapToGrid w:val="0"/>
                <w:kern w:val="0"/>
                <w:szCs w:val="21"/>
                <w:lang w:val="zh-CN"/>
              </w:rPr>
            </w:pPr>
            <w:r>
              <w:rPr>
                <w:rFonts w:ascii="Times New Roman" w:hAnsi="Times New Roman" w:eastAsia="仿宋_GB2312" w:cs="Times New Roman"/>
                <w:iCs/>
                <w:snapToGrid w:val="0"/>
                <w:kern w:val="0"/>
                <w:szCs w:val="21"/>
                <w:lang w:val="zh-CN"/>
              </w:rPr>
              <w:t>若中标人为中小企业，将落实《保障中小企业款项支付条例》。</w:t>
            </w:r>
          </w:p>
        </w:tc>
      </w:tr>
      <w:tr w14:paraId="7F76F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26D9FB74">
            <w:pPr>
              <w:autoSpaceDE w:val="0"/>
              <w:autoSpaceDN w:val="0"/>
              <w:adjustRightInd w:val="0"/>
              <w:snapToGrid w:val="0"/>
              <w:jc w:val="center"/>
              <w:rPr>
                <w:rFonts w:ascii="Times New Roman" w:hAnsi="Times New Roman" w:eastAsia="仿宋_GB2312" w:cs="Times New Roman"/>
                <w:snapToGrid w:val="0"/>
                <w:kern w:val="0"/>
                <w:szCs w:val="21"/>
              </w:rPr>
            </w:pPr>
            <w:r>
              <w:rPr>
                <w:rFonts w:ascii="Times New Roman" w:hAnsi="Times New Roman" w:eastAsia="仿宋_GB2312" w:cs="Times New Roman"/>
                <w:snapToGrid w:val="0"/>
                <w:kern w:val="0"/>
                <w:szCs w:val="21"/>
              </w:rPr>
              <w:t>10</w:t>
            </w:r>
          </w:p>
        </w:tc>
        <w:tc>
          <w:tcPr>
            <w:tcW w:w="1603" w:type="dxa"/>
            <w:vAlign w:val="center"/>
          </w:tcPr>
          <w:p w14:paraId="13904B10">
            <w:pPr>
              <w:widowControl/>
              <w:autoSpaceDE w:val="0"/>
              <w:autoSpaceDN w:val="0"/>
              <w:adjustRightInd w:val="0"/>
              <w:snapToGrid w:val="0"/>
              <w:jc w:val="center"/>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rPr>
              <w:t>备品备件</w:t>
            </w:r>
          </w:p>
        </w:tc>
        <w:tc>
          <w:tcPr>
            <w:tcW w:w="940" w:type="dxa"/>
          </w:tcPr>
          <w:p w14:paraId="219C67F3">
            <w:pPr>
              <w:widowControl/>
              <w:autoSpaceDE w:val="0"/>
              <w:autoSpaceDN w:val="0"/>
              <w:adjustRightInd w:val="0"/>
              <w:snapToGrid w:val="0"/>
              <w:jc w:val="center"/>
              <w:rPr>
                <w:rFonts w:ascii="Times New Roman" w:hAnsi="Times New Roman" w:eastAsia="仿宋_GB2312" w:cs="Times New Roman"/>
                <w:snapToGrid w:val="0"/>
                <w:kern w:val="0"/>
                <w:szCs w:val="21"/>
                <w:lang w:val="zh-CN"/>
              </w:rPr>
            </w:pPr>
          </w:p>
        </w:tc>
        <w:tc>
          <w:tcPr>
            <w:tcW w:w="5237" w:type="dxa"/>
          </w:tcPr>
          <w:p w14:paraId="084CA587">
            <w:pPr>
              <w:widowControl/>
              <w:autoSpaceDE w:val="0"/>
              <w:autoSpaceDN w:val="0"/>
              <w:adjustRightInd w:val="0"/>
              <w:snapToGrid w:val="0"/>
              <w:spacing w:line="360" w:lineRule="auto"/>
              <w:jc w:val="left"/>
              <w:rPr>
                <w:rFonts w:ascii="Times New Roman" w:hAnsi="Times New Roman" w:eastAsia="仿宋_GB2312" w:cs="Times New Roman"/>
                <w:snapToGrid w:val="0"/>
                <w:kern w:val="0"/>
                <w:szCs w:val="21"/>
                <w:lang w:val="zh-CN"/>
              </w:rPr>
            </w:pPr>
            <w:r>
              <w:rPr>
                <w:rFonts w:ascii="Times New Roman" w:hAnsi="Times New Roman" w:eastAsia="仿宋_GB2312" w:cs="Times New Roman"/>
                <w:snapToGrid w:val="0"/>
                <w:kern w:val="0"/>
                <w:szCs w:val="21"/>
              </w:rPr>
              <w:t>质保期外提供全生命周期备件供应保障（承诺供应周期≥10年），常用备件需在用户提出需求后7个工作日内到货；提供备件价格清单，确保价格不高于市场同期水平。</w:t>
            </w:r>
          </w:p>
        </w:tc>
      </w:tr>
    </w:tbl>
    <w:p w14:paraId="101A568B">
      <w:pPr>
        <w:widowControl/>
        <w:ind w:firstLine="643" w:firstLineChars="200"/>
        <w:jc w:val="left"/>
        <w:rPr>
          <w:rFonts w:ascii="Times New Roman" w:hAnsi="Times New Roman" w:eastAsia="仿宋_GB2312" w:cs="Times New Roman"/>
          <w:b/>
          <w:color w:val="000000"/>
          <w:kern w:val="0"/>
          <w:sz w:val="32"/>
          <w:szCs w:val="28"/>
          <w:shd w:val="clear" w:color="auto" w:fill="FFFFFF"/>
        </w:rPr>
      </w:pPr>
      <w:r>
        <w:rPr>
          <w:rFonts w:ascii="Times New Roman" w:hAnsi="Times New Roman" w:eastAsia="仿宋_GB2312" w:cs="Times New Roman"/>
          <w:b/>
          <w:color w:val="000000"/>
          <w:kern w:val="0"/>
          <w:sz w:val="32"/>
          <w:szCs w:val="28"/>
          <w:shd w:val="clear" w:color="auto" w:fill="FFFFFF"/>
        </w:rPr>
        <w:t>五、实现的政府采购政策目标</w:t>
      </w:r>
    </w:p>
    <w:p w14:paraId="5D76DB2D">
      <w:pPr>
        <w:spacing w:line="360" w:lineRule="auto"/>
        <w:ind w:firstLine="493"/>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本项目须落实节约能源、保护环境、促进中小企业发展、支持创新等政府采购政策。</w:t>
      </w:r>
    </w:p>
    <w:p w14:paraId="61DCE16F">
      <w:pPr>
        <w:spacing w:line="360" w:lineRule="auto"/>
        <w:ind w:firstLine="493"/>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（二）本项目为：</w:t>
      </w:r>
    </w:p>
    <w:p w14:paraId="71C14AD8">
      <w:pPr>
        <w:spacing w:line="360" w:lineRule="auto"/>
        <w:ind w:firstLine="493"/>
        <w:jc w:val="left"/>
        <w:rPr>
          <w:rFonts w:ascii="Times New Roman" w:hAnsi="Times New Roman" w:eastAsia="仿宋_GB2312" w:cs="Times New Roman"/>
          <w:sz w:val="24"/>
          <w:szCs w:val="24"/>
        </w:rPr>
      </w:pPr>
      <w:r>
        <w:rPr>
          <w:rFonts w:ascii="Times New Roman" w:hAnsi="Times New Roman" w:eastAsia="仿宋_GB2312" w:cs="Times New Roman"/>
          <w:sz w:val="24"/>
          <w:szCs w:val="24"/>
        </w:rPr>
        <w:t>□专门面向中小企业采购项目</w:t>
      </w:r>
    </w:p>
    <w:p w14:paraId="1F613369">
      <w:pPr>
        <w:spacing w:line="360" w:lineRule="auto"/>
        <w:ind w:firstLine="493"/>
        <w:jc w:val="left"/>
        <w:rPr>
          <w:rFonts w:ascii="Times New Roman" w:hAnsi="Times New Roman" w:eastAsia="仿宋_GB2312" w:cs="Times New Roman"/>
          <w:i/>
          <w:sz w:val="24"/>
          <w:szCs w:val="24"/>
        </w:rPr>
      </w:pPr>
      <w:r>
        <w:rPr>
          <w:rFonts w:ascii="Times New Roman" w:hAnsi="Times New Roman" w:eastAsia="仿宋_GB2312" w:cs="Times New Roman"/>
          <w:sz w:val="24"/>
          <w:szCs w:val="24"/>
        </w:rPr>
        <w:t>□预留该部分采购项目预算总额的40%以上专门面向中小企业</w:t>
      </w:r>
      <w:r>
        <w:rPr>
          <w:rFonts w:ascii="Times New Roman" w:hAnsi="Times New Roman" w:eastAsia="仿宋_GB2312" w:cs="Times New Roman"/>
          <w:i/>
          <w:sz w:val="24"/>
          <w:szCs w:val="24"/>
        </w:rPr>
        <w:t>（建设项目）</w:t>
      </w:r>
    </w:p>
    <w:p w14:paraId="6EFE0F32">
      <w:pPr>
        <w:spacing w:line="360" w:lineRule="auto"/>
        <w:ind w:firstLine="493"/>
        <w:jc w:val="left"/>
        <w:rPr>
          <w:rFonts w:ascii="Times New Roman" w:hAnsi="Times New Roman" w:eastAsia="仿宋_GB2312" w:cs="Times New Roman"/>
          <w:sz w:val="24"/>
          <w:szCs w:val="24"/>
        </w:rPr>
      </w:pPr>
      <w:r>
        <w:rPr>
          <w:rFonts w:ascii="Segoe UI Symbol" w:hAnsi="Segoe UI Symbol" w:eastAsia="仿宋_GB2312" w:cs="Segoe UI Symbol"/>
          <w:sz w:val="24"/>
          <w:szCs w:val="24"/>
        </w:rPr>
        <w:t>☑</w:t>
      </w:r>
      <w:r>
        <w:rPr>
          <w:rFonts w:ascii="Times New Roman" w:hAnsi="Times New Roman" w:eastAsia="仿宋_GB2312" w:cs="Times New Roman"/>
          <w:sz w:val="24"/>
          <w:szCs w:val="24"/>
        </w:rPr>
        <w:t>非专门面向中小企业采购项目</w:t>
      </w:r>
    </w:p>
    <w:p w14:paraId="2399D904">
      <w:pPr>
        <w:spacing w:line="360" w:lineRule="auto"/>
        <w:ind w:firstLine="493"/>
        <w:jc w:val="left"/>
        <w:rPr>
          <w:rFonts w:ascii="Times New Roman" w:hAnsi="Times New Roman" w:eastAsia="仿宋_GB2312" w:cs="Times New Roman"/>
          <w:sz w:val="24"/>
          <w:szCs w:val="24"/>
          <w:u w:val="single"/>
        </w:rPr>
      </w:pPr>
      <w:r>
        <w:rPr>
          <w:rFonts w:ascii="Times New Roman" w:hAnsi="Times New Roman" w:eastAsia="仿宋_GB2312" w:cs="Times New Roman"/>
          <w:sz w:val="24"/>
          <w:szCs w:val="24"/>
        </w:rPr>
        <w:t xml:space="preserve">（三）按中小企业划分标准所属行业： </w:t>
      </w:r>
      <w:r>
        <w:rPr>
          <w:rFonts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lang w:val="en-US" w:eastAsia="zh-CN"/>
        </w:rPr>
        <w:t>工业</w:t>
      </w:r>
      <w:bookmarkStart w:id="24" w:name="_GoBack"/>
      <w:bookmarkEnd w:id="24"/>
      <w:r>
        <w:rPr>
          <w:rFonts w:ascii="Times New Roman" w:hAnsi="Times New Roman" w:eastAsia="仿宋_GB2312" w:cs="Times New Roman"/>
          <w:sz w:val="24"/>
          <w:szCs w:val="24"/>
          <w:u w:val="single"/>
        </w:rPr>
        <w:t xml:space="preserve"> </w:t>
      </w:r>
      <w:r>
        <w:rPr>
          <w:rFonts w:ascii="Times New Roman" w:hAnsi="Times New Roman" w:eastAsia="仿宋_GB2312" w:cs="Times New Roman"/>
          <w:sz w:val="24"/>
          <w:szCs w:val="24"/>
        </w:rPr>
        <w:t xml:space="preserve">    </w:t>
      </w:r>
    </w:p>
    <w:p w14:paraId="60273F00">
      <w:pPr>
        <w:spacing w:line="360" w:lineRule="auto"/>
        <w:jc w:val="left"/>
        <w:rPr>
          <w:rFonts w:hint="eastAsia" w:ascii="仿宋_GB2312" w:hAnsi="宋体" w:eastAsia="仿宋_GB2312"/>
          <w:sz w:val="24"/>
          <w:szCs w:val="24"/>
        </w:rPr>
      </w:pPr>
    </w:p>
    <w:p w14:paraId="5CA8C6F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CFA0509F-68E0-403B-8B9C-7E2EB7CD8103}"/>
  </w:font>
  <w:font w:name="Calibri Light">
    <w:panose1 w:val="020F03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embedRegular r:id="rId2" w:fontKey="{08B2F9EA-A306-4F8A-AF23-BD88DA0B6E4B}"/>
  </w:font>
  <w:font w:name="微软雅黑">
    <w:panose1 w:val="020B0503020204020204"/>
    <w:charset w:val="86"/>
    <w:family w:val="auto"/>
    <w:pitch w:val="default"/>
    <w:sig w:usb0="80000287" w:usb1="2ACF3C50" w:usb2="00000016" w:usb3="00000000" w:csb0="0004001F" w:csb1="00000000"/>
  </w:font>
  <w:font w:name="方正小标宋简体">
    <w:panose1 w:val="02010600010101010101"/>
    <w:charset w:val="86"/>
    <w:family w:val="script"/>
    <w:pitch w:val="default"/>
    <w:sig w:usb0="00000001" w:usb1="080E0000" w:usb2="00000000" w:usb3="00000000" w:csb0="00040000" w:csb1="00000000"/>
    <w:embedRegular r:id="rId3" w:fontKey="{F1EE81A7-2E4A-4182-86C8-ED74EA839F71}"/>
  </w:font>
  <w:font w:name="仿宋">
    <w:panose1 w:val="02010609060101010101"/>
    <w:charset w:val="86"/>
    <w:family w:val="modern"/>
    <w:pitch w:val="default"/>
    <w:sig w:usb0="800002BF" w:usb1="38CF7CFA" w:usb2="00000016" w:usb3="00000000" w:csb0="00040001" w:csb1="00000000"/>
    <w:embedRegular r:id="rId4" w:fontKey="{10EAE5BC-E4F1-478A-A4DC-456B7E040314}"/>
  </w:font>
  <w:font w:name="Cambria">
    <w:panose1 w:val="02040503050406030204"/>
    <w:charset w:val="00"/>
    <w:family w:val="roman"/>
    <w:pitch w:val="default"/>
    <w:sig w:usb0="E00006FF" w:usb1="420024FF" w:usb2="02000000" w:usb3="00000000" w:csb0="2000019F" w:csb1="00000000"/>
    <w:embedRegular r:id="rId5" w:fontKey="{4D655ED9-3B80-4B1F-B032-CAE46A8275A4}"/>
  </w:font>
  <w:font w:name="Arial">
    <w:panose1 w:val="020B0604020202020204"/>
    <w:charset w:val="00"/>
    <w:family w:val="swiss"/>
    <w:pitch w:val="default"/>
    <w:sig w:usb0="E0002EFF" w:usb1="C000785B" w:usb2="00000009" w:usb3="00000000" w:csb0="400001FF" w:csb1="FFFF0000"/>
    <w:embedRegular r:id="rId6" w:fontKey="{3CA666F9-59A6-411D-89E2-C0B9D5247896}"/>
  </w:font>
  <w:font w:name="Wingdings 2">
    <w:altName w:val="Wingdings"/>
    <w:panose1 w:val="05020102010507070707"/>
    <w:charset w:val="02"/>
    <w:family w:val="roman"/>
    <w:pitch w:val="default"/>
    <w:sig w:usb0="00000000" w:usb1="00000000" w:usb2="00000000" w:usb3="00000000" w:csb0="80000000" w:csb1="00000000"/>
    <w:embedRegular r:id="rId7" w:fontKey="{D044174E-8BD2-444F-BE81-FDF70D30381B}"/>
  </w:font>
  <w:font w:name="Segoe UI Symbol">
    <w:panose1 w:val="020B0502040204020203"/>
    <w:charset w:val="00"/>
    <w:family w:val="swiss"/>
    <w:pitch w:val="default"/>
    <w:sig w:usb0="800001E3" w:usb1="1200FFEF" w:usb2="00040000" w:usb3="04000000" w:csb0="00000001" w:csb1="40000000"/>
    <w:embedRegular r:id="rId8" w:fontKey="{B376B845-8E6A-46E0-939B-2E660E3E152B}"/>
  </w:font>
  <w:font w:name="Cambria Math">
    <w:panose1 w:val="02040503050406030204"/>
    <w:charset w:val="00"/>
    <w:family w:val="roman"/>
    <w:pitch w:val="default"/>
    <w:sig w:usb0="E00006FF" w:usb1="420024FF" w:usb2="02000000" w:usb3="00000000" w:csb0="2000019F" w:csb1="00000000"/>
    <w:embedRegular r:id="rId9" w:fontKey="{F7F4E30F-BC4B-4AAF-AAF9-BCFAB3BDBEEF}"/>
  </w:font>
  <w:font w:name="Wingdings">
    <w:panose1 w:val="05000000000000000000"/>
    <w:charset w:val="00"/>
    <w:family w:val="auto"/>
    <w:pitch w:val="default"/>
    <w:sig w:usb0="00000000" w:usb1="00000000" w:usb2="00000000" w:usb3="00000000" w:csb0="80000000" w:csb1="00000000"/>
  </w:font>
  <w:font w:name="Kingsoft U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7728D4"/>
    <w:multiLevelType w:val="singleLevel"/>
    <w:tmpl w:val="8A7728D4"/>
    <w:lvl w:ilvl="0" w:tentative="0">
      <w:start w:val="2"/>
      <w:numFmt w:val="decimal"/>
      <w:lvlText w:val="%1."/>
      <w:lvlJc w:val="left"/>
      <w:pPr>
        <w:tabs>
          <w:tab w:val="left" w:pos="737"/>
        </w:tabs>
      </w:pPr>
    </w:lvl>
  </w:abstractNum>
  <w:abstractNum w:abstractNumId="1">
    <w:nsid w:val="095F4178"/>
    <w:multiLevelType w:val="singleLevel"/>
    <w:tmpl w:val="095F4178"/>
    <w:lvl w:ilvl="0" w:tentative="0">
      <w:start w:val="2"/>
      <w:numFmt w:val="decimal"/>
      <w:lvlText w:val="%1."/>
      <w:lvlJc w:val="left"/>
      <w:pPr>
        <w:tabs>
          <w:tab w:val="left" w:pos="312"/>
        </w:tabs>
      </w:pPr>
    </w:lvl>
  </w:abstractNum>
  <w:abstractNum w:abstractNumId="2">
    <w:nsid w:val="0B7D7AFC"/>
    <w:multiLevelType w:val="multilevel"/>
    <w:tmpl w:val="0B7D7AFC"/>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1ED203E5"/>
    <w:multiLevelType w:val="multilevel"/>
    <w:tmpl w:val="1ED203E5"/>
    <w:lvl w:ilvl="0" w:tentative="0">
      <w:start w:val="1"/>
      <w:numFmt w:val="japaneseCounting"/>
      <w:lvlText w:val="%1、"/>
      <w:lvlJc w:val="left"/>
      <w:pPr>
        <w:ind w:left="1452" w:hanging="720"/>
      </w:pPr>
      <w:rPr>
        <w:rFonts w:hint="default"/>
      </w:rPr>
    </w:lvl>
    <w:lvl w:ilvl="1" w:tentative="0">
      <w:start w:val="1"/>
      <w:numFmt w:val="lowerLetter"/>
      <w:lvlText w:val="%2)"/>
      <w:lvlJc w:val="left"/>
      <w:pPr>
        <w:ind w:left="1612" w:hanging="440"/>
      </w:pPr>
    </w:lvl>
    <w:lvl w:ilvl="2" w:tentative="0">
      <w:start w:val="1"/>
      <w:numFmt w:val="lowerRoman"/>
      <w:lvlText w:val="%3."/>
      <w:lvlJc w:val="right"/>
      <w:pPr>
        <w:ind w:left="2052" w:hanging="440"/>
      </w:pPr>
    </w:lvl>
    <w:lvl w:ilvl="3" w:tentative="0">
      <w:start w:val="1"/>
      <w:numFmt w:val="decimal"/>
      <w:lvlText w:val="%4."/>
      <w:lvlJc w:val="left"/>
      <w:pPr>
        <w:ind w:left="2492" w:hanging="440"/>
      </w:pPr>
    </w:lvl>
    <w:lvl w:ilvl="4" w:tentative="0">
      <w:start w:val="1"/>
      <w:numFmt w:val="lowerLetter"/>
      <w:lvlText w:val="%5)"/>
      <w:lvlJc w:val="left"/>
      <w:pPr>
        <w:ind w:left="2932" w:hanging="440"/>
      </w:pPr>
    </w:lvl>
    <w:lvl w:ilvl="5" w:tentative="0">
      <w:start w:val="1"/>
      <w:numFmt w:val="lowerRoman"/>
      <w:lvlText w:val="%6."/>
      <w:lvlJc w:val="right"/>
      <w:pPr>
        <w:ind w:left="3372" w:hanging="440"/>
      </w:pPr>
    </w:lvl>
    <w:lvl w:ilvl="6" w:tentative="0">
      <w:start w:val="1"/>
      <w:numFmt w:val="decimal"/>
      <w:lvlText w:val="%7."/>
      <w:lvlJc w:val="left"/>
      <w:pPr>
        <w:ind w:left="3812" w:hanging="440"/>
      </w:pPr>
    </w:lvl>
    <w:lvl w:ilvl="7" w:tentative="0">
      <w:start w:val="1"/>
      <w:numFmt w:val="lowerLetter"/>
      <w:lvlText w:val="%8)"/>
      <w:lvlJc w:val="left"/>
      <w:pPr>
        <w:ind w:left="4252" w:hanging="440"/>
      </w:pPr>
    </w:lvl>
    <w:lvl w:ilvl="8" w:tentative="0">
      <w:start w:val="1"/>
      <w:numFmt w:val="lowerRoman"/>
      <w:lvlText w:val="%9."/>
      <w:lvlJc w:val="right"/>
      <w:pPr>
        <w:ind w:left="4692" w:hanging="440"/>
      </w:pPr>
    </w:lvl>
  </w:abstractNum>
  <w:abstractNum w:abstractNumId="4">
    <w:nsid w:val="36261127"/>
    <w:multiLevelType w:val="multilevel"/>
    <w:tmpl w:val="3626112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4C214E0C"/>
    <w:multiLevelType w:val="multilevel"/>
    <w:tmpl w:val="4C214E0C"/>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4F095F8A"/>
    <w:multiLevelType w:val="singleLevel"/>
    <w:tmpl w:val="4F095F8A"/>
    <w:lvl w:ilvl="0" w:tentative="0">
      <w:start w:val="2"/>
      <w:numFmt w:val="decimal"/>
      <w:lvlText w:val="%1."/>
      <w:lvlJc w:val="left"/>
      <w:pPr>
        <w:tabs>
          <w:tab w:val="left" w:pos="312"/>
        </w:tabs>
      </w:pPr>
    </w:lvl>
  </w:abstractNum>
  <w:abstractNum w:abstractNumId="7">
    <w:nsid w:val="6D220EDA"/>
    <w:multiLevelType w:val="multilevel"/>
    <w:tmpl w:val="6D220ED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7C4E1128"/>
    <w:multiLevelType w:val="singleLevel"/>
    <w:tmpl w:val="7C4E1128"/>
    <w:lvl w:ilvl="0" w:tentative="0">
      <w:start w:val="2"/>
      <w:numFmt w:val="decimal"/>
      <w:lvlText w:val="%1."/>
      <w:lvlJc w:val="left"/>
      <w:pPr>
        <w:tabs>
          <w:tab w:val="left" w:pos="312"/>
        </w:tabs>
      </w:pPr>
    </w:lvl>
  </w:abstractNum>
  <w:num w:numId="1">
    <w:abstractNumId w:val="3"/>
  </w:num>
  <w:num w:numId="2">
    <w:abstractNumId w:val="2"/>
  </w:num>
  <w:num w:numId="3">
    <w:abstractNumId w:val="4"/>
  </w:num>
  <w:num w:numId="4">
    <w:abstractNumId w:val="7"/>
  </w:num>
  <w:num w:numId="5">
    <w:abstractNumId w:val="5"/>
  </w:num>
  <w:num w:numId="6">
    <w:abstractNumId w:val="0"/>
  </w:num>
  <w:num w:numId="7">
    <w:abstractNumId w:val="1"/>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zMjg5ZTk0ZmI5MWFhNTcyMmY3YTlmN2Y3NmI0YzkifQ=="/>
  </w:docVars>
  <w:rsids>
    <w:rsidRoot w:val="5DAD333C"/>
    <w:rsid w:val="000725E3"/>
    <w:rsid w:val="00086D4C"/>
    <w:rsid w:val="00086E18"/>
    <w:rsid w:val="00087A8F"/>
    <w:rsid w:val="00090841"/>
    <w:rsid w:val="000F00CA"/>
    <w:rsid w:val="00132679"/>
    <w:rsid w:val="0014006C"/>
    <w:rsid w:val="001A2C6E"/>
    <w:rsid w:val="00204A4F"/>
    <w:rsid w:val="00212027"/>
    <w:rsid w:val="00225670"/>
    <w:rsid w:val="00241429"/>
    <w:rsid w:val="002C1AF1"/>
    <w:rsid w:val="002E28D7"/>
    <w:rsid w:val="00333AA2"/>
    <w:rsid w:val="00367ED8"/>
    <w:rsid w:val="00386607"/>
    <w:rsid w:val="003C08E0"/>
    <w:rsid w:val="003F2B4F"/>
    <w:rsid w:val="004054C5"/>
    <w:rsid w:val="00440F43"/>
    <w:rsid w:val="00471CBF"/>
    <w:rsid w:val="00484225"/>
    <w:rsid w:val="00501E7F"/>
    <w:rsid w:val="00564339"/>
    <w:rsid w:val="00590428"/>
    <w:rsid w:val="005A16A7"/>
    <w:rsid w:val="005C62E0"/>
    <w:rsid w:val="00601D05"/>
    <w:rsid w:val="0061525A"/>
    <w:rsid w:val="00625F51"/>
    <w:rsid w:val="00654367"/>
    <w:rsid w:val="006C2582"/>
    <w:rsid w:val="006D7559"/>
    <w:rsid w:val="006E599B"/>
    <w:rsid w:val="00706594"/>
    <w:rsid w:val="007307F1"/>
    <w:rsid w:val="007B4982"/>
    <w:rsid w:val="007B69A8"/>
    <w:rsid w:val="008303B1"/>
    <w:rsid w:val="00872563"/>
    <w:rsid w:val="008C6A9E"/>
    <w:rsid w:val="008E6049"/>
    <w:rsid w:val="008F0C31"/>
    <w:rsid w:val="00932DD5"/>
    <w:rsid w:val="00941A7B"/>
    <w:rsid w:val="00941E85"/>
    <w:rsid w:val="00960686"/>
    <w:rsid w:val="00961F41"/>
    <w:rsid w:val="00982017"/>
    <w:rsid w:val="009B66A6"/>
    <w:rsid w:val="009C5DF2"/>
    <w:rsid w:val="00A030E2"/>
    <w:rsid w:val="00A13C6A"/>
    <w:rsid w:val="00A65AC5"/>
    <w:rsid w:val="00A96F74"/>
    <w:rsid w:val="00AF435F"/>
    <w:rsid w:val="00B66D42"/>
    <w:rsid w:val="00B7290B"/>
    <w:rsid w:val="00B922BB"/>
    <w:rsid w:val="00BB09A7"/>
    <w:rsid w:val="00BD095A"/>
    <w:rsid w:val="00C11DE3"/>
    <w:rsid w:val="00C13EE9"/>
    <w:rsid w:val="00CB0FA7"/>
    <w:rsid w:val="00CE39EE"/>
    <w:rsid w:val="00CF16F9"/>
    <w:rsid w:val="00D268E4"/>
    <w:rsid w:val="00D27877"/>
    <w:rsid w:val="00D560F0"/>
    <w:rsid w:val="00D57381"/>
    <w:rsid w:val="00D638CE"/>
    <w:rsid w:val="00DB3A55"/>
    <w:rsid w:val="00DF2546"/>
    <w:rsid w:val="00E51F76"/>
    <w:rsid w:val="00E53ED0"/>
    <w:rsid w:val="00E95E75"/>
    <w:rsid w:val="00EA64E7"/>
    <w:rsid w:val="00EC329D"/>
    <w:rsid w:val="00ED4A63"/>
    <w:rsid w:val="00EE48A9"/>
    <w:rsid w:val="00F02B2F"/>
    <w:rsid w:val="00F837FB"/>
    <w:rsid w:val="00FF6636"/>
    <w:rsid w:val="20335FCE"/>
    <w:rsid w:val="5C41126B"/>
    <w:rsid w:val="5DAD333C"/>
    <w:rsid w:val="7C2E54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iPriority="99"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libri Light" w:hAnsi="Calibri Light" w:eastAsia="宋体" w:cs="Times New Roman"/>
      <w:b/>
      <w:bCs/>
      <w:sz w:val="32"/>
      <w:szCs w:val="32"/>
    </w:rPr>
  </w:style>
  <w:style w:type="paragraph" w:styleId="3">
    <w:name w:val="heading 3"/>
    <w:basedOn w:val="1"/>
    <w:next w:val="1"/>
    <w:qFormat/>
    <w:uiPriority w:val="9"/>
    <w:pPr>
      <w:keepNext/>
      <w:keepLines/>
      <w:spacing w:before="260" w:after="260" w:line="416" w:lineRule="auto"/>
      <w:outlineLvl w:val="2"/>
    </w:pPr>
    <w:rPr>
      <w:rFonts w:eastAsia="宋体"/>
      <w:b/>
      <w:bCs/>
      <w:sz w:val="32"/>
      <w:szCs w:val="32"/>
    </w:rPr>
  </w:style>
  <w:style w:type="paragraph" w:styleId="4">
    <w:name w:val="heading 4"/>
    <w:basedOn w:val="1"/>
    <w:next w:val="1"/>
    <w:link w:val="14"/>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5">
    <w:name w:val="annotation text"/>
    <w:basedOn w:val="1"/>
    <w:link w:val="16"/>
    <w:qFormat/>
    <w:uiPriority w:val="0"/>
    <w:pPr>
      <w:jc w:val="left"/>
    </w:pPr>
  </w:style>
  <w:style w:type="paragraph" w:styleId="6">
    <w:name w:val="footer"/>
    <w:basedOn w:val="1"/>
    <w:link w:val="12"/>
    <w:uiPriority w:val="0"/>
    <w:pPr>
      <w:tabs>
        <w:tab w:val="center" w:pos="4153"/>
        <w:tab w:val="right" w:pos="8306"/>
      </w:tabs>
      <w:snapToGrid w:val="0"/>
      <w:jc w:val="left"/>
    </w:pPr>
    <w:rPr>
      <w:sz w:val="18"/>
      <w:szCs w:val="18"/>
    </w:rPr>
  </w:style>
  <w:style w:type="paragraph" w:styleId="7">
    <w:name w:val="header"/>
    <w:basedOn w:val="1"/>
    <w:link w:val="11"/>
    <w:qFormat/>
    <w:uiPriority w:val="0"/>
    <w:pPr>
      <w:tabs>
        <w:tab w:val="center" w:pos="4153"/>
        <w:tab w:val="right" w:pos="8306"/>
      </w:tabs>
      <w:snapToGrid w:val="0"/>
      <w:jc w:val="center"/>
    </w:pPr>
    <w:rPr>
      <w:sz w:val="18"/>
      <w:szCs w:val="18"/>
    </w:rPr>
  </w:style>
  <w:style w:type="character" w:styleId="10">
    <w:name w:val="annotation reference"/>
    <w:basedOn w:val="9"/>
    <w:qFormat/>
    <w:uiPriority w:val="0"/>
    <w:rPr>
      <w:sz w:val="21"/>
      <w:szCs w:val="21"/>
    </w:rPr>
  </w:style>
  <w:style w:type="character" w:customStyle="1" w:styleId="11">
    <w:name w:val="页眉 字符"/>
    <w:basedOn w:val="9"/>
    <w:link w:val="7"/>
    <w:qFormat/>
    <w:uiPriority w:val="0"/>
    <w:rPr>
      <w:kern w:val="2"/>
      <w:sz w:val="18"/>
      <w:szCs w:val="18"/>
    </w:rPr>
  </w:style>
  <w:style w:type="character" w:customStyle="1" w:styleId="12">
    <w:name w:val="页脚 字符"/>
    <w:basedOn w:val="9"/>
    <w:link w:val="6"/>
    <w:qFormat/>
    <w:uiPriority w:val="0"/>
    <w:rPr>
      <w:kern w:val="2"/>
      <w:sz w:val="18"/>
      <w:szCs w:val="18"/>
    </w:rPr>
  </w:style>
  <w:style w:type="paragraph" w:styleId="13">
    <w:name w:val="List Paragraph"/>
    <w:basedOn w:val="1"/>
    <w:unhideWhenUsed/>
    <w:qFormat/>
    <w:uiPriority w:val="99"/>
    <w:pPr>
      <w:ind w:firstLine="420" w:firstLineChars="200"/>
    </w:pPr>
  </w:style>
  <w:style w:type="character" w:customStyle="1" w:styleId="14">
    <w:name w:val="标题 4 字符"/>
    <w:basedOn w:val="9"/>
    <w:link w:val="4"/>
    <w:semiHidden/>
    <w:qFormat/>
    <w:uiPriority w:val="0"/>
    <w:rPr>
      <w:rFonts w:asciiTheme="majorHAnsi" w:hAnsiTheme="majorHAnsi" w:eastAsiaTheme="majorEastAsia" w:cstheme="majorBidi"/>
      <w:b/>
      <w:bCs/>
      <w:kern w:val="2"/>
      <w:sz w:val="28"/>
      <w:szCs w:val="28"/>
    </w:rPr>
  </w:style>
  <w:style w:type="character" w:styleId="15">
    <w:name w:val="Placeholder Text"/>
    <w:basedOn w:val="9"/>
    <w:unhideWhenUsed/>
    <w:uiPriority w:val="99"/>
    <w:rPr>
      <w:color w:val="666666"/>
    </w:rPr>
  </w:style>
  <w:style w:type="character" w:customStyle="1" w:styleId="16">
    <w:name w:val="批注文字 字符"/>
    <w:basedOn w:val="9"/>
    <w:link w:val="5"/>
    <w:qFormat/>
    <w:uiPriority w:val="0"/>
    <w:rPr>
      <w:kern w:val="2"/>
      <w:sz w:val="21"/>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35</Pages>
  <Words>1777</Words>
  <Characters>1815</Characters>
  <Lines>177</Lines>
  <Paragraphs>49</Paragraphs>
  <TotalTime>186</TotalTime>
  <ScaleCrop>false</ScaleCrop>
  <LinksUpToDate>false</LinksUpToDate>
  <CharactersWithSpaces>1888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2026-08-20T05:35:00Z</dcterms:created>
  <dc:creator>姜忠保</dc:creator>
  <cp:lastModifiedBy>dd</cp:lastModifiedBy>
  <dcterms:modified xsi:type="dcterms:W3CDTF">2026-08-21T01:11:13Z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28767E4705E54AB7A14BBC73AED64637_13</vt:lpwstr>
  </property>
  <property fmtid="{D5CDD505-2E9C-101B-9397-08002B2CF9AE}" pid="4" name="KSOTemplateDocerSaveRecord">
    <vt:lpwstr>eyJoZGlkIjoiYzVlYmI3M2M4OWE3YWUyYTVmNWVhOGI1NmY0NTYxMTciLCJ1c2VySWQiOiIxNTM1ODk5ODk4In0=</vt:lpwstr>
  </property>
</Properties>
</file>