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75266">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022AD6CE">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6CCAD734">
      <w:pPr>
        <w:pStyle w:val="3"/>
        <w:spacing w:before="0" w:after="0" w:line="360" w:lineRule="auto"/>
        <w:jc w:val="center"/>
        <w:rPr>
          <w:rFonts w:ascii="宋体" w:hAnsi="宋体"/>
          <w:szCs w:val="28"/>
        </w:rPr>
      </w:pPr>
    </w:p>
    <w:p w14:paraId="4B33D707">
      <w:pPr>
        <w:pStyle w:val="3"/>
        <w:spacing w:before="0" w:after="0" w:line="360" w:lineRule="auto"/>
        <w:jc w:val="center"/>
        <w:rPr>
          <w:rFonts w:ascii="宋体" w:hAnsi="宋体"/>
          <w:szCs w:val="28"/>
        </w:rPr>
      </w:pPr>
    </w:p>
    <w:p w14:paraId="7A30329C"/>
    <w:p w14:paraId="0329CB0F">
      <w:pPr>
        <w:rPr>
          <w:rFonts w:ascii="宋体" w:hAnsi="宋体"/>
          <w:szCs w:val="28"/>
        </w:rPr>
      </w:pPr>
    </w:p>
    <w:p w14:paraId="24239F59">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441A6F08"/>
    <w:p w14:paraId="3D4FFD2C">
      <w:pPr>
        <w:ind w:firstLine="1044" w:firstLineChars="400"/>
        <w:rPr>
          <w:rFonts w:ascii="仿宋" w:hAnsi="仿宋" w:eastAsia="仿宋" w:cs="仿宋"/>
          <w:b/>
          <w:bCs/>
          <w:color w:val="000000"/>
          <w:kern w:val="0"/>
          <w:sz w:val="26"/>
          <w:szCs w:val="26"/>
          <w:shd w:val="clear" w:color="auto" w:fill="FFFFFF"/>
        </w:rPr>
      </w:pPr>
    </w:p>
    <w:p w14:paraId="62097694">
      <w:pPr>
        <w:ind w:firstLine="1044" w:firstLineChars="400"/>
        <w:rPr>
          <w:rFonts w:ascii="仿宋" w:hAnsi="仿宋" w:eastAsia="仿宋" w:cs="仿宋"/>
          <w:b/>
          <w:bCs/>
          <w:color w:val="000000"/>
          <w:kern w:val="0"/>
          <w:sz w:val="26"/>
          <w:szCs w:val="26"/>
          <w:shd w:val="clear" w:color="auto" w:fill="FFFFFF"/>
        </w:rPr>
      </w:pPr>
    </w:p>
    <w:p w14:paraId="09384776">
      <w:pPr>
        <w:ind w:firstLine="1044" w:firstLineChars="400"/>
        <w:rPr>
          <w:rFonts w:ascii="仿宋" w:hAnsi="仿宋" w:eastAsia="仿宋" w:cs="仿宋"/>
          <w:b/>
          <w:bCs/>
          <w:color w:val="000000"/>
          <w:kern w:val="0"/>
          <w:sz w:val="26"/>
          <w:szCs w:val="26"/>
          <w:shd w:val="clear" w:color="auto" w:fill="FFFFFF"/>
        </w:rPr>
      </w:pPr>
    </w:p>
    <w:p w14:paraId="1A1DA204">
      <w:pPr>
        <w:spacing w:line="720" w:lineRule="auto"/>
        <w:ind w:firstLine="1280" w:firstLineChars="400"/>
        <w:rPr>
          <w:rFonts w:hint="eastAsia" w:ascii="Cambria" w:hAnsi="Cambria" w:eastAsia="方正小标宋简体" w:cs="Cambria"/>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中国地质大学（武汉）</w:t>
      </w:r>
      <w:r>
        <w:rPr>
          <w:rFonts w:hint="eastAsia" w:ascii="Cambria" w:hAnsi="Cambria" w:eastAsia="方正小标宋简体" w:cs="Cambria"/>
          <w:color w:val="000000"/>
          <w:kern w:val="0"/>
          <w:sz w:val="32"/>
          <w:szCs w:val="32"/>
          <w:u w:val="single"/>
          <w:shd w:val="clear" w:color="auto" w:fill="FFFFFF"/>
        </w:rPr>
        <w:t>三维</w:t>
      </w:r>
    </w:p>
    <w:p w14:paraId="07B4BFF5">
      <w:pPr>
        <w:spacing w:line="720" w:lineRule="auto"/>
        <w:ind w:firstLine="1280" w:firstLineChars="400"/>
        <w:rPr>
          <w:rFonts w:hint="default" w:ascii="方正小标宋简体" w:hAnsi="方正小标宋简体" w:eastAsia="方正小标宋简体" w:cs="Calibri"/>
          <w:color w:val="000000"/>
          <w:kern w:val="0"/>
          <w:sz w:val="32"/>
          <w:szCs w:val="32"/>
          <w:u w:val="single"/>
          <w:shd w:val="clear" w:color="auto" w:fill="FFFFFF"/>
          <w:lang w:val="en-US" w:eastAsia="zh-CN"/>
        </w:rPr>
      </w:pPr>
      <w:r>
        <w:rPr>
          <w:rFonts w:hint="eastAsia" w:ascii="Cambria" w:hAnsi="Cambria" w:eastAsia="方正小标宋简体" w:cs="Cambria"/>
          <w:color w:val="000000"/>
          <w:kern w:val="0"/>
          <w:sz w:val="32"/>
          <w:szCs w:val="32"/>
          <w:u w:val="single"/>
          <w:shd w:val="clear" w:color="auto" w:fill="FFFFFF"/>
        </w:rPr>
        <w:t>主动源高密度浅层地震仪</w:t>
      </w:r>
      <w:r>
        <w:rPr>
          <w:rFonts w:hint="eastAsia" w:ascii="Cambria" w:hAnsi="Cambria" w:eastAsia="方正小标宋简体" w:cs="Cambria"/>
          <w:color w:val="000000"/>
          <w:kern w:val="0"/>
          <w:sz w:val="32"/>
          <w:szCs w:val="32"/>
          <w:u w:val="single"/>
          <w:shd w:val="clear" w:color="auto" w:fill="FFFFFF"/>
          <w:lang w:val="en-US" w:eastAsia="zh-CN"/>
        </w:rPr>
        <w:t xml:space="preserve">设备购置    </w:t>
      </w:r>
    </w:p>
    <w:p w14:paraId="615CDB32">
      <w:pPr>
        <w:spacing w:line="720" w:lineRule="auto"/>
        <w:ind w:firstLine="1280" w:firstLineChars="400"/>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方正小标宋简体" w:hAnsi="方正小标宋简体" w:eastAsia="方正小标宋简体" w:cs="仿宋"/>
          <w:bCs/>
          <w:color w:val="000000"/>
          <w:kern w:val="0"/>
          <w:sz w:val="32"/>
          <w:szCs w:val="32"/>
          <w:u w:val="single"/>
          <w:shd w:val="clear" w:color="auto" w:fill="FFFFFF"/>
          <w:lang w:val="en-US" w:eastAsia="zh-CN"/>
        </w:rPr>
        <w:t>中国地质大学（武汉）</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 </w:t>
      </w:r>
      <w:r>
        <w:rPr>
          <w:rFonts w:ascii="Cambria" w:hAnsi="Cambria" w:eastAsia="方正小标宋简体" w:cs="Cambria"/>
          <w:color w:val="000000"/>
          <w:kern w:val="0"/>
          <w:sz w:val="32"/>
          <w:szCs w:val="32"/>
          <w:u w:val="single"/>
          <w:shd w:val="clear" w:color="auto" w:fill="FFFFFF"/>
        </w:rPr>
        <w:t>  </w:t>
      </w:r>
      <w:bookmarkStart w:id="0" w:name="_GoBack"/>
      <w:bookmarkEnd w:id="0"/>
    </w:p>
    <w:p w14:paraId="1F2E7922">
      <w:pPr>
        <w:spacing w:line="720" w:lineRule="auto"/>
        <w:ind w:firstLine="1280" w:firstLineChars="400"/>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 xml:space="preserve">2024年8月17日 </w:t>
      </w:r>
      <w:r>
        <w:rPr>
          <w:rFonts w:ascii="Cambria" w:hAnsi="Cambria" w:eastAsia="方正小标宋简体" w:cs="Cambria"/>
          <w:color w:val="000000"/>
          <w:kern w:val="0"/>
          <w:sz w:val="32"/>
          <w:szCs w:val="32"/>
          <w:u w:val="single"/>
          <w:shd w:val="clear" w:color="auto" w:fill="FFFFFF"/>
        </w:rPr>
        <w:t>          </w:t>
      </w:r>
    </w:p>
    <w:p w14:paraId="6FB1A732">
      <w:pPr>
        <w:rPr>
          <w:rFonts w:ascii="宋体" w:hAnsi="宋体"/>
          <w:color w:val="FF0000"/>
          <w:sz w:val="28"/>
          <w:szCs w:val="28"/>
        </w:rPr>
      </w:pPr>
    </w:p>
    <w:p w14:paraId="4C4099B2">
      <w:pPr>
        <w:rPr>
          <w:rFonts w:ascii="宋体" w:hAnsi="宋体"/>
          <w:color w:val="FF0000"/>
          <w:sz w:val="28"/>
          <w:szCs w:val="28"/>
        </w:rPr>
      </w:pPr>
    </w:p>
    <w:p w14:paraId="590CC335">
      <w:pPr>
        <w:rPr>
          <w:rFonts w:ascii="宋体" w:hAnsi="宋体"/>
          <w:color w:val="FF0000"/>
          <w:sz w:val="28"/>
          <w:szCs w:val="28"/>
        </w:rPr>
      </w:pPr>
    </w:p>
    <w:p w14:paraId="2336B0B1">
      <w:pPr>
        <w:rPr>
          <w:rFonts w:ascii="宋体" w:hAnsi="宋体"/>
          <w:color w:val="FF0000"/>
          <w:sz w:val="28"/>
          <w:szCs w:val="28"/>
        </w:rPr>
      </w:pPr>
    </w:p>
    <w:p w14:paraId="6B7497CC">
      <w:pPr>
        <w:jc w:val="center"/>
        <w:rPr>
          <w:rFonts w:ascii="方正小标宋简体" w:hAnsi="方正小标宋简体" w:eastAsia="方正小标宋简体" w:cs="仿宋"/>
          <w:color w:val="000000"/>
          <w:kern w:val="0"/>
          <w:sz w:val="32"/>
          <w:szCs w:val="32"/>
          <w:shd w:val="clear" w:color="auto" w:fill="FFFFFF"/>
        </w:rPr>
      </w:pPr>
    </w:p>
    <w:p w14:paraId="7A2FB457">
      <w:pPr>
        <w:widowControl/>
        <w:jc w:val="left"/>
        <w:rPr>
          <w:rFonts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A5E0DD5">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4B0C2A65">
      <w:pPr>
        <w:widowControl/>
        <w:spacing w:line="560" w:lineRule="atLeast"/>
        <w:ind w:firstLine="640"/>
        <w:jc w:val="left"/>
        <w:rPr>
          <w:rFonts w:ascii="宋体" w:hAnsi="宋体" w:cs="仿宋"/>
          <w:color w:val="000000"/>
          <w:kern w:val="0"/>
          <w:sz w:val="28"/>
          <w:szCs w:val="28"/>
          <w:shd w:val="clear" w:color="auto" w:fill="FFFFFF"/>
        </w:rPr>
      </w:pPr>
    </w:p>
    <w:p w14:paraId="71AA5221">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1CF83ABF">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6FCB184F">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24098BCC">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7F82B6A7"/>
    <w:p w14:paraId="1893E6AB">
      <w:pPr>
        <w:spacing w:line="360" w:lineRule="auto"/>
      </w:pPr>
    </w:p>
    <w:p w14:paraId="177CCBD3">
      <w:pPr>
        <w:widowControl/>
        <w:shd w:val="clear" w:color="auto" w:fill="FFFFFF"/>
        <w:spacing w:line="360" w:lineRule="auto"/>
        <w:ind w:firstLine="562" w:firstLineChars="200"/>
        <w:jc w:val="left"/>
        <w:rPr>
          <w:rFonts w:ascii="宋体" w:hAnsi="宋体" w:cs="Arial"/>
          <w:b/>
          <w:color w:val="333333"/>
          <w:kern w:val="0"/>
          <w:sz w:val="28"/>
          <w:szCs w:val="28"/>
        </w:rPr>
      </w:pPr>
    </w:p>
    <w:p w14:paraId="6022682B">
      <w:pPr>
        <w:widowControl/>
        <w:shd w:val="clear" w:color="auto" w:fill="FFFFFF"/>
        <w:spacing w:line="360" w:lineRule="auto"/>
        <w:ind w:firstLine="562" w:firstLineChars="200"/>
        <w:jc w:val="left"/>
        <w:rPr>
          <w:rFonts w:ascii="宋体" w:hAnsi="宋体" w:cs="Arial"/>
          <w:b/>
          <w:color w:val="333333"/>
          <w:kern w:val="0"/>
          <w:sz w:val="28"/>
          <w:szCs w:val="28"/>
        </w:rPr>
      </w:pPr>
    </w:p>
    <w:p w14:paraId="6EFA5ED9">
      <w:pPr>
        <w:widowControl/>
        <w:shd w:val="clear" w:color="auto" w:fill="FFFFFF"/>
        <w:spacing w:line="360" w:lineRule="auto"/>
        <w:ind w:firstLine="562" w:firstLineChars="200"/>
        <w:jc w:val="left"/>
        <w:rPr>
          <w:rFonts w:ascii="宋体" w:hAnsi="宋体" w:cs="Arial"/>
          <w:b/>
          <w:color w:val="333333"/>
          <w:kern w:val="0"/>
          <w:sz w:val="28"/>
          <w:szCs w:val="28"/>
        </w:rPr>
      </w:pPr>
    </w:p>
    <w:p w14:paraId="124587C8">
      <w:pPr>
        <w:widowControl/>
        <w:shd w:val="clear" w:color="auto" w:fill="FFFFFF"/>
        <w:spacing w:line="360" w:lineRule="auto"/>
        <w:ind w:firstLine="562" w:firstLineChars="200"/>
        <w:jc w:val="left"/>
        <w:rPr>
          <w:rFonts w:ascii="宋体" w:hAnsi="宋体" w:cs="Arial"/>
          <w:b/>
          <w:color w:val="333333"/>
          <w:kern w:val="0"/>
          <w:sz w:val="28"/>
          <w:szCs w:val="28"/>
        </w:rPr>
      </w:pPr>
    </w:p>
    <w:p w14:paraId="7E86DECD">
      <w:pPr>
        <w:widowControl/>
        <w:shd w:val="clear" w:color="auto" w:fill="FFFFFF"/>
        <w:spacing w:line="360" w:lineRule="auto"/>
        <w:ind w:firstLine="562" w:firstLineChars="200"/>
        <w:jc w:val="left"/>
        <w:rPr>
          <w:rFonts w:ascii="宋体" w:hAnsi="宋体" w:cs="Arial"/>
          <w:b/>
          <w:color w:val="333333"/>
          <w:kern w:val="0"/>
          <w:sz w:val="28"/>
          <w:szCs w:val="28"/>
        </w:rPr>
      </w:pPr>
    </w:p>
    <w:p w14:paraId="5B229795">
      <w:pPr>
        <w:widowControl/>
        <w:shd w:val="clear" w:color="auto" w:fill="FFFFFF"/>
        <w:spacing w:line="360" w:lineRule="auto"/>
        <w:ind w:firstLine="562" w:firstLineChars="200"/>
        <w:jc w:val="left"/>
        <w:rPr>
          <w:rFonts w:ascii="宋体" w:hAnsi="宋体" w:cs="Arial"/>
          <w:b/>
          <w:color w:val="333333"/>
          <w:kern w:val="0"/>
          <w:sz w:val="28"/>
          <w:szCs w:val="28"/>
        </w:rPr>
      </w:pPr>
    </w:p>
    <w:p w14:paraId="7932FFCA">
      <w:pPr>
        <w:widowControl/>
        <w:shd w:val="clear" w:color="auto" w:fill="FFFFFF"/>
        <w:spacing w:line="360" w:lineRule="auto"/>
        <w:ind w:firstLine="562" w:firstLineChars="200"/>
        <w:jc w:val="left"/>
        <w:rPr>
          <w:rFonts w:ascii="宋体" w:hAnsi="宋体" w:cs="Arial"/>
          <w:b/>
          <w:color w:val="333333"/>
          <w:kern w:val="0"/>
          <w:sz w:val="28"/>
          <w:szCs w:val="28"/>
        </w:rPr>
      </w:pPr>
    </w:p>
    <w:p w14:paraId="1B29C2FB">
      <w:pPr>
        <w:widowControl/>
        <w:shd w:val="clear" w:color="auto" w:fill="FFFFFF"/>
        <w:spacing w:line="360" w:lineRule="auto"/>
        <w:ind w:firstLine="562" w:firstLineChars="200"/>
        <w:jc w:val="left"/>
        <w:rPr>
          <w:rFonts w:ascii="宋体" w:hAnsi="宋体" w:cs="Arial"/>
          <w:b/>
          <w:color w:val="333333"/>
          <w:kern w:val="0"/>
          <w:sz w:val="28"/>
          <w:szCs w:val="28"/>
        </w:rPr>
      </w:pPr>
    </w:p>
    <w:p w14:paraId="6505A533">
      <w:pPr>
        <w:widowControl/>
        <w:shd w:val="clear" w:color="auto" w:fill="FFFFFF"/>
        <w:spacing w:line="360" w:lineRule="auto"/>
        <w:ind w:firstLine="562" w:firstLineChars="200"/>
        <w:jc w:val="left"/>
        <w:rPr>
          <w:rFonts w:ascii="宋体" w:hAnsi="宋体" w:cs="Arial"/>
          <w:b/>
          <w:color w:val="333333"/>
          <w:kern w:val="0"/>
          <w:sz w:val="28"/>
          <w:szCs w:val="28"/>
        </w:rPr>
      </w:pPr>
    </w:p>
    <w:p w14:paraId="4CD0C916">
      <w:pPr>
        <w:widowControl/>
        <w:shd w:val="clear" w:color="auto" w:fill="FFFFFF"/>
        <w:spacing w:line="360" w:lineRule="auto"/>
        <w:ind w:firstLine="562" w:firstLineChars="200"/>
        <w:jc w:val="left"/>
        <w:rPr>
          <w:rFonts w:ascii="宋体" w:hAnsi="宋体" w:cs="Arial"/>
          <w:b/>
          <w:color w:val="333333"/>
          <w:kern w:val="0"/>
          <w:sz w:val="28"/>
          <w:szCs w:val="28"/>
        </w:rPr>
      </w:pPr>
    </w:p>
    <w:p w14:paraId="5540BCEA">
      <w:pPr>
        <w:widowControl/>
        <w:shd w:val="clear" w:color="auto" w:fill="FFFFFF"/>
        <w:spacing w:line="360" w:lineRule="auto"/>
        <w:jc w:val="left"/>
        <w:rPr>
          <w:rFonts w:ascii="宋体" w:hAnsi="宋体" w:cs="Arial"/>
          <w:b/>
          <w:color w:val="333333"/>
          <w:kern w:val="0"/>
          <w:sz w:val="28"/>
          <w:szCs w:val="28"/>
        </w:rPr>
      </w:pPr>
    </w:p>
    <w:p w14:paraId="08777638">
      <w:pPr>
        <w:widowControl/>
        <w:ind w:firstLine="482" w:firstLineChars="200"/>
        <w:jc w:val="left"/>
        <w:rPr>
          <w:rFonts w:ascii="仿宋_GB2312" w:hAnsi="宋体" w:eastAsia="仿宋_GB2312" w:cs="仿宋"/>
          <w:bCs/>
          <w:i/>
          <w:iCs/>
          <w:color w:val="000000"/>
          <w:kern w:val="0"/>
          <w:sz w:val="28"/>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2B50C5B9">
      <w:pPr>
        <w:widowControl/>
        <w:spacing w:line="360" w:lineRule="auto"/>
        <w:ind w:firstLine="480" w:firstLineChars="200"/>
        <w:jc w:val="left"/>
        <w:rPr>
          <w:rFonts w:ascii="仿宋_GB2312" w:hAnsi="宋体" w:eastAsia="仿宋_GB2312" w:cs="仿宋"/>
          <w:bCs/>
          <w:color w:val="000000"/>
          <w:kern w:val="0"/>
          <w:sz w:val="24"/>
          <w:szCs w:val="24"/>
          <w:shd w:val="clear" w:color="auto" w:fill="FFFFFF"/>
        </w:rPr>
      </w:pPr>
      <w:r>
        <w:rPr>
          <w:rFonts w:hint="eastAsia" w:ascii="仿宋_GB2312" w:hAnsi="宋体" w:eastAsia="仿宋_GB2312" w:cs="仿宋"/>
          <w:bCs/>
          <w:color w:val="000000"/>
          <w:kern w:val="0"/>
          <w:sz w:val="24"/>
          <w:szCs w:val="24"/>
          <w:shd w:val="clear" w:color="auto" w:fill="FFFFFF"/>
        </w:rPr>
        <w:t xml:space="preserve">浅层地震仪能高效探测浅层高分辨率地质结构，如城市活断层、滑坡面或地下构筑物，提供高分辨率数据。在地质灾害预警（如地震、滑坡）和环境监测中地震监测发挥关键作用，快速评估风险，支持决策，保护人民生命财产安全。 </w:t>
      </w:r>
    </w:p>
    <w:p w14:paraId="1ED899F8">
      <w:pPr>
        <w:widowControl/>
        <w:ind w:firstLine="480" w:firstLineChars="200"/>
        <w:jc w:val="left"/>
        <w:rPr>
          <w:rFonts w:ascii="仿宋_GB2312" w:hAnsi="宋体" w:eastAsia="仿宋_GB2312" w:cs="仿宋"/>
          <w:bCs/>
          <w:color w:val="000000"/>
          <w:kern w:val="0"/>
          <w:sz w:val="24"/>
          <w:szCs w:val="24"/>
          <w:shd w:val="clear" w:color="auto" w:fill="FFFFFF"/>
        </w:rPr>
      </w:pPr>
    </w:p>
    <w:p w14:paraId="5B603C22">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0863ADD0">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7"/>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66"/>
        <w:gridCol w:w="1412"/>
        <w:gridCol w:w="958"/>
        <w:gridCol w:w="839"/>
        <w:gridCol w:w="1430"/>
        <w:gridCol w:w="892"/>
        <w:gridCol w:w="1251"/>
      </w:tblGrid>
      <w:tr w14:paraId="60F5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9" w:type="dxa"/>
            <w:vAlign w:val="center"/>
          </w:tcPr>
          <w:p w14:paraId="24125830">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866" w:type="dxa"/>
            <w:vAlign w:val="center"/>
          </w:tcPr>
          <w:p w14:paraId="04C146C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799C036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1412" w:type="dxa"/>
            <w:vAlign w:val="center"/>
          </w:tcPr>
          <w:p w14:paraId="609E54F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958" w:type="dxa"/>
            <w:vAlign w:val="center"/>
          </w:tcPr>
          <w:p w14:paraId="5E58B9C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839" w:type="dxa"/>
            <w:vAlign w:val="center"/>
          </w:tcPr>
          <w:p w14:paraId="5E60878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1430" w:type="dxa"/>
            <w:vAlign w:val="center"/>
          </w:tcPr>
          <w:p w14:paraId="0ECBCDA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892" w:type="dxa"/>
            <w:vAlign w:val="center"/>
          </w:tcPr>
          <w:p w14:paraId="6F017D0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1251" w:type="dxa"/>
            <w:vAlign w:val="center"/>
          </w:tcPr>
          <w:p w14:paraId="2E1584F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001538B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531D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69" w:type="dxa"/>
            <w:vAlign w:val="center"/>
          </w:tcPr>
          <w:p w14:paraId="400EB28E">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866" w:type="dxa"/>
            <w:vAlign w:val="center"/>
          </w:tcPr>
          <w:p w14:paraId="7DE3E1A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三维主动源高密度浅层地震仪</w:t>
            </w:r>
          </w:p>
        </w:tc>
        <w:tc>
          <w:tcPr>
            <w:tcW w:w="1412" w:type="dxa"/>
            <w:vAlign w:val="center"/>
          </w:tcPr>
          <w:p w14:paraId="460E072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958" w:type="dxa"/>
            <w:vAlign w:val="center"/>
          </w:tcPr>
          <w:p w14:paraId="0F9810D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套</w:t>
            </w:r>
          </w:p>
        </w:tc>
        <w:tc>
          <w:tcPr>
            <w:tcW w:w="839" w:type="dxa"/>
            <w:vAlign w:val="center"/>
          </w:tcPr>
          <w:p w14:paraId="30D2159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430" w:type="dxa"/>
          </w:tcPr>
          <w:p w14:paraId="7D238CE4">
            <w:pPr>
              <w:widowControl/>
              <w:spacing w:line="360" w:lineRule="auto"/>
              <w:jc w:val="center"/>
              <w:rPr>
                <w:rFonts w:ascii="仿宋_GB2312" w:hAnsi="宋体" w:eastAsia="仿宋_GB2312"/>
                <w:sz w:val="24"/>
                <w:szCs w:val="24"/>
              </w:rPr>
            </w:pPr>
          </w:p>
        </w:tc>
        <w:tc>
          <w:tcPr>
            <w:tcW w:w="892" w:type="dxa"/>
          </w:tcPr>
          <w:p w14:paraId="7696AD5B">
            <w:pPr>
              <w:widowControl/>
              <w:spacing w:line="360" w:lineRule="auto"/>
              <w:jc w:val="center"/>
              <w:rPr>
                <w:rFonts w:ascii="仿宋_GB2312" w:hAnsi="宋体" w:eastAsia="仿宋_GB2312"/>
                <w:sz w:val="24"/>
                <w:szCs w:val="24"/>
              </w:rPr>
            </w:pPr>
          </w:p>
        </w:tc>
        <w:tc>
          <w:tcPr>
            <w:tcW w:w="1251" w:type="dxa"/>
            <w:vAlign w:val="center"/>
          </w:tcPr>
          <w:p w14:paraId="2A00DC6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bl>
    <w:p w14:paraId="6B7CC498">
      <w:pPr>
        <w:spacing w:line="360" w:lineRule="auto"/>
        <w:ind w:firstLine="360" w:firstLineChars="150"/>
        <w:rPr>
          <w:rFonts w:ascii="仿宋_GB2312" w:hAnsi="宋体" w:eastAsia="仿宋_GB2312"/>
          <w:i/>
          <w:iCs/>
          <w:sz w:val="24"/>
          <w:szCs w:val="24"/>
        </w:rPr>
      </w:pPr>
    </w:p>
    <w:p w14:paraId="48BB0501">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21B6E6B4">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（一）三维主动源高密度浅层地震仪（一套）</w:t>
      </w:r>
    </w:p>
    <w:p w14:paraId="55BE2060">
      <w:pPr>
        <w:widowControl/>
        <w:shd w:val="clear" w:color="auto" w:fill="FFFFFF"/>
        <w:spacing w:line="360" w:lineRule="auto"/>
        <w:ind w:firstLine="480" w:firstLineChars="200"/>
        <w:jc w:val="left"/>
        <w:rPr>
          <w:rFonts w:ascii="仿宋_GB2312" w:hAnsi="宋体" w:eastAsia="仿宋_GB2312"/>
          <w:i/>
          <w:iCs/>
          <w:sz w:val="24"/>
          <w:szCs w:val="24"/>
        </w:rPr>
      </w:pPr>
      <w:r>
        <w:rPr>
          <w:rFonts w:hint="eastAsia" w:ascii="仿宋_GB2312" w:hAnsi="宋体" w:eastAsia="仿宋_GB2312"/>
          <w:sz w:val="24"/>
          <w:szCs w:val="24"/>
        </w:rPr>
        <w:t>1.功能要求：</w:t>
      </w:r>
      <w:r>
        <w:rPr>
          <w:rFonts w:hint="eastAsia" w:ascii="仿宋_GB2312" w:hAnsi="宋体" w:eastAsia="仿宋_GB2312"/>
          <w:i/>
          <w:iCs/>
          <w:sz w:val="24"/>
          <w:szCs w:val="24"/>
        </w:rPr>
        <w:t>（用于开展什么活动，实现什么功能、目标或达到什么性能等）</w:t>
      </w:r>
    </w:p>
    <w:p w14:paraId="35DEE254">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进一步强化一流专业实践课程含金量，直接支撑《地震资料采集与处理》、《反射地震资料处理实习》、《反射地震资料解释实习》、《工程地震勘探实习》、《勘查地球物理教学实习》等实践课程的教学，让学生有机会能接触到专业主流设备，亲手采集高质量的专业数据，能在后续环节设计与优化数据处理解释流程，显著提升教学质量。</w:t>
      </w:r>
    </w:p>
    <w:p w14:paraId="0A3E6211">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该仪器能够实现不同能级地震信号激发及不同频带数据接收，在环境敏感区可采用无损低能级激发。通过优化节点采集观测系统布设方法，可实现浅层主动源反射、折射、面波及微动地震勘探。提高数据采集效率，降低仪器准备时间，提高野外避障能力。提高野外浅地表探测深度，开展有效的反射、折射、面波及微动信号采集实验。</w:t>
      </w:r>
    </w:p>
    <w:p w14:paraId="3B1EA9C5">
      <w:pPr>
        <w:widowControl/>
        <w:numPr>
          <w:ilvl w:val="0"/>
          <w:numId w:val="1"/>
        </w:numPr>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应遵循的相关国家标准、行业标准、地方标准等标准、规范：</w:t>
      </w:r>
    </w:p>
    <w:p w14:paraId="390676B3">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主要参考行业标准DZ/T 0178-1997《数字浅层地震仪通用技术条件》等。</w:t>
      </w:r>
    </w:p>
    <w:p w14:paraId="1FA6BA05">
      <w:pPr>
        <w:widowControl/>
        <w:numPr>
          <w:ilvl w:val="0"/>
          <w:numId w:val="1"/>
        </w:numPr>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后续运营维护、升级更新、备品备件等要求：</w:t>
      </w:r>
    </w:p>
    <w:p w14:paraId="4EF06A63">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运维服务：供应商需提供≥2年核心部件质保（含震源、节点地震仪）以及≥1年非核心配件质保，故障响应时间≤24小时，修复时间≤7天；提供原厂操作培训（不少于4人次·天，含理论+实操），确保操作人员独立掌握设备使用及基础维护技能。</w:t>
      </w:r>
    </w:p>
    <w:p w14:paraId="1876F2AF">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升级更新：设备软件5年免费保修升级。</w:t>
      </w:r>
    </w:p>
    <w:p w14:paraId="464D4057">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备品备件：质保期外提供全生命周期备件供应保障（承诺供应周期≥5年），常用备件需在用户提出需求后7个工作日内到货；提供备件价格清单，确保价格不高于市场同期水平。</w:t>
      </w:r>
    </w:p>
    <w:p w14:paraId="5E9213BD">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5A59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BACE594">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41E2A72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50B53E5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3B0FACDE">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12E542A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5A2A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D8B4258">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134" w:type="dxa"/>
            <w:vAlign w:val="center"/>
          </w:tcPr>
          <w:p w14:paraId="552C5A5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震源特性</w:t>
            </w:r>
          </w:p>
        </w:tc>
        <w:tc>
          <w:tcPr>
            <w:tcW w:w="1388" w:type="dxa"/>
            <w:vAlign w:val="center"/>
          </w:tcPr>
          <w:p w14:paraId="5698C765">
            <w:pPr>
              <w:widowControl/>
              <w:spacing w:line="360" w:lineRule="auto"/>
              <w:jc w:val="center"/>
              <w:rPr>
                <w:rFonts w:ascii="仿宋_GB2312" w:hAnsi="宋体" w:eastAsia="仿宋_GB2312"/>
                <w:sz w:val="24"/>
                <w:szCs w:val="24"/>
              </w:rPr>
            </w:pPr>
          </w:p>
        </w:tc>
        <w:tc>
          <w:tcPr>
            <w:tcW w:w="2864" w:type="dxa"/>
            <w:vAlign w:val="center"/>
          </w:tcPr>
          <w:p w14:paraId="0F1F6617">
            <w:pPr>
              <w:widowControl/>
              <w:spacing w:line="360" w:lineRule="auto"/>
              <w:jc w:val="left"/>
              <w:rPr>
                <w:rFonts w:ascii="仿宋_GB2312" w:hAnsi="宋体" w:eastAsia="仿宋_GB2312"/>
                <w:sz w:val="24"/>
                <w:szCs w:val="24"/>
                <w:lang w:val="zh-CN"/>
              </w:rPr>
            </w:pPr>
            <w:r>
              <w:rPr>
                <w:rFonts w:hint="eastAsia" w:ascii="仿宋_GB2312" w:hAnsi="宋体" w:eastAsia="仿宋_GB2312"/>
                <w:sz w:val="24"/>
                <w:szCs w:val="24"/>
                <w:lang w:val="zh-CN"/>
              </w:rPr>
              <w:t>★激发能级设置支持不少于3个独立能级的自定义配置，可适配不同地质条件下的震源激发作业。</w:t>
            </w:r>
          </w:p>
          <w:p w14:paraId="2039E862">
            <w:pPr>
              <w:widowControl/>
              <w:spacing w:line="360" w:lineRule="auto"/>
              <w:jc w:val="left"/>
              <w:rPr>
                <w:rFonts w:ascii="仿宋_GB2312" w:hAnsi="宋体" w:eastAsia="仿宋_GB2312"/>
                <w:sz w:val="24"/>
                <w:szCs w:val="24"/>
              </w:rPr>
            </w:pPr>
            <w:r>
              <w:rPr>
                <w:rFonts w:hint="eastAsia" w:ascii="仿宋_GB2312" w:hAnsi="宋体" w:eastAsia="仿宋_GB2312"/>
                <w:sz w:val="24"/>
                <w:szCs w:val="24"/>
                <w:lang w:val="zh-CN"/>
              </w:rPr>
              <w:t>#设备整体总重量≤100kg，满足野外复杂工况下的转运与布设轻量化要求。</w:t>
            </w:r>
          </w:p>
        </w:tc>
        <w:tc>
          <w:tcPr>
            <w:tcW w:w="2126" w:type="dxa"/>
            <w:vAlign w:val="center"/>
          </w:tcPr>
          <w:p w14:paraId="447E3FD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5D672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215786C">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134" w:type="dxa"/>
            <w:vAlign w:val="center"/>
          </w:tcPr>
          <w:p w14:paraId="7448BE9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节点性能</w:t>
            </w:r>
          </w:p>
        </w:tc>
        <w:tc>
          <w:tcPr>
            <w:tcW w:w="1388" w:type="dxa"/>
            <w:vAlign w:val="center"/>
          </w:tcPr>
          <w:p w14:paraId="32CA288D">
            <w:pPr>
              <w:widowControl/>
              <w:spacing w:line="360" w:lineRule="auto"/>
              <w:jc w:val="center"/>
              <w:rPr>
                <w:rFonts w:ascii="仿宋_GB2312" w:hAnsi="宋体" w:eastAsia="仿宋_GB2312"/>
                <w:sz w:val="24"/>
                <w:szCs w:val="24"/>
              </w:rPr>
            </w:pPr>
          </w:p>
        </w:tc>
        <w:tc>
          <w:tcPr>
            <w:tcW w:w="2864" w:type="dxa"/>
            <w:vAlign w:val="center"/>
          </w:tcPr>
          <w:p w14:paraId="5AAFD451">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★节点内置检波器自然频率≤5Hz，可有效捕捉低频段的微弱地震信号。</w:t>
            </w:r>
          </w:p>
          <w:p w14:paraId="5B67DF99">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节点采样间隔覆盖0.5ms至4ms区间，内置多档标准采样率选项，满足地震数据的采集。</w:t>
            </w:r>
          </w:p>
          <w:p w14:paraId="0530AA8D">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节点内置存储容量不低于64GB；</w:t>
            </w:r>
          </w:p>
          <w:p w14:paraId="4EFA8B37">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#在4ms标准采样率工况下，节点连续不间断工作续航时长不低于7天，可满足长时间无人值守的野外采集作业。</w:t>
            </w:r>
          </w:p>
        </w:tc>
        <w:tc>
          <w:tcPr>
            <w:tcW w:w="2126" w:type="dxa"/>
            <w:vAlign w:val="center"/>
          </w:tcPr>
          <w:p w14:paraId="4568B4E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1529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3E91360">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42E905F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节点数量及实时通信能力</w:t>
            </w:r>
          </w:p>
        </w:tc>
        <w:tc>
          <w:tcPr>
            <w:tcW w:w="1388" w:type="dxa"/>
            <w:vAlign w:val="center"/>
          </w:tcPr>
          <w:p w14:paraId="3C7C2AF0">
            <w:pPr>
              <w:widowControl/>
              <w:spacing w:line="360" w:lineRule="auto"/>
              <w:jc w:val="center"/>
              <w:rPr>
                <w:rFonts w:ascii="仿宋_GB2312" w:hAnsi="宋体" w:eastAsia="仿宋_GB2312"/>
                <w:sz w:val="24"/>
                <w:szCs w:val="24"/>
              </w:rPr>
            </w:pPr>
          </w:p>
        </w:tc>
        <w:tc>
          <w:tcPr>
            <w:tcW w:w="2864" w:type="dxa"/>
            <w:vAlign w:val="center"/>
          </w:tcPr>
          <w:p w14:paraId="3DEEA16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★设备最大支持接入的采集节点总数量≥300。</w:t>
            </w:r>
          </w:p>
          <w:p w14:paraId="33ABB4D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#设备支持4G无线通信的采集节点数量≥48，可实现对应点位采集数据的远程实时回传与设备状态在线监控。</w:t>
            </w:r>
          </w:p>
        </w:tc>
        <w:tc>
          <w:tcPr>
            <w:tcW w:w="2126" w:type="dxa"/>
            <w:vAlign w:val="center"/>
          </w:tcPr>
          <w:p w14:paraId="18DA60F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377A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24C9DB7">
            <w:pPr>
              <w:spacing w:line="360" w:lineRule="auto"/>
              <w:jc w:val="center"/>
              <w:rPr>
                <w:rFonts w:ascii="仿宋_GB2312" w:hAnsi="宋体" w:eastAsia="仿宋_GB2312"/>
                <w:sz w:val="24"/>
                <w:szCs w:val="24"/>
              </w:rPr>
            </w:pPr>
            <w:r>
              <w:rPr>
                <w:rFonts w:ascii="仿宋_GB2312" w:hAnsi="宋体" w:eastAsia="仿宋_GB2312"/>
                <w:sz w:val="24"/>
                <w:szCs w:val="24"/>
              </w:rPr>
              <w:t>4</w:t>
            </w:r>
          </w:p>
        </w:tc>
        <w:tc>
          <w:tcPr>
            <w:tcW w:w="1134" w:type="dxa"/>
            <w:vAlign w:val="center"/>
          </w:tcPr>
          <w:p w14:paraId="682D51E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外接地震检波器数量及性能</w:t>
            </w:r>
          </w:p>
        </w:tc>
        <w:tc>
          <w:tcPr>
            <w:tcW w:w="1388" w:type="dxa"/>
            <w:vAlign w:val="center"/>
          </w:tcPr>
          <w:p w14:paraId="3E44FC54">
            <w:pPr>
              <w:widowControl/>
              <w:spacing w:line="360" w:lineRule="auto"/>
              <w:jc w:val="center"/>
              <w:rPr>
                <w:rFonts w:ascii="仿宋_GB2312" w:hAnsi="宋体" w:eastAsia="仿宋_GB2312"/>
                <w:sz w:val="24"/>
                <w:szCs w:val="24"/>
              </w:rPr>
            </w:pPr>
          </w:p>
        </w:tc>
        <w:tc>
          <w:tcPr>
            <w:tcW w:w="2864" w:type="dxa"/>
            <w:vAlign w:val="center"/>
          </w:tcPr>
          <w:p w14:paraId="2828F12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★支持外接独立地震检波器的节点数量，不低于总采集节点数的50%，可灵活适配不同频段的信号采集。</w:t>
            </w:r>
          </w:p>
          <w:p w14:paraId="0C034D41">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#外接独立地震检波器的自然频率≤2Hz，可完整捕捉超低频段的微弱地震信号。</w:t>
            </w:r>
          </w:p>
        </w:tc>
        <w:tc>
          <w:tcPr>
            <w:tcW w:w="2126" w:type="dxa"/>
            <w:vAlign w:val="center"/>
          </w:tcPr>
          <w:p w14:paraId="68FFEB5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2E8FD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D295357">
            <w:pPr>
              <w:spacing w:line="360" w:lineRule="auto"/>
              <w:jc w:val="center"/>
              <w:rPr>
                <w:rFonts w:ascii="仿宋_GB2312" w:hAnsi="宋体" w:eastAsia="仿宋_GB2312"/>
                <w:sz w:val="24"/>
                <w:szCs w:val="24"/>
              </w:rPr>
            </w:pPr>
            <w:r>
              <w:rPr>
                <w:rFonts w:hint="eastAsia" w:ascii="仿宋_GB2312" w:hAnsi="宋体" w:eastAsia="仿宋_GB2312"/>
                <w:sz w:val="24"/>
                <w:szCs w:val="24"/>
              </w:rPr>
              <w:t>5</w:t>
            </w:r>
          </w:p>
        </w:tc>
        <w:tc>
          <w:tcPr>
            <w:tcW w:w="1134" w:type="dxa"/>
            <w:vAlign w:val="center"/>
          </w:tcPr>
          <w:p w14:paraId="6C68622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配套软件及功能</w:t>
            </w:r>
          </w:p>
        </w:tc>
        <w:tc>
          <w:tcPr>
            <w:tcW w:w="1388" w:type="dxa"/>
            <w:vAlign w:val="center"/>
          </w:tcPr>
          <w:p w14:paraId="6D6FA813">
            <w:pPr>
              <w:widowControl/>
              <w:spacing w:line="360" w:lineRule="auto"/>
              <w:jc w:val="center"/>
              <w:rPr>
                <w:rFonts w:ascii="仿宋_GB2312" w:hAnsi="宋体" w:eastAsia="仿宋_GB2312"/>
                <w:sz w:val="24"/>
                <w:szCs w:val="24"/>
                <w:lang w:val="zh-CN"/>
              </w:rPr>
            </w:pPr>
            <w:r>
              <w:rPr>
                <w:rFonts w:hint="eastAsia" w:ascii="仿宋_GB2312" w:hAnsi="宋体" w:eastAsia="仿宋_GB2312" w:cs="宋体"/>
                <w:snapToGrid w:val="0"/>
                <w:kern w:val="0"/>
                <w:sz w:val="24"/>
                <w:szCs w:val="24"/>
                <w:lang w:val="zh-CN"/>
              </w:rPr>
              <w:t>#</w:t>
            </w:r>
          </w:p>
        </w:tc>
        <w:tc>
          <w:tcPr>
            <w:tcW w:w="2864" w:type="dxa"/>
            <w:vAlign w:val="center"/>
          </w:tcPr>
          <w:p w14:paraId="7995F478">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配套软件具有采集作业参数编辑、分发、数据实时质控、数据回收、切割、格式转换等基础功能，以及主动源反射、折射、面波及被动源处理功能</w:t>
            </w:r>
          </w:p>
        </w:tc>
        <w:tc>
          <w:tcPr>
            <w:tcW w:w="2126" w:type="dxa"/>
            <w:vAlign w:val="center"/>
          </w:tcPr>
          <w:p w14:paraId="2E12CED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641E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48268C3">
            <w:pPr>
              <w:spacing w:line="360" w:lineRule="auto"/>
              <w:jc w:val="center"/>
              <w:rPr>
                <w:rFonts w:ascii="仿宋_GB2312" w:hAnsi="宋体" w:eastAsia="仿宋_GB2312"/>
                <w:sz w:val="24"/>
                <w:szCs w:val="24"/>
              </w:rPr>
            </w:pPr>
            <w:r>
              <w:rPr>
                <w:rFonts w:hint="eastAsia" w:ascii="仿宋_GB2312" w:hAnsi="宋体" w:eastAsia="仿宋_GB2312"/>
                <w:sz w:val="24"/>
                <w:szCs w:val="24"/>
              </w:rPr>
              <w:t>6</w:t>
            </w:r>
          </w:p>
        </w:tc>
        <w:tc>
          <w:tcPr>
            <w:tcW w:w="1134" w:type="dxa"/>
            <w:vAlign w:val="center"/>
          </w:tcPr>
          <w:p w14:paraId="6BDFB36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节点待机时间</w:t>
            </w:r>
          </w:p>
        </w:tc>
        <w:tc>
          <w:tcPr>
            <w:tcW w:w="1388" w:type="dxa"/>
            <w:vAlign w:val="center"/>
          </w:tcPr>
          <w:p w14:paraId="100241CC">
            <w:pPr>
              <w:widowControl/>
              <w:spacing w:line="360" w:lineRule="auto"/>
              <w:jc w:val="center"/>
              <w:rPr>
                <w:rFonts w:ascii="仿宋_GB2312" w:hAnsi="宋体" w:eastAsia="仿宋_GB2312" w:cs="宋体"/>
                <w:snapToGrid w:val="0"/>
                <w:kern w:val="0"/>
                <w:sz w:val="24"/>
                <w:szCs w:val="24"/>
                <w:lang w:val="zh-CN"/>
              </w:rPr>
            </w:pPr>
            <w:r>
              <w:rPr>
                <w:rFonts w:hint="eastAsia" w:ascii="仿宋_GB2312" w:hAnsi="宋体" w:eastAsia="仿宋_GB2312"/>
                <w:sz w:val="24"/>
                <w:szCs w:val="24"/>
              </w:rPr>
              <w:t>#</w:t>
            </w:r>
          </w:p>
        </w:tc>
        <w:tc>
          <w:tcPr>
            <w:tcW w:w="2864" w:type="dxa"/>
            <w:vAlign w:val="center"/>
          </w:tcPr>
          <w:p w14:paraId="30D87F7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在常规低功耗待机模式下，续航时长不低于25天。</w:t>
            </w:r>
          </w:p>
        </w:tc>
        <w:tc>
          <w:tcPr>
            <w:tcW w:w="2126" w:type="dxa"/>
            <w:vAlign w:val="center"/>
          </w:tcPr>
          <w:p w14:paraId="3AA3AD8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3711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CBB9112">
            <w:pPr>
              <w:spacing w:line="360" w:lineRule="auto"/>
              <w:jc w:val="center"/>
              <w:rPr>
                <w:rFonts w:ascii="仿宋_GB2312" w:hAnsi="宋体" w:eastAsia="仿宋_GB2312"/>
                <w:sz w:val="24"/>
                <w:szCs w:val="24"/>
              </w:rPr>
            </w:pPr>
            <w:r>
              <w:rPr>
                <w:rFonts w:hint="eastAsia" w:ascii="仿宋_GB2312" w:hAnsi="宋体" w:eastAsia="仿宋_GB2312"/>
                <w:sz w:val="24"/>
                <w:szCs w:val="24"/>
              </w:rPr>
              <w:t>7</w:t>
            </w:r>
          </w:p>
        </w:tc>
        <w:tc>
          <w:tcPr>
            <w:tcW w:w="1134" w:type="dxa"/>
            <w:vAlign w:val="center"/>
          </w:tcPr>
          <w:p w14:paraId="2D47B4A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通道数量、地震仪</w:t>
            </w:r>
            <w:r>
              <w:rPr>
                <w:rFonts w:ascii="仿宋_GB2312" w:hAnsi="宋体" w:eastAsia="仿宋_GB2312"/>
                <w:sz w:val="24"/>
                <w:szCs w:val="24"/>
              </w:rPr>
              <w:t>A</w:t>
            </w:r>
            <w:r>
              <w:rPr>
                <w:rFonts w:hint="eastAsia" w:ascii="仿宋_GB2312" w:hAnsi="宋体" w:eastAsia="仿宋_GB2312"/>
                <w:sz w:val="24"/>
                <w:szCs w:val="24"/>
              </w:rPr>
              <w:t>/</w:t>
            </w:r>
            <w:r>
              <w:rPr>
                <w:rFonts w:ascii="仿宋_GB2312" w:hAnsi="宋体" w:eastAsia="仿宋_GB2312"/>
                <w:sz w:val="24"/>
                <w:szCs w:val="24"/>
              </w:rPr>
              <w:t>D</w:t>
            </w:r>
            <w:r>
              <w:rPr>
                <w:rFonts w:hint="eastAsia" w:ascii="仿宋_GB2312" w:hAnsi="宋体" w:eastAsia="仿宋_GB2312"/>
                <w:sz w:val="24"/>
                <w:szCs w:val="24"/>
              </w:rPr>
              <w:t>位数、频率响应、</w:t>
            </w:r>
            <w:r>
              <w:rPr>
                <w:rFonts w:ascii="仿宋_GB2312" w:hAnsi="宋体" w:eastAsia="仿宋_GB2312"/>
                <w:sz w:val="24"/>
                <w:szCs w:val="24"/>
              </w:rPr>
              <w:t>传感器灵敏度</w:t>
            </w:r>
            <w:r>
              <w:rPr>
                <w:rFonts w:hint="eastAsia" w:ascii="仿宋_GB2312" w:hAnsi="宋体" w:eastAsia="仿宋_GB2312"/>
                <w:sz w:val="24"/>
                <w:szCs w:val="24"/>
              </w:rPr>
              <w:t>、</w:t>
            </w:r>
            <w:r>
              <w:rPr>
                <w:rFonts w:ascii="仿宋_GB2312" w:hAnsi="宋体" w:eastAsia="仿宋_GB2312"/>
                <w:sz w:val="24"/>
                <w:szCs w:val="24"/>
              </w:rPr>
              <w:t xml:space="preserve"> </w:t>
            </w:r>
            <w:r>
              <w:rPr>
                <w:rFonts w:hint="eastAsia" w:ascii="仿宋_GB2312" w:hAnsi="宋体" w:eastAsia="仿宋_GB2312"/>
                <w:sz w:val="24"/>
                <w:szCs w:val="24"/>
              </w:rPr>
              <w:t>使用温度、配件要求</w:t>
            </w:r>
          </w:p>
        </w:tc>
        <w:tc>
          <w:tcPr>
            <w:tcW w:w="1388" w:type="dxa"/>
            <w:vAlign w:val="center"/>
          </w:tcPr>
          <w:p w14:paraId="29C8694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2864" w:type="dxa"/>
            <w:vAlign w:val="center"/>
          </w:tcPr>
          <w:p w14:paraId="0A52BC33">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节点内置检波器通道数≥1， A/D位数3</w:t>
            </w:r>
            <w:r>
              <w:rPr>
                <w:rFonts w:ascii="仿宋_GB2312" w:hAnsi="宋体" w:eastAsia="仿宋_GB2312"/>
                <w:sz w:val="24"/>
                <w:szCs w:val="24"/>
              </w:rPr>
              <w:t>2位，</w:t>
            </w:r>
            <w:r>
              <w:rPr>
                <w:rFonts w:hint="eastAsia" w:ascii="仿宋_GB2312" w:hAnsi="宋体" w:eastAsia="仿宋_GB2312"/>
                <w:sz w:val="24"/>
                <w:szCs w:val="24"/>
              </w:rPr>
              <w:t>有效频带范围覆盖0.</w:t>
            </w:r>
            <w:r>
              <w:rPr>
                <w:rFonts w:ascii="仿宋_GB2312" w:hAnsi="宋体" w:eastAsia="仿宋_GB2312"/>
                <w:sz w:val="24"/>
                <w:szCs w:val="24"/>
              </w:rPr>
              <w:t>5</w:t>
            </w:r>
            <w:r>
              <w:rPr>
                <w:rFonts w:hint="eastAsia" w:ascii="仿宋_GB2312" w:hAnsi="宋体" w:eastAsia="仿宋_GB2312"/>
                <w:sz w:val="24"/>
                <w:szCs w:val="24"/>
              </w:rPr>
              <w:t>-</w:t>
            </w:r>
            <w:r>
              <w:rPr>
                <w:rFonts w:ascii="仿宋_GB2312" w:hAnsi="宋体" w:eastAsia="仿宋_GB2312"/>
                <w:sz w:val="24"/>
                <w:szCs w:val="24"/>
              </w:rPr>
              <w:t>500</w:t>
            </w:r>
            <w:r>
              <w:rPr>
                <w:rFonts w:hint="eastAsia" w:ascii="仿宋_GB2312" w:hAnsi="宋体" w:eastAsia="仿宋_GB2312"/>
                <w:sz w:val="24"/>
                <w:szCs w:val="24"/>
              </w:rPr>
              <w:t>Hz，传感器灵敏度不低于</w:t>
            </w:r>
            <w:r>
              <w:rPr>
                <w:rFonts w:ascii="仿宋_GB2312" w:hAnsi="宋体" w:eastAsia="仿宋_GB2312"/>
                <w:sz w:val="24"/>
                <w:szCs w:val="24"/>
              </w:rPr>
              <w:t>80V</w:t>
            </w:r>
            <w:r>
              <w:rPr>
                <w:rFonts w:hint="eastAsia" w:ascii="仿宋_GB2312" w:hAnsi="宋体" w:eastAsia="仿宋_GB2312"/>
                <w:sz w:val="24"/>
                <w:szCs w:val="24"/>
              </w:rPr>
              <w:t>/</w:t>
            </w:r>
            <w:r>
              <w:rPr>
                <w:rFonts w:ascii="仿宋_GB2312" w:hAnsi="宋体" w:eastAsia="仿宋_GB2312"/>
                <w:sz w:val="24"/>
                <w:szCs w:val="24"/>
              </w:rPr>
              <w:t>m</w:t>
            </w:r>
            <w:r>
              <w:rPr>
                <w:rFonts w:hint="eastAsia" w:ascii="仿宋_GB2312" w:hAnsi="宋体" w:eastAsia="仿宋_GB2312"/>
                <w:sz w:val="24"/>
                <w:szCs w:val="24"/>
              </w:rPr>
              <w:t>/s。工作温度-</w:t>
            </w:r>
            <w:r>
              <w:rPr>
                <w:rFonts w:ascii="仿宋_GB2312" w:hAnsi="宋体" w:eastAsia="仿宋_GB2312"/>
                <w:sz w:val="24"/>
                <w:szCs w:val="24"/>
              </w:rPr>
              <w:t>40</w:t>
            </w:r>
            <w:r>
              <w:rPr>
                <w:rFonts w:hint="eastAsia" w:ascii="仿宋_GB2312" w:hAnsi="宋体" w:eastAsia="仿宋_GB2312"/>
                <w:sz w:val="24"/>
                <w:szCs w:val="24"/>
              </w:rPr>
              <w:t>℃至</w:t>
            </w:r>
            <w:r>
              <w:rPr>
                <w:rFonts w:ascii="仿宋_GB2312" w:hAnsi="宋体" w:eastAsia="仿宋_GB2312"/>
                <w:sz w:val="24"/>
                <w:szCs w:val="24"/>
              </w:rPr>
              <w:t>+70</w:t>
            </w:r>
            <w:r>
              <w:rPr>
                <w:rFonts w:hint="eastAsia" w:ascii="仿宋_GB2312" w:hAnsi="宋体" w:eastAsia="仿宋_GB2312"/>
                <w:sz w:val="24"/>
                <w:szCs w:val="24"/>
              </w:rPr>
              <w:t>℃。</w:t>
            </w:r>
          </w:p>
          <w:p w14:paraId="28B6316E">
            <w:pPr>
              <w:widowControl/>
              <w:spacing w:line="360" w:lineRule="auto"/>
              <w:jc w:val="left"/>
              <w:rPr>
                <w:rFonts w:ascii="仿宋_GB2312" w:hAnsi="宋体" w:eastAsia="仿宋_GB2312"/>
                <w:sz w:val="24"/>
                <w:szCs w:val="24"/>
              </w:rPr>
            </w:pPr>
            <w:r>
              <w:rPr>
                <w:rFonts w:hint="eastAsia" w:ascii="仿宋_GB2312" w:hAnsi="宋体" w:eastAsia="仿宋_GB2312"/>
                <w:sz w:val="24"/>
                <w:szCs w:val="24"/>
              </w:rPr>
              <w:t>配件包括但不限于微秒记录仪、充电/数据下载一体化设备、电源适配器、数据传输线缆。</w:t>
            </w:r>
          </w:p>
        </w:tc>
        <w:tc>
          <w:tcPr>
            <w:tcW w:w="2126" w:type="dxa"/>
            <w:vAlign w:val="center"/>
          </w:tcPr>
          <w:p w14:paraId="712802E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bl>
    <w:p w14:paraId="2E5EEE37">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69D1A7C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74FF6B79">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3FF94EE7">
      <w:pPr>
        <w:widowControl/>
        <w:ind w:firstLine="560"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color w:val="000000"/>
          <w:kern w:val="0"/>
          <w:sz w:val="28"/>
          <w:szCs w:val="28"/>
          <w:shd w:val="clear" w:color="auto" w:fill="FFFFFF"/>
        </w:rPr>
        <w:t xml:space="preserve"> </w:t>
      </w:r>
      <w:r>
        <w:rPr>
          <w:rFonts w:hint="eastAsia" w:ascii="仿宋_GB2312" w:hAnsi="宋体" w:eastAsia="仿宋_GB2312" w:cs="仿宋"/>
          <w:b/>
          <w:color w:val="000000"/>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28C1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C0423F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5B248F39">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447FE037">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202552C3">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68969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7C00FE4B">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0E082206">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79F5270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tcPr>
          <w:p w14:paraId="4F98AD84">
            <w:pPr>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sz w:val="24"/>
                <w:szCs w:val="24"/>
              </w:rPr>
              <w:t>合同签订后60天内交货并完成安装调试。</w:t>
            </w:r>
          </w:p>
        </w:tc>
      </w:tr>
      <w:tr w14:paraId="18A50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3FC0BAE4">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75409616">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7E865F1C">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1D2E0BF0">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仿宋_GB2312" w:hAnsi="宋体" w:eastAsia="仿宋_GB2312" w:cs="宋体"/>
                <w:i/>
                <w:snapToGrid w:val="0"/>
                <w:kern w:val="0"/>
                <w:sz w:val="24"/>
                <w:szCs w:val="24"/>
                <w:lang w:val="zh-CN"/>
              </w:rPr>
              <w:t>采购人指定地点。</w:t>
            </w:r>
          </w:p>
        </w:tc>
      </w:tr>
      <w:tr w14:paraId="31D5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345741C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4AADA1EA">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1E7356A4">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28E38ADA">
            <w:pPr>
              <w:autoSpaceDE w:val="0"/>
              <w:autoSpaceDN w:val="0"/>
              <w:adjustRightInd w:val="0"/>
              <w:snapToGrid w:val="0"/>
              <w:spacing w:line="360" w:lineRule="auto"/>
              <w:jc w:val="left"/>
              <w:rPr>
                <w:rFonts w:ascii="仿宋_GB2312" w:hAnsi="宋体" w:eastAsia="仿宋_GB2312" w:cs="宋体"/>
                <w:i/>
                <w:snapToGrid w:val="0"/>
                <w:kern w:val="0"/>
                <w:sz w:val="24"/>
                <w:szCs w:val="24"/>
                <w:lang w:val="zh-CN"/>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，震源及节点地震仪主体</w:t>
            </w:r>
            <w:r>
              <w:rPr>
                <w:rFonts w:hint="eastAsia" w:ascii="仿宋_GB2312" w:hAnsi="宋体" w:eastAsia="仿宋_GB2312" w:cs="宋体"/>
                <w:iCs/>
                <w:snapToGrid w:val="0"/>
                <w:kern w:val="0"/>
                <w:sz w:val="24"/>
                <w:szCs w:val="24"/>
                <w:lang w:val="zh-CN"/>
              </w:rPr>
              <w:t>硬件</w:t>
            </w:r>
            <w:r>
              <w:rPr>
                <w:rFonts w:hint="eastAsia" w:ascii="仿宋_GB2312" w:hAnsi="宋体" w:eastAsia="仿宋_GB2312" w:cs="宋体"/>
                <w:iCs/>
                <w:snapToGrid w:val="0"/>
                <w:kern w:val="0"/>
                <w:sz w:val="24"/>
                <w:szCs w:val="24"/>
              </w:rPr>
              <w:t>2</w:t>
            </w:r>
            <w:r>
              <w:rPr>
                <w:rFonts w:hint="eastAsia" w:ascii="仿宋_GB2312" w:hAnsi="宋体" w:eastAsia="仿宋_GB2312" w:cs="宋体"/>
                <w:iCs/>
                <w:snapToGrid w:val="0"/>
                <w:kern w:val="0"/>
                <w:sz w:val="24"/>
                <w:szCs w:val="24"/>
                <w:lang w:val="zh-CN"/>
              </w:rPr>
              <w:t>年免费保修、</w:t>
            </w:r>
            <w:r>
              <w:rPr>
                <w:rFonts w:hint="eastAsia" w:ascii="仿宋_GB2312" w:hAnsi="宋体" w:eastAsia="仿宋_GB2312" w:cs="宋体"/>
                <w:iCs/>
                <w:snapToGrid w:val="0"/>
                <w:kern w:val="0"/>
                <w:sz w:val="24"/>
                <w:szCs w:val="24"/>
              </w:rPr>
              <w:t>电池等配件1年</w:t>
            </w:r>
            <w:r>
              <w:rPr>
                <w:rFonts w:hint="eastAsia" w:ascii="仿宋_GB2312" w:hAnsi="宋体" w:eastAsia="仿宋_GB2312" w:cs="宋体"/>
                <w:iCs/>
                <w:snapToGrid w:val="0"/>
                <w:kern w:val="0"/>
                <w:sz w:val="24"/>
                <w:szCs w:val="24"/>
                <w:lang w:val="zh-CN"/>
              </w:rPr>
              <w:t>费保修，所有软件</w:t>
            </w:r>
            <w:r>
              <w:rPr>
                <w:rFonts w:hint="eastAsia" w:ascii="仿宋_GB2312" w:hAnsi="宋体" w:eastAsia="仿宋_GB2312" w:cs="宋体"/>
                <w:iCs/>
                <w:snapToGrid w:val="0"/>
                <w:kern w:val="0"/>
                <w:sz w:val="24"/>
                <w:szCs w:val="24"/>
              </w:rPr>
              <w:t>5</w:t>
            </w:r>
            <w:r>
              <w:rPr>
                <w:rFonts w:hint="eastAsia" w:ascii="仿宋_GB2312" w:hAnsi="宋体" w:eastAsia="仿宋_GB2312" w:cs="宋体"/>
                <w:iCs/>
                <w:snapToGrid w:val="0"/>
                <w:kern w:val="0"/>
                <w:sz w:val="24"/>
                <w:szCs w:val="24"/>
                <w:lang w:val="zh-CN"/>
              </w:rPr>
              <w:t>年免费保修升级。</w:t>
            </w:r>
          </w:p>
        </w:tc>
      </w:tr>
      <w:tr w14:paraId="3E76B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80F6A9A">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0089C0FE">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28418CF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tcPr>
          <w:p w14:paraId="2DC71DFE">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198D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39D5384">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44A20B3B">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646EEEA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55B673E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tcPr>
          <w:p w14:paraId="5435296A">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电话报修后</w:t>
            </w:r>
            <w:r>
              <w:rPr>
                <w:rFonts w:hint="eastAsia" w:ascii="仿宋_GB2312" w:hAnsi="宋体" w:eastAsia="仿宋_GB2312" w:cs="宋体"/>
                <w:iCs/>
                <w:snapToGrid w:val="0"/>
                <w:kern w:val="0"/>
                <w:sz w:val="24"/>
                <w:szCs w:val="24"/>
              </w:rPr>
              <w:t>24</w:t>
            </w:r>
            <w:r>
              <w:rPr>
                <w:rFonts w:hint="eastAsia" w:ascii="仿宋_GB2312" w:hAnsi="宋体" w:eastAsia="仿宋_GB2312" w:cs="宋体"/>
                <w:iCs/>
                <w:snapToGrid w:val="0"/>
                <w:kern w:val="0"/>
                <w:sz w:val="24"/>
                <w:szCs w:val="24"/>
                <w:lang w:val="zh-CN"/>
              </w:rPr>
              <w:t>小时</w:t>
            </w:r>
            <w:r>
              <w:rPr>
                <w:rFonts w:hint="eastAsia" w:ascii="仿宋_GB2312" w:hAnsi="宋体" w:eastAsia="仿宋_GB2312" w:cs="宋体"/>
                <w:iCs/>
                <w:snapToGrid w:val="0"/>
                <w:kern w:val="0"/>
                <w:sz w:val="24"/>
                <w:szCs w:val="24"/>
              </w:rPr>
              <w:t>响应</w:t>
            </w:r>
            <w:r>
              <w:rPr>
                <w:rFonts w:hint="eastAsia" w:ascii="仿宋_GB2312" w:hAnsi="宋体" w:eastAsia="仿宋_GB2312" w:cs="宋体"/>
                <w:iCs/>
                <w:snapToGrid w:val="0"/>
                <w:kern w:val="0"/>
                <w:sz w:val="24"/>
                <w:szCs w:val="24"/>
                <w:lang w:val="zh-CN"/>
              </w:rPr>
              <w:t>、</w:t>
            </w:r>
            <w:r>
              <w:rPr>
                <w:rFonts w:hint="eastAsia" w:ascii="仿宋_GB2312" w:hAnsi="宋体" w:eastAsia="仿宋_GB2312" w:cs="宋体"/>
                <w:iCs/>
                <w:snapToGrid w:val="0"/>
                <w:kern w:val="0"/>
                <w:sz w:val="24"/>
                <w:szCs w:val="24"/>
              </w:rPr>
              <w:t>7天内</w:t>
            </w:r>
            <w:r>
              <w:rPr>
                <w:rFonts w:hint="eastAsia" w:ascii="仿宋_GB2312" w:hAnsi="宋体" w:eastAsia="仿宋_GB2312" w:cs="宋体"/>
                <w:iCs/>
                <w:snapToGrid w:val="0"/>
                <w:kern w:val="0"/>
                <w:sz w:val="24"/>
                <w:szCs w:val="24"/>
                <w:lang w:val="zh-CN"/>
              </w:rPr>
              <w:t>排除故障</w:t>
            </w:r>
            <w:r>
              <w:rPr>
                <w:rFonts w:hint="eastAsia" w:ascii="仿宋_GB2312" w:hAnsi="宋体" w:eastAsia="仿宋_GB2312" w:cs="宋体"/>
                <w:iCs/>
                <w:snapToGrid w:val="0"/>
                <w:kern w:val="0"/>
                <w:sz w:val="24"/>
                <w:szCs w:val="24"/>
              </w:rPr>
              <w:t>或找到解决方案</w:t>
            </w:r>
            <w:r>
              <w:rPr>
                <w:rFonts w:hint="eastAsia" w:ascii="仿宋_GB2312" w:hAnsi="宋体" w:eastAsia="仿宋_GB2312" w:cs="宋体"/>
                <w:iCs/>
                <w:snapToGrid w:val="0"/>
                <w:kern w:val="0"/>
                <w:sz w:val="24"/>
                <w:szCs w:val="24"/>
                <w:lang w:val="zh-CN"/>
              </w:rPr>
              <w:t>。</w:t>
            </w:r>
          </w:p>
          <w:p w14:paraId="1623BC12">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r>
              <w:rPr>
                <w:rFonts w:hint="eastAsia" w:ascii="仿宋_GB2312" w:hAnsi="宋体" w:eastAsia="仿宋_GB2312" w:cs="宋体"/>
                <w:iCs/>
                <w:snapToGrid w:val="0"/>
                <w:kern w:val="0"/>
                <w:sz w:val="24"/>
                <w:szCs w:val="24"/>
              </w:rPr>
              <w:t xml:space="preserve"> </w:t>
            </w:r>
          </w:p>
        </w:tc>
      </w:tr>
      <w:tr w14:paraId="33AA8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FB10BBF">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04E87873">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3771644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vAlign w:val="center"/>
          </w:tcPr>
          <w:p w14:paraId="46090215">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2E23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C94BAD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1468845C">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6F27AAC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vAlign w:val="center"/>
          </w:tcPr>
          <w:p w14:paraId="6A2F9C56">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提供原厂操作培训（不少于4人次</w:t>
            </w:r>
            <w:r>
              <w:rPr>
                <w:rFonts w:hint="eastAsia" w:ascii="微软雅黑" w:hAnsi="微软雅黑" w:eastAsia="微软雅黑" w:cs="微软雅黑"/>
                <w:iCs/>
                <w:snapToGrid w:val="0"/>
                <w:kern w:val="0"/>
                <w:sz w:val="24"/>
                <w:szCs w:val="24"/>
                <w:lang w:val="zh-CN"/>
              </w:rPr>
              <w:t>•</w:t>
            </w:r>
            <w:r>
              <w:rPr>
                <w:rFonts w:hint="eastAsia" w:ascii="仿宋" w:hAnsi="仿宋" w:eastAsia="仿宋" w:cs="仿宋"/>
                <w:iCs/>
                <w:snapToGrid w:val="0"/>
                <w:kern w:val="0"/>
                <w:sz w:val="24"/>
                <w:szCs w:val="24"/>
                <w:lang w:val="zh-CN"/>
              </w:rPr>
              <w:t>天，含理论</w:t>
            </w:r>
            <w:r>
              <w:rPr>
                <w:rFonts w:hint="eastAsia" w:ascii="仿宋_GB2312" w:hAnsi="宋体" w:eastAsia="仿宋_GB2312" w:cs="宋体"/>
                <w:iCs/>
                <w:snapToGrid w:val="0"/>
                <w:kern w:val="0"/>
                <w:sz w:val="24"/>
                <w:szCs w:val="24"/>
                <w:lang w:val="zh-CN"/>
              </w:rPr>
              <w:t>+实操），确保操作人员独立掌握设备使用及基础维护技能，交通等与培训相关的费用均由中标人承担。</w:t>
            </w:r>
          </w:p>
        </w:tc>
      </w:tr>
      <w:tr w14:paraId="5055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7266582">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5E7A29A8">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263E241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tcPr>
          <w:p w14:paraId="064F55AC">
            <w:pPr>
              <w:widowControl/>
              <w:autoSpaceDE w:val="0"/>
              <w:autoSpaceDN w:val="0"/>
              <w:adjustRightInd w:val="0"/>
              <w:snapToGrid w:val="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按照供应商响应文件及采购文件确定的技术和服务指标进行验收。</w:t>
            </w:r>
          </w:p>
        </w:tc>
      </w:tr>
      <w:tr w14:paraId="0183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1318133">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3467C92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4F34B146">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vAlign w:val="center"/>
          </w:tcPr>
          <w:p w14:paraId="0B2669FC">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（1）中标人应于合同签订之日起</w:t>
            </w:r>
            <w:r>
              <w:rPr>
                <w:rFonts w:ascii="仿宋_GB2312" w:hAnsi="宋体" w:eastAsia="仿宋_GB2312" w:cs="宋体"/>
                <w:iCs/>
                <w:snapToGrid w:val="0"/>
                <w:kern w:val="0"/>
                <w:sz w:val="24"/>
                <w:szCs w:val="24"/>
                <w:lang w:val="zh-CN"/>
              </w:rPr>
              <w:t>7</w:t>
            </w:r>
            <w:r>
              <w:rPr>
                <w:rFonts w:hint="eastAsia" w:ascii="仿宋_GB2312" w:hAnsi="宋体" w:eastAsia="仿宋_GB2312" w:cs="宋体"/>
                <w:iCs/>
                <w:snapToGrid w:val="0"/>
                <w:kern w:val="0"/>
                <w:sz w:val="24"/>
                <w:szCs w:val="24"/>
                <w:lang w:val="zh-CN"/>
              </w:rPr>
              <w:t>个工作日内，向采购人支付合同标的额的5%作为履约保证金。中标人应将履约保证金支付至采购人指定账户。</w:t>
            </w:r>
          </w:p>
          <w:p w14:paraId="33713CEC">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iCs/>
                <w:snapToGrid w:val="0"/>
                <w:kern w:val="0"/>
                <w:sz w:val="24"/>
                <w:szCs w:val="24"/>
                <w:lang w:val="zh-CN"/>
              </w:rPr>
              <w:t>（2）仪器设备到货并经使用单位验收合格后，采购人在</w:t>
            </w:r>
            <w:r>
              <w:rPr>
                <w:rFonts w:ascii="仿宋_GB2312" w:hAnsi="宋体" w:eastAsia="仿宋_GB2312" w:cs="宋体"/>
                <w:iCs/>
                <w:snapToGrid w:val="0"/>
                <w:kern w:val="0"/>
                <w:sz w:val="24"/>
                <w:szCs w:val="24"/>
                <w:lang w:val="zh-CN"/>
              </w:rPr>
              <w:t>7</w:t>
            </w:r>
            <w:r>
              <w:rPr>
                <w:rFonts w:hint="eastAsia" w:ascii="仿宋_GB2312" w:hAnsi="宋体" w:eastAsia="仿宋_GB2312" w:cs="宋体"/>
                <w:iCs/>
                <w:snapToGrid w:val="0"/>
                <w:kern w:val="0"/>
                <w:sz w:val="24"/>
                <w:szCs w:val="24"/>
                <w:lang w:val="zh-CN"/>
              </w:rPr>
              <w:t>个工作日内向中标人支付合同总金额的100%。采购人应于设备验收合格满一年后，且中标人无任何违约行为（包括但不限于质量问题、售后服务瑕疵等），向中标人无息返还全部履约保证金。</w:t>
            </w:r>
          </w:p>
        </w:tc>
      </w:tr>
      <w:tr w14:paraId="6785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82B1909">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56E9B73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1979749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tcPr>
          <w:p w14:paraId="4A082D0F">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由投标人承担。</w:t>
            </w:r>
          </w:p>
        </w:tc>
      </w:tr>
      <w:tr w14:paraId="4F2FC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04A1CE1">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r>
              <w:rPr>
                <w:rFonts w:ascii="仿宋_GB2312" w:hAnsi="宋体" w:eastAsia="仿宋_GB2312" w:cs="宋体"/>
                <w:snapToGrid w:val="0"/>
                <w:kern w:val="0"/>
                <w:sz w:val="24"/>
                <w:szCs w:val="24"/>
                <w:lang w:val="zh-CN"/>
              </w:rPr>
              <w:t>1</w:t>
            </w:r>
          </w:p>
        </w:tc>
        <w:tc>
          <w:tcPr>
            <w:tcW w:w="1603" w:type="dxa"/>
            <w:vAlign w:val="center"/>
          </w:tcPr>
          <w:p w14:paraId="045CA2B9">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知识产权</w:t>
            </w:r>
          </w:p>
        </w:tc>
        <w:tc>
          <w:tcPr>
            <w:tcW w:w="940" w:type="dxa"/>
          </w:tcPr>
          <w:p w14:paraId="30A7707C">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w:t>
            </w:r>
          </w:p>
        </w:tc>
        <w:tc>
          <w:tcPr>
            <w:tcW w:w="5237" w:type="dxa"/>
          </w:tcPr>
          <w:p w14:paraId="7E508856">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中标人对向采购人供应的产品需拥有自主知识产权（包括但不限于专利权、商标权或商业秘密等）或获得了权利人的许可，保证向采购人提供的产品不侵犯任何人的知识产权，当采购人因中标人供应的产品侵权遭受他人索赔或行政处罚等维权措施的，中标人应全力组织协调应对，并赔偿采购人的损失（包括不限于因停产停售造成的损失、律师费、差旅费、赔偿金、罚款等）。</w:t>
            </w:r>
          </w:p>
        </w:tc>
      </w:tr>
      <w:tr w14:paraId="1F85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84959FF">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r>
              <w:rPr>
                <w:rFonts w:ascii="仿宋_GB2312" w:hAnsi="宋体" w:eastAsia="仿宋_GB2312" w:cs="宋体"/>
                <w:snapToGrid w:val="0"/>
                <w:kern w:val="0"/>
                <w:sz w:val="24"/>
                <w:szCs w:val="24"/>
                <w:lang w:val="zh-CN"/>
              </w:rPr>
              <w:t>2</w:t>
            </w:r>
            <w:r>
              <w:rPr>
                <w:rFonts w:hint="eastAsia" w:ascii="仿宋_GB2312" w:hAnsi="宋体" w:eastAsia="仿宋_GB2312" w:cs="宋体"/>
                <w:snapToGrid w:val="0"/>
                <w:kern w:val="0"/>
                <w:sz w:val="24"/>
                <w:szCs w:val="24"/>
                <w:lang w:val="zh-CN"/>
              </w:rPr>
              <w:t xml:space="preserve"> </w:t>
            </w:r>
          </w:p>
        </w:tc>
        <w:tc>
          <w:tcPr>
            <w:tcW w:w="1603" w:type="dxa"/>
            <w:vAlign w:val="center"/>
          </w:tcPr>
          <w:p w14:paraId="0DF3E70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556C81F6">
            <w:pPr>
              <w:autoSpaceDE w:val="0"/>
              <w:autoSpaceDN w:val="0"/>
              <w:adjustRightInd w:val="0"/>
              <w:snapToGrid w:val="0"/>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5237" w:type="dxa"/>
          </w:tcPr>
          <w:p w14:paraId="19ACAFD1">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报价要求：（1）投标人的报价均应以人民币进行报价。</w:t>
            </w:r>
          </w:p>
          <w:p w14:paraId="7FB30D95">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（2）投标报价应包含完成本项目的全部费用，包括但不限于货物的设计、制造、采购、运输、保险、装卸、仓储、保管、检测、调试、培训、验收、售后服务、利润、税费等费用。</w:t>
            </w:r>
          </w:p>
        </w:tc>
      </w:tr>
    </w:tbl>
    <w:p w14:paraId="206F6AD3">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4E6DC7C5">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46B5BFEC">
      <w:pPr>
        <w:spacing w:line="360" w:lineRule="auto"/>
        <w:ind w:firstLine="493"/>
        <w:jc w:val="left"/>
        <w:rPr>
          <w:rFonts w:hint="eastAsia" w:ascii="仿宋_GB2312" w:hAnsi="宋体" w:eastAsia="仿宋_GB2312"/>
          <w:sz w:val="24"/>
          <w:szCs w:val="24"/>
        </w:rPr>
      </w:pPr>
      <w:r>
        <w:rPr>
          <w:rFonts w:hint="eastAsia" w:ascii="仿宋_GB2312" w:hAnsi="宋体" w:eastAsia="仿宋_GB2312"/>
          <w:sz w:val="24"/>
          <w:szCs w:val="24"/>
        </w:rPr>
        <w:t>本项目震源采用电池供电，提供多个能级激发，在环境敏感区采用低能级激发以保证符合环境保护要求。</w:t>
      </w:r>
    </w:p>
    <w:p w14:paraId="4C17AEA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5E194110">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0FD1600C">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41D0BB70">
      <w:pPr>
        <w:spacing w:line="360" w:lineRule="auto"/>
        <w:ind w:firstLine="493"/>
        <w:jc w:val="left"/>
        <w:rPr>
          <w:rFonts w:ascii="仿宋_GB2312" w:hAnsi="宋体" w:eastAsia="仿宋_GB2312"/>
          <w:sz w:val="24"/>
          <w:szCs w:val="24"/>
        </w:rPr>
      </w:pPr>
      <w:r>
        <w:rPr>
          <w:rFonts w:hint="eastAsia" w:ascii="仿宋_GB2312" w:hAnsi="宋体" w:eastAsia="仿宋_GB2312"/>
          <w:b/>
          <w:sz w:val="24"/>
          <w:szCs w:val="24"/>
        </w:rPr>
        <w:sym w:font="Wingdings 2" w:char="0052"/>
      </w:r>
      <w:r>
        <w:rPr>
          <w:rFonts w:hint="eastAsia" w:ascii="仿宋_GB2312" w:hAnsi="宋体" w:eastAsia="仿宋_GB2312"/>
          <w:sz w:val="24"/>
          <w:szCs w:val="24"/>
        </w:rPr>
        <w:t>非专门面向中小企业采购项目</w:t>
      </w:r>
    </w:p>
    <w:p w14:paraId="66732191">
      <w:pPr>
        <w:spacing w:line="360" w:lineRule="auto"/>
        <w:ind w:firstLine="493"/>
        <w:jc w:val="left"/>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工业 </w:t>
      </w:r>
      <w:r>
        <w:rPr>
          <w:rFonts w:hint="eastAsia" w:ascii="仿宋_GB2312" w:hAnsi="宋体" w:eastAsia="仿宋_GB2312"/>
          <w:sz w:val="24"/>
          <w:szCs w:val="24"/>
        </w:rPr>
        <w:t xml:space="preserve">    </w:t>
      </w:r>
    </w:p>
    <w:p w14:paraId="11D3C88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6BF0D1"/>
    <w:multiLevelType w:val="singleLevel"/>
    <w:tmpl w:val="6A6BF0D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0046CD3"/>
    <w:rsid w:val="00126ADF"/>
    <w:rsid w:val="0016040F"/>
    <w:rsid w:val="0018486C"/>
    <w:rsid w:val="001976CF"/>
    <w:rsid w:val="001F6361"/>
    <w:rsid w:val="00226993"/>
    <w:rsid w:val="0029485F"/>
    <w:rsid w:val="002A7B6A"/>
    <w:rsid w:val="002D4D5E"/>
    <w:rsid w:val="00302739"/>
    <w:rsid w:val="00375690"/>
    <w:rsid w:val="00403E74"/>
    <w:rsid w:val="004A2C0C"/>
    <w:rsid w:val="004C4992"/>
    <w:rsid w:val="005118D9"/>
    <w:rsid w:val="005B3C51"/>
    <w:rsid w:val="005C354B"/>
    <w:rsid w:val="005E08D8"/>
    <w:rsid w:val="00600036"/>
    <w:rsid w:val="006648BE"/>
    <w:rsid w:val="006901C6"/>
    <w:rsid w:val="006F4EB5"/>
    <w:rsid w:val="0075309D"/>
    <w:rsid w:val="007D1322"/>
    <w:rsid w:val="007E006C"/>
    <w:rsid w:val="007F2E35"/>
    <w:rsid w:val="00801C4A"/>
    <w:rsid w:val="00832805"/>
    <w:rsid w:val="00841FF9"/>
    <w:rsid w:val="009B2DCF"/>
    <w:rsid w:val="009C7E77"/>
    <w:rsid w:val="00A00B1F"/>
    <w:rsid w:val="00A22F85"/>
    <w:rsid w:val="00A61B9F"/>
    <w:rsid w:val="00AB6D9F"/>
    <w:rsid w:val="00AF6BA0"/>
    <w:rsid w:val="00B0719A"/>
    <w:rsid w:val="00B211D8"/>
    <w:rsid w:val="00B34839"/>
    <w:rsid w:val="00BA76B0"/>
    <w:rsid w:val="00BB1514"/>
    <w:rsid w:val="00C05702"/>
    <w:rsid w:val="00C325AB"/>
    <w:rsid w:val="00C967C7"/>
    <w:rsid w:val="00CA173E"/>
    <w:rsid w:val="00CA73C2"/>
    <w:rsid w:val="00CE71D4"/>
    <w:rsid w:val="00CF1157"/>
    <w:rsid w:val="00D0012A"/>
    <w:rsid w:val="00D267AF"/>
    <w:rsid w:val="00D3284E"/>
    <w:rsid w:val="00E20A1C"/>
    <w:rsid w:val="00E3238E"/>
    <w:rsid w:val="00E3442B"/>
    <w:rsid w:val="00E73332"/>
    <w:rsid w:val="00EA692C"/>
    <w:rsid w:val="0108772F"/>
    <w:rsid w:val="01705729"/>
    <w:rsid w:val="01C962B1"/>
    <w:rsid w:val="01EC60D3"/>
    <w:rsid w:val="02B907D9"/>
    <w:rsid w:val="034F064C"/>
    <w:rsid w:val="041C71E3"/>
    <w:rsid w:val="0436649A"/>
    <w:rsid w:val="06CC5AD8"/>
    <w:rsid w:val="072D5147"/>
    <w:rsid w:val="077876DF"/>
    <w:rsid w:val="0B6F2FBC"/>
    <w:rsid w:val="0BA24563"/>
    <w:rsid w:val="0C7A6D36"/>
    <w:rsid w:val="0CF736D3"/>
    <w:rsid w:val="0DBD173C"/>
    <w:rsid w:val="0DEE60F3"/>
    <w:rsid w:val="0ED14F2D"/>
    <w:rsid w:val="0F3526CD"/>
    <w:rsid w:val="100A5DBC"/>
    <w:rsid w:val="11323002"/>
    <w:rsid w:val="12AB57AE"/>
    <w:rsid w:val="14A31A9B"/>
    <w:rsid w:val="14C32000"/>
    <w:rsid w:val="14C927B4"/>
    <w:rsid w:val="15AA14C0"/>
    <w:rsid w:val="15CB3904"/>
    <w:rsid w:val="1600323D"/>
    <w:rsid w:val="17522267"/>
    <w:rsid w:val="187A6E47"/>
    <w:rsid w:val="187E2CCD"/>
    <w:rsid w:val="19FB4FEA"/>
    <w:rsid w:val="1A0F2ADC"/>
    <w:rsid w:val="1B397F9B"/>
    <w:rsid w:val="1B9351DA"/>
    <w:rsid w:val="1C274E67"/>
    <w:rsid w:val="1CE65F37"/>
    <w:rsid w:val="1E464459"/>
    <w:rsid w:val="1E7A1079"/>
    <w:rsid w:val="1EDB1021"/>
    <w:rsid w:val="1F000E9E"/>
    <w:rsid w:val="1FE25768"/>
    <w:rsid w:val="1FE72FB7"/>
    <w:rsid w:val="1FEB3F65"/>
    <w:rsid w:val="203E2CD8"/>
    <w:rsid w:val="226B06FD"/>
    <w:rsid w:val="23216E45"/>
    <w:rsid w:val="233F745E"/>
    <w:rsid w:val="23D36EE0"/>
    <w:rsid w:val="24124BF2"/>
    <w:rsid w:val="24977D02"/>
    <w:rsid w:val="24CB3506"/>
    <w:rsid w:val="24FD760E"/>
    <w:rsid w:val="27BC7EC0"/>
    <w:rsid w:val="283B5E3B"/>
    <w:rsid w:val="289A0E5B"/>
    <w:rsid w:val="289E282A"/>
    <w:rsid w:val="28C7498D"/>
    <w:rsid w:val="2A2555AC"/>
    <w:rsid w:val="2BA13456"/>
    <w:rsid w:val="2C3A2A60"/>
    <w:rsid w:val="2CFB5EE5"/>
    <w:rsid w:val="2D8A6E50"/>
    <w:rsid w:val="349448E3"/>
    <w:rsid w:val="3B123558"/>
    <w:rsid w:val="3BAC531E"/>
    <w:rsid w:val="3C163E40"/>
    <w:rsid w:val="3FB53C14"/>
    <w:rsid w:val="42B0020F"/>
    <w:rsid w:val="42C22DED"/>
    <w:rsid w:val="436C6D60"/>
    <w:rsid w:val="44432A17"/>
    <w:rsid w:val="44597741"/>
    <w:rsid w:val="4502369D"/>
    <w:rsid w:val="4516766A"/>
    <w:rsid w:val="4541773E"/>
    <w:rsid w:val="47666110"/>
    <w:rsid w:val="48580E8C"/>
    <w:rsid w:val="4899637E"/>
    <w:rsid w:val="490A0B6F"/>
    <w:rsid w:val="4A4706D7"/>
    <w:rsid w:val="4DD71AB5"/>
    <w:rsid w:val="4EF27AD5"/>
    <w:rsid w:val="505C78D4"/>
    <w:rsid w:val="50755DBB"/>
    <w:rsid w:val="509F3E84"/>
    <w:rsid w:val="5210791F"/>
    <w:rsid w:val="534B4D29"/>
    <w:rsid w:val="54A077A7"/>
    <w:rsid w:val="55F51E93"/>
    <w:rsid w:val="56114706"/>
    <w:rsid w:val="5A375277"/>
    <w:rsid w:val="5A6C32DA"/>
    <w:rsid w:val="5D257F03"/>
    <w:rsid w:val="5D722987"/>
    <w:rsid w:val="5DAD333C"/>
    <w:rsid w:val="5E5C736E"/>
    <w:rsid w:val="5E604A29"/>
    <w:rsid w:val="5E941DA5"/>
    <w:rsid w:val="601377BC"/>
    <w:rsid w:val="61352E33"/>
    <w:rsid w:val="61F81C68"/>
    <w:rsid w:val="62864B37"/>
    <w:rsid w:val="63976FB7"/>
    <w:rsid w:val="63EE4E39"/>
    <w:rsid w:val="68DD4808"/>
    <w:rsid w:val="6951626D"/>
    <w:rsid w:val="696B3747"/>
    <w:rsid w:val="6A294E33"/>
    <w:rsid w:val="6AFF3DCB"/>
    <w:rsid w:val="6B885C41"/>
    <w:rsid w:val="6C7F38A4"/>
    <w:rsid w:val="6DE4137D"/>
    <w:rsid w:val="6E277B25"/>
    <w:rsid w:val="6E3A1E6F"/>
    <w:rsid w:val="6F436CF5"/>
    <w:rsid w:val="70B10755"/>
    <w:rsid w:val="70D35007"/>
    <w:rsid w:val="711B685A"/>
    <w:rsid w:val="71E85427"/>
    <w:rsid w:val="72104735"/>
    <w:rsid w:val="72BC4539"/>
    <w:rsid w:val="73BB75E5"/>
    <w:rsid w:val="7552455E"/>
    <w:rsid w:val="757D2885"/>
    <w:rsid w:val="75DB7024"/>
    <w:rsid w:val="763C2673"/>
    <w:rsid w:val="771776B9"/>
    <w:rsid w:val="77350189"/>
    <w:rsid w:val="78AF196A"/>
    <w:rsid w:val="795654F1"/>
    <w:rsid w:val="795B5E70"/>
    <w:rsid w:val="7B0A04BD"/>
    <w:rsid w:val="7C61795B"/>
    <w:rsid w:val="7CC21DA4"/>
    <w:rsid w:val="7DA95C2E"/>
    <w:rsid w:val="7E706D52"/>
    <w:rsid w:val="7EE478B3"/>
    <w:rsid w:val="7FBE4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1"/>
    <w:unhideWhenUsed/>
    <w:qFormat/>
    <w:uiPriority w:val="99"/>
    <w:pPr>
      <w:jc w:val="left"/>
    </w:pPr>
    <w:rPr>
      <w:rFonts w:ascii="Calibri" w:hAnsi="Calibri" w:eastAsia="宋体" w:cs="Times New Roman"/>
      <w:szCs w:val="24"/>
    </w:rPr>
  </w:style>
  <w:style w:type="paragraph" w:styleId="5">
    <w:name w:val="footer"/>
    <w:basedOn w:val="1"/>
    <w:link w:val="10"/>
    <w:uiPriority w:val="0"/>
    <w:pPr>
      <w:tabs>
        <w:tab w:val="center" w:pos="4153"/>
        <w:tab w:val="right" w:pos="8306"/>
      </w:tabs>
      <w:snapToGrid w:val="0"/>
      <w:jc w:val="left"/>
    </w:pPr>
    <w:rPr>
      <w:sz w:val="18"/>
      <w:szCs w:val="18"/>
    </w:rPr>
  </w:style>
  <w:style w:type="paragraph" w:styleId="6">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页眉 字符"/>
    <w:basedOn w:val="8"/>
    <w:link w:val="6"/>
    <w:qFormat/>
    <w:uiPriority w:val="0"/>
    <w:rPr>
      <w:kern w:val="2"/>
      <w:sz w:val="18"/>
      <w:szCs w:val="18"/>
    </w:rPr>
  </w:style>
  <w:style w:type="character" w:customStyle="1" w:styleId="10">
    <w:name w:val="页脚 字符"/>
    <w:basedOn w:val="8"/>
    <w:link w:val="5"/>
    <w:uiPriority w:val="0"/>
    <w:rPr>
      <w:kern w:val="2"/>
      <w:sz w:val="18"/>
      <w:szCs w:val="18"/>
    </w:rPr>
  </w:style>
  <w:style w:type="character" w:customStyle="1" w:styleId="11">
    <w:name w:val="批注文字 字符"/>
    <w:basedOn w:val="8"/>
    <w:link w:val="4"/>
    <w:qFormat/>
    <w:uiPriority w:val="99"/>
    <w:rPr>
      <w:rFonts w:ascii="Calibri" w:hAnsi="Calibri"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3053</Words>
  <Characters>3135</Characters>
  <Lines>25</Lines>
  <Paragraphs>7</Paragraphs>
  <TotalTime>3</TotalTime>
  <ScaleCrop>false</ScaleCrop>
  <LinksUpToDate>false</LinksUpToDate>
  <CharactersWithSpaces>3191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地大</cp:lastModifiedBy>
  <dcterms:modified xsi:type="dcterms:W3CDTF">2026-08-17T09:10:28Z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CE4504FB34874B5B80A3FD09D1392145_11</vt:lpwstr>
  </property>
  <property fmtid="{D5CDD505-2E9C-101B-9397-08002B2CF9AE}" pid="4" name="KSOTemplateDocerSaveRecord">
    <vt:lpwstr>eyJoZGlkIjoiMzA1NjlhNjE3NTU3YTVjMzhiZDI3ODZkNzkwYTg1YTEiLCJ1c2VySWQiOiIxNzIyMTg0MDYyIn0=</vt:lpwstr>
  </property>
</Properties>
</file>